
<file path=[Content_Types].xml><?xml version="1.0" encoding="utf-8"?>
<Types xmlns="http://schemas.openxmlformats.org/package/2006/content-types">
  <Default Extension="xml" ContentType="application/xml"/>
  <Default Extension="png" ContentType="image/png"/>
  <Default Extension="wmf" ContentType="image/x-wmf"/>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auto"/>
          <w:sz w:val="36"/>
          <w:szCs w:val="36"/>
        </w:rPr>
      </w:pPr>
      <w:r>
        <w:rPr>
          <w:rFonts w:hint="eastAsia" w:ascii="Times New Roman" w:hAnsi="Times New Roman" w:eastAsia="宋体" w:cs="Times New Roman"/>
          <w:color w:val="auto"/>
          <w:sz w:val="36"/>
          <w:szCs w:val="36"/>
          <w:lang w:eastAsia="zh-CN"/>
        </w:rPr>
        <w:drawing>
          <wp:anchor distT="0" distB="0" distL="114300" distR="114300" simplePos="0" relativeHeight="251664384" behindDoc="0" locked="0" layoutInCell="1" allowOverlap="1">
            <wp:simplePos x="0" y="0"/>
            <wp:positionH relativeFrom="column">
              <wp:posOffset>-901700</wp:posOffset>
            </wp:positionH>
            <wp:positionV relativeFrom="paragraph">
              <wp:posOffset>-876935</wp:posOffset>
            </wp:positionV>
            <wp:extent cx="7564755" cy="10513060"/>
            <wp:effectExtent l="0" t="0" r="9525" b="2540"/>
            <wp:wrapNone/>
            <wp:docPr id="3" name="图片 3" descr="封面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封面1_01"/>
                    <pic:cNvPicPr>
                      <a:picLocks noChangeAspect="1"/>
                    </pic:cNvPicPr>
                  </pic:nvPicPr>
                  <pic:blipFill>
                    <a:blip r:embed="rId6"/>
                    <a:srcRect l="603" t="806" r="1390" b="2880"/>
                    <a:stretch>
                      <a:fillRect/>
                    </a:stretch>
                  </pic:blipFill>
                  <pic:spPr>
                    <a:xfrm>
                      <a:off x="0" y="0"/>
                      <a:ext cx="7564755" cy="10513060"/>
                    </a:xfrm>
                    <a:prstGeom prst="rect">
                      <a:avLst/>
                    </a:prstGeom>
                  </pic:spPr>
                </pic:pic>
              </a:graphicData>
            </a:graphic>
          </wp:anchor>
        </w:drawing>
      </w:r>
      <w:r>
        <w:rPr>
          <w:rFonts w:ascii="Times New Roman" w:hAnsi="Times New Roman" w:eastAsia="宋体" w:cs="Times New Roman"/>
          <w:color w:val="auto"/>
          <w:sz w:val="36"/>
        </w:rPr>
        <w:drawing>
          <wp:anchor distT="0" distB="0" distL="114300" distR="114300" simplePos="0" relativeHeight="251659264" behindDoc="0" locked="0" layoutInCell="1" allowOverlap="1">
            <wp:simplePos x="0" y="0"/>
            <wp:positionH relativeFrom="column">
              <wp:posOffset>-3980180</wp:posOffset>
            </wp:positionH>
            <wp:positionV relativeFrom="paragraph">
              <wp:posOffset>-157894655</wp:posOffset>
            </wp:positionV>
            <wp:extent cx="635" cy="0"/>
            <wp:effectExtent l="0" t="0" r="0" b="0"/>
            <wp:wrapNone/>
            <wp:docPr id="1" name="图片 3309" descr="闽侯风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309" descr="闽侯风玫瑰图"/>
                    <pic:cNvPicPr>
                      <a:picLocks noChangeAspect="1"/>
                    </pic:cNvPicPr>
                  </pic:nvPicPr>
                  <pic:blipFill>
                    <a:blip r:embed="rId7"/>
                    <a:stretch>
                      <a:fillRect/>
                    </a:stretch>
                  </pic:blipFill>
                  <pic:spPr>
                    <a:xfrm>
                      <a:off x="0" y="0"/>
                      <a:ext cx="635" cy="0"/>
                    </a:xfrm>
                    <a:prstGeom prst="rect">
                      <a:avLst/>
                    </a:prstGeom>
                    <a:noFill/>
                    <a:ln>
                      <a:noFill/>
                    </a:ln>
                  </pic:spPr>
                </pic:pic>
              </a:graphicData>
            </a:graphic>
          </wp:anchor>
        </w:drawing>
      </w:r>
    </w:p>
    <w:p>
      <w:pPr>
        <w:rPr>
          <w:rFonts w:hint="eastAsia" w:ascii="Times New Roman" w:hAnsi="Times New Roman" w:eastAsia="宋体" w:cs="Times New Roman"/>
          <w:color w:val="auto"/>
          <w:sz w:val="36"/>
          <w:szCs w:val="36"/>
          <w:lang w:eastAsia="zh-CN"/>
        </w:rPr>
      </w:pPr>
    </w:p>
    <w:p>
      <w:pPr>
        <w:pStyle w:val="16"/>
        <w:ind w:left="0" w:leftChars="0" w:firstLine="0" w:firstLineChars="0"/>
        <w:rPr>
          <w:rFonts w:hint="eastAsia" w:ascii="Times New Roman" w:hAnsi="Times New Roman" w:eastAsia="宋体" w:cs="Times New Roman"/>
          <w:color w:val="auto"/>
          <w:lang w:eastAsia="zh-CN"/>
        </w:rPr>
      </w:pPr>
    </w:p>
    <w:p>
      <w:pPr>
        <w:rPr>
          <w:rFonts w:hint="eastAsia" w:ascii="Times New Roman" w:hAnsi="Times New Roman" w:eastAsia="宋体" w:cs="Times New Roman"/>
          <w:color w:val="auto"/>
          <w:sz w:val="36"/>
          <w:szCs w:val="36"/>
          <w:lang w:eastAsia="zh-CN"/>
        </w:rPr>
      </w:pP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b/>
          <w:bCs w:val="0"/>
          <w:color w:val="auto"/>
          <w:sz w:val="72"/>
          <w:szCs w:val="72"/>
        </w:rPr>
      </w:pPr>
      <w:r>
        <w:rPr>
          <w:rFonts w:hint="default" w:ascii="Times New Roman" w:hAnsi="Times New Roman" w:eastAsia="宋体" w:cs="Times New Roman"/>
          <w:b/>
          <w:bCs w:val="0"/>
          <w:color w:val="auto"/>
          <w:sz w:val="72"/>
          <w:szCs w:val="72"/>
        </w:rPr>
        <w:t>建设项目环境影响报告表</w:t>
      </w:r>
    </w:p>
    <w:p>
      <w:pPr>
        <w:keepNext w:val="0"/>
        <w:keepLines w:val="0"/>
        <w:pageBreakBefore w:val="0"/>
        <w:widowControl w:val="0"/>
        <w:kinsoku/>
        <w:wordWrap/>
        <w:overflowPunct/>
        <w:topLinePunct w:val="0"/>
        <w:autoSpaceDE/>
        <w:autoSpaceDN/>
        <w:bidi w:val="0"/>
        <w:adjustRightInd w:val="0"/>
        <w:snapToGrid w:val="0"/>
        <w:ind w:left="0" w:leftChars="0" w:firstLine="0" w:firstLineChars="0"/>
        <w:jc w:val="center"/>
        <w:textAlignment w:val="auto"/>
        <w:outlineLvl w:val="9"/>
        <w:rPr>
          <w:rFonts w:hint="default" w:ascii="Times New Roman" w:hAnsi="Times New Roman" w:eastAsia="宋体" w:cs="Times New Roman"/>
          <w:b w:val="0"/>
          <w:bCs/>
          <w:color w:val="auto"/>
          <w:sz w:val="48"/>
          <w:szCs w:val="48"/>
        </w:rPr>
      </w:pPr>
      <w:r>
        <w:rPr>
          <w:rFonts w:hint="default" w:ascii="Times New Roman" w:hAnsi="Times New Roman" w:eastAsia="宋体" w:cs="Times New Roman"/>
          <w:b w:val="0"/>
          <w:bCs/>
          <w:color w:val="auto"/>
          <w:sz w:val="48"/>
          <w:szCs w:val="48"/>
        </w:rPr>
        <w:t>（污染影响类）</w:t>
      </w:r>
    </w:p>
    <w:p>
      <w:pPr>
        <w:adjustRightInd w:val="0"/>
        <w:snapToGrid w:val="0"/>
        <w:spacing w:line="288" w:lineRule="auto"/>
        <w:jc w:val="center"/>
        <w:outlineLvl w:val="9"/>
        <w:rPr>
          <w:rFonts w:hint="default" w:ascii="Times New Roman" w:hAnsi="Times New Roman" w:eastAsia="宋体" w:cs="Times New Roman"/>
          <w:color w:val="auto"/>
          <w:kern w:val="44"/>
          <w:sz w:val="44"/>
          <w:szCs w:val="44"/>
        </w:rPr>
      </w:pPr>
    </w:p>
    <w:p>
      <w:pPr>
        <w:jc w:val="center"/>
        <w:rPr>
          <w:rFonts w:hint="default" w:ascii="Times New Roman" w:hAnsi="Times New Roman" w:eastAsia="宋体" w:cs="Times New Roman"/>
          <w:color w:val="auto"/>
          <w:sz w:val="52"/>
          <w:szCs w:val="52"/>
        </w:rPr>
      </w:pPr>
    </w:p>
    <w:p>
      <w:pPr>
        <w:rPr>
          <w:rFonts w:hint="default"/>
          <w:color w:val="auto"/>
        </w:rPr>
      </w:pPr>
    </w:p>
    <w:p>
      <w:pPr>
        <w:ind w:firstLine="1040"/>
        <w:rPr>
          <w:rFonts w:hint="default" w:ascii="Times New Roman" w:hAnsi="Times New Roman" w:eastAsia="宋体" w:cs="Times New Roman"/>
          <w:color w:val="auto"/>
          <w:sz w:val="44"/>
          <w:szCs w:val="44"/>
        </w:rPr>
      </w:pPr>
    </w:p>
    <w:p>
      <w:pPr>
        <w:rPr>
          <w:rFonts w:hint="default"/>
          <w:color w:val="auto"/>
        </w:rPr>
      </w:pP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textAlignment w:val="auto"/>
        <w:rPr>
          <w:rFonts w:hint="eastAsia" w:ascii="Times New Roman" w:hAnsi="Times New Roman" w:eastAsia="宋体" w:cs="Times New Roman"/>
          <w:color w:val="auto"/>
          <w:sz w:val="32"/>
          <w:szCs w:val="32"/>
          <w:u w:val="single"/>
          <w:lang w:val="en-US" w:eastAsia="zh-CN"/>
        </w:rPr>
      </w:pPr>
      <w:r>
        <w:rPr>
          <w:rFonts w:hint="default" w:ascii="Times New Roman" w:hAnsi="Times New Roman" w:eastAsia="宋体" w:cs="Times New Roman"/>
          <w:color w:val="auto"/>
          <w:sz w:val="32"/>
          <w:szCs w:val="32"/>
          <w:u w:val="none"/>
          <w:lang w:eastAsia="zh-CN"/>
        </w:rPr>
        <w:t>项目名称：</w:t>
      </w:r>
      <w:r>
        <w:rPr>
          <w:rFonts w:hint="eastAsia" w:ascii="Times New Roman" w:hAnsi="Times New Roman" w:eastAsia="宋体" w:cs="Times New Roman"/>
          <w:color w:val="auto"/>
          <w:sz w:val="32"/>
          <w:szCs w:val="32"/>
          <w:u w:val="single"/>
          <w:lang w:val="en-US" w:eastAsia="zh-CN"/>
        </w:rPr>
        <w:t>福建融瀚建材有限公司年加工预拌商品混凝土80万立</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600" w:firstLineChars="500"/>
        <w:textAlignment w:val="auto"/>
        <w:rPr>
          <w:rFonts w:hint="eastAsia" w:ascii="Times New Roman" w:hAnsi="Times New Roman" w:eastAsia="宋体" w:cs="Times New Roman"/>
          <w:color w:val="auto"/>
          <w:sz w:val="32"/>
          <w:szCs w:val="32"/>
          <w:u w:val="single"/>
          <w:lang w:val="en-US" w:eastAsia="zh-CN"/>
        </w:rPr>
      </w:pPr>
      <w:r>
        <w:rPr>
          <w:rFonts w:hint="eastAsia" w:ascii="Times New Roman" w:hAnsi="Times New Roman" w:eastAsia="宋体" w:cs="Times New Roman"/>
          <w:color w:val="auto"/>
          <w:sz w:val="32"/>
          <w:szCs w:val="32"/>
          <w:u w:val="single"/>
          <w:lang w:val="en-US" w:eastAsia="zh-CN"/>
        </w:rPr>
        <w:t>方米、砼结构件20万立方米、年回收加工建筑垃圾60</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1600" w:firstLineChars="500"/>
        <w:textAlignment w:val="auto"/>
        <w:rPr>
          <w:rFonts w:hint="eastAsia" w:ascii="Times New Roman" w:hAnsi="Times New Roman" w:eastAsia="宋体" w:cs="Times New Roman"/>
          <w:color w:val="auto"/>
          <w:sz w:val="32"/>
          <w:szCs w:val="32"/>
          <w:u w:val="single"/>
          <w:lang w:val="en-US" w:eastAsia="zh-CN"/>
        </w:rPr>
      </w:pPr>
      <w:r>
        <w:rPr>
          <w:rFonts w:hint="eastAsia" w:ascii="Times New Roman" w:hAnsi="Times New Roman" w:eastAsia="宋体" w:cs="Times New Roman"/>
          <w:color w:val="auto"/>
          <w:sz w:val="32"/>
          <w:szCs w:val="32"/>
          <w:u w:val="single"/>
          <w:lang w:val="en-US" w:eastAsia="zh-CN"/>
        </w:rPr>
        <w:t>万立方米</w:t>
      </w:r>
      <w:r>
        <w:rPr>
          <w:rFonts w:hint="eastAsia" w:cs="Times New Roman"/>
          <w:color w:val="auto"/>
          <w:sz w:val="32"/>
          <w:szCs w:val="32"/>
          <w:u w:val="single"/>
          <w:lang w:val="en-US" w:eastAsia="zh-CN"/>
        </w:rPr>
        <w:t>（变更）</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建设单位（盖章）：</w:t>
      </w:r>
      <w:r>
        <w:rPr>
          <w:rFonts w:hint="eastAsia"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福建融瀚建材有限公司</w:t>
      </w:r>
      <w:r>
        <w:rPr>
          <w:rFonts w:hint="eastAsia"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r>
        <w:rPr>
          <w:rFonts w:hint="default" w:ascii="Times New Roman" w:hAnsi="Times New Roman" w:eastAsia="宋体" w:cs="Times New Roman"/>
          <w:color w:val="auto"/>
          <w:sz w:val="32"/>
          <w:szCs w:val="32"/>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88" w:lineRule="auto"/>
        <w:ind w:left="0" w:leftChars="0" w:firstLine="0" w:firstLineChars="0"/>
        <w:jc w:val="both"/>
        <w:textAlignment w:val="auto"/>
        <w:rPr>
          <w:rFonts w:hint="default" w:ascii="Times New Roman" w:hAnsi="Times New Roman" w:eastAsia="宋体" w:cs="Times New Roman"/>
          <w:color w:val="auto"/>
          <w:sz w:val="32"/>
          <w:szCs w:val="32"/>
          <w:u w:val="single"/>
          <w:lang w:val="en-US"/>
        </w:rPr>
      </w:pPr>
      <w:r>
        <w:rPr>
          <w:rFonts w:hint="default" w:ascii="Times New Roman" w:hAnsi="Times New Roman" w:eastAsia="宋体" w:cs="Times New Roman"/>
          <w:color w:val="auto"/>
          <w:sz w:val="32"/>
          <w:szCs w:val="32"/>
        </w:rPr>
        <w:t>编制日期：</w:t>
      </w:r>
      <w:r>
        <w:rPr>
          <w:rFonts w:hint="eastAsia" w:ascii="Times New Roman" w:hAnsi="Times New Roman" w:eastAsia="宋体" w:cs="Times New Roman"/>
          <w:color w:val="auto"/>
          <w:sz w:val="32"/>
          <w:szCs w:val="32"/>
          <w:u w:val="single"/>
          <w:lang w:val="en-US" w:eastAsia="zh-CN"/>
        </w:rPr>
        <w:t xml:space="preserve">                 2</w:t>
      </w:r>
      <w:r>
        <w:rPr>
          <w:rFonts w:hint="default" w:ascii="Times New Roman" w:hAnsi="Times New Roman" w:eastAsia="宋体" w:cs="Times New Roman"/>
          <w:color w:val="auto"/>
          <w:sz w:val="32"/>
          <w:szCs w:val="32"/>
          <w:u w:val="single"/>
          <w:lang w:val="en-US" w:eastAsia="zh-CN"/>
        </w:rPr>
        <w:t>02</w:t>
      </w:r>
      <w:r>
        <w:rPr>
          <w:rFonts w:hint="eastAsia" w:cs="Times New Roman"/>
          <w:color w:val="auto"/>
          <w:sz w:val="32"/>
          <w:szCs w:val="32"/>
          <w:u w:val="single"/>
          <w:lang w:val="en-US" w:eastAsia="zh-CN"/>
        </w:rPr>
        <w:t>5</w:t>
      </w:r>
      <w:r>
        <w:rPr>
          <w:rFonts w:hint="default" w:ascii="Times New Roman" w:hAnsi="Times New Roman" w:eastAsia="宋体" w:cs="Times New Roman"/>
          <w:color w:val="auto"/>
          <w:sz w:val="32"/>
          <w:szCs w:val="32"/>
          <w:u w:val="single"/>
          <w:lang w:val="en-US" w:eastAsia="zh-CN"/>
        </w:rPr>
        <w:t>年</w:t>
      </w:r>
      <w:r>
        <w:rPr>
          <w:rFonts w:hint="eastAsia" w:cs="Times New Roman"/>
          <w:color w:val="auto"/>
          <w:sz w:val="32"/>
          <w:szCs w:val="32"/>
          <w:highlight w:val="none"/>
          <w:u w:val="single"/>
          <w:lang w:val="en-US" w:eastAsia="zh-CN"/>
        </w:rPr>
        <w:t>10</w:t>
      </w:r>
      <w:r>
        <w:rPr>
          <w:rFonts w:hint="default" w:ascii="Times New Roman" w:hAnsi="Times New Roman" w:eastAsia="宋体" w:cs="Times New Roman"/>
          <w:color w:val="auto"/>
          <w:sz w:val="32"/>
          <w:szCs w:val="32"/>
          <w:highlight w:val="none"/>
          <w:u w:val="single"/>
          <w:lang w:val="en-US" w:eastAsia="zh-CN"/>
        </w:rPr>
        <w:t>月</w:t>
      </w:r>
      <w:r>
        <w:rPr>
          <w:rFonts w:hint="eastAsia" w:ascii="Times New Roman" w:hAnsi="Times New Roman" w:eastAsia="宋体" w:cs="Times New Roman"/>
          <w:color w:val="auto"/>
          <w:sz w:val="32"/>
          <w:szCs w:val="32"/>
          <w:u w:val="single"/>
          <w:lang w:val="en-US" w:eastAsia="zh-CN"/>
        </w:rPr>
        <w:t xml:space="preserve">   </w:t>
      </w:r>
      <w:r>
        <w:rPr>
          <w:rFonts w:hint="eastAsia" w:cs="Times New Roman"/>
          <w:color w:val="auto"/>
          <w:sz w:val="32"/>
          <w:szCs w:val="32"/>
          <w:u w:val="single"/>
          <w:lang w:val="en-US" w:eastAsia="zh-CN"/>
        </w:rPr>
        <w:t xml:space="preserve">  </w:t>
      </w:r>
      <w:r>
        <w:rPr>
          <w:rFonts w:hint="eastAsia" w:ascii="Times New Roman" w:hAnsi="Times New Roman" w:eastAsia="宋体" w:cs="Times New Roman"/>
          <w:color w:val="auto"/>
          <w:sz w:val="32"/>
          <w:szCs w:val="32"/>
          <w:u w:val="single"/>
          <w:lang w:val="en-US" w:eastAsia="zh-CN"/>
        </w:rPr>
        <w:t xml:space="preserve">             </w:t>
      </w:r>
    </w:p>
    <w:p>
      <w:pPr>
        <w:adjustRightInd w:val="0"/>
        <w:snapToGrid w:val="0"/>
        <w:spacing w:line="288" w:lineRule="auto"/>
        <w:ind w:firstLine="1040"/>
        <w:rPr>
          <w:rFonts w:hint="default" w:ascii="Times New Roman" w:hAnsi="Times New Roman" w:eastAsia="宋体" w:cs="Times New Roman"/>
          <w:color w:val="auto"/>
          <w:sz w:val="32"/>
          <w:szCs w:val="32"/>
          <w:u w:val="single"/>
        </w:rPr>
      </w:pPr>
      <w:bookmarkStart w:id="0" w:name="_Hlk57884087"/>
    </w:p>
    <w:p>
      <w:pPr>
        <w:adjustRightInd w:val="0"/>
        <w:snapToGrid w:val="0"/>
        <w:spacing w:line="288" w:lineRule="auto"/>
        <w:ind w:firstLine="1040"/>
        <w:rPr>
          <w:rFonts w:hint="default" w:ascii="Times New Roman" w:hAnsi="Times New Roman" w:eastAsia="宋体" w:cs="Times New Roman"/>
          <w:color w:val="auto"/>
          <w:sz w:val="36"/>
          <w:szCs w:val="36"/>
        </w:rPr>
      </w:pPr>
    </w:p>
    <w:p>
      <w:pPr>
        <w:adjustRightInd w:val="0"/>
        <w:snapToGrid w:val="0"/>
        <w:spacing w:line="288" w:lineRule="auto"/>
        <w:ind w:firstLine="1040"/>
        <w:rPr>
          <w:rFonts w:hint="default" w:ascii="Times New Roman" w:hAnsi="Times New Roman" w:eastAsia="宋体" w:cs="Times New Roman"/>
          <w:color w:val="auto"/>
          <w:sz w:val="36"/>
          <w:szCs w:val="36"/>
        </w:rPr>
      </w:pPr>
    </w:p>
    <w:p>
      <w:pPr>
        <w:rPr>
          <w:rFonts w:hint="default"/>
          <w:color w:val="auto"/>
        </w:rPr>
      </w:pPr>
    </w:p>
    <w:p>
      <w:pPr>
        <w:adjustRightInd w:val="0"/>
        <w:snapToGrid w:val="0"/>
        <w:spacing w:line="288" w:lineRule="auto"/>
        <w:ind w:firstLine="1040"/>
        <w:rPr>
          <w:rFonts w:hint="default" w:ascii="Times New Roman" w:hAnsi="Times New Roman" w:eastAsia="宋体" w:cs="Times New Roman"/>
          <w:color w:val="auto"/>
          <w:sz w:val="36"/>
          <w:szCs w:val="36"/>
        </w:rPr>
      </w:pPr>
    </w:p>
    <w:bookmarkEnd w:id="0"/>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pPr>
        <w:adjustRightInd w:val="0"/>
        <w:snapToGrid w:val="0"/>
        <w:spacing w:line="288" w:lineRule="auto"/>
        <w:ind w:left="0" w:leftChars="0" w:firstLine="0" w:firstLineChars="0"/>
        <w:jc w:val="center"/>
        <w:rPr>
          <w:rFonts w:hint="default" w:ascii="Times New Roman" w:hAnsi="Times New Roman" w:eastAsia="宋体" w:cs="Times New Roman"/>
          <w:color w:val="auto"/>
          <w:sz w:val="36"/>
          <w:szCs w:val="36"/>
        </w:rPr>
      </w:pPr>
    </w:p>
    <w:p>
      <w:pPr>
        <w:rPr>
          <w:rFonts w:hint="eastAsia"/>
          <w:color w:val="auto"/>
          <w:lang w:eastAsia="zh-CN"/>
        </w:rPr>
        <w:sectPr>
          <w:pgSz w:w="11906" w:h="16838"/>
          <w:pgMar w:top="1417" w:right="1417" w:bottom="1417" w:left="1417"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pPr>
    </w:p>
    <w:sdt>
      <w:sdtPr>
        <w:rPr>
          <w:rFonts w:ascii="宋体" w:hAnsi="宋体" w:eastAsia="宋体" w:cs="Times New Roman"/>
          <w:color w:val="auto"/>
          <w:kern w:val="2"/>
          <w:sz w:val="21"/>
          <w:szCs w:val="24"/>
          <w:lang w:val="en-US" w:eastAsia="zh-CN" w:bidi="ar-SA"/>
        </w:rPr>
        <w:id w:val="147472365"/>
        <w15:color w:val="DBDBDB"/>
      </w:sdtPr>
      <w:sdtEndPr>
        <w:rPr>
          <w:rFonts w:hint="default"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rPr>
          </w:pPr>
          <w:r>
            <w:rPr>
              <w:rFonts w:ascii="宋体" w:hAnsi="宋体" w:eastAsia="宋体"/>
              <w:b/>
              <w:bCs/>
              <w:color w:val="auto"/>
              <w:sz w:val="28"/>
              <w:szCs w:val="36"/>
            </w:rPr>
            <w:t>目录</w:t>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2"/>
            </w:rPr>
            <w:fldChar w:fldCharType="begin"/>
          </w:r>
          <w:r>
            <w:rPr>
              <w:rFonts w:hint="default"/>
              <w:color w:val="auto"/>
              <w:sz w:val="22"/>
              <w:szCs w:val="22"/>
            </w:rPr>
            <w:instrText xml:space="preserve">TOC \o "1-1" \h \u </w:instrText>
          </w:r>
          <w:r>
            <w:rPr>
              <w:rFonts w:hint="default"/>
              <w:color w:val="auto"/>
              <w:sz w:val="22"/>
              <w:szCs w:val="22"/>
            </w:rPr>
            <w:fldChar w:fldCharType="separate"/>
          </w:r>
          <w:r>
            <w:rPr>
              <w:rFonts w:hint="default"/>
              <w:color w:val="auto"/>
              <w:sz w:val="22"/>
              <w:szCs w:val="21"/>
            </w:rPr>
            <w:fldChar w:fldCharType="begin"/>
          </w:r>
          <w:r>
            <w:rPr>
              <w:rFonts w:hint="default"/>
              <w:sz w:val="22"/>
              <w:szCs w:val="21"/>
            </w:rPr>
            <w:instrText xml:space="preserve"> HYPERLINK \l _Toc24809 </w:instrText>
          </w:r>
          <w:r>
            <w:rPr>
              <w:rFonts w:hint="default"/>
              <w:sz w:val="22"/>
              <w:szCs w:val="21"/>
            </w:rPr>
            <w:fldChar w:fldCharType="separate"/>
          </w:r>
          <w:r>
            <w:rPr>
              <w:rFonts w:hint="default"/>
              <w:sz w:val="22"/>
              <w:szCs w:val="22"/>
            </w:rPr>
            <w:t>一、建设项目基本情况</w:t>
          </w:r>
          <w:r>
            <w:rPr>
              <w:sz w:val="22"/>
              <w:szCs w:val="22"/>
            </w:rPr>
            <w:tab/>
          </w:r>
          <w:r>
            <w:rPr>
              <w:sz w:val="22"/>
              <w:szCs w:val="22"/>
            </w:rPr>
            <w:fldChar w:fldCharType="begin"/>
          </w:r>
          <w:r>
            <w:rPr>
              <w:sz w:val="22"/>
              <w:szCs w:val="22"/>
            </w:rPr>
            <w:instrText xml:space="preserve"> PAGEREF _Toc24809 \h </w:instrText>
          </w:r>
          <w:r>
            <w:rPr>
              <w:sz w:val="22"/>
              <w:szCs w:val="22"/>
            </w:rPr>
            <w:fldChar w:fldCharType="separate"/>
          </w:r>
          <w:r>
            <w:rPr>
              <w:sz w:val="22"/>
              <w:szCs w:val="22"/>
            </w:rPr>
            <w:t>- 1 -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1"/>
            </w:rPr>
            <w:fldChar w:fldCharType="begin"/>
          </w:r>
          <w:r>
            <w:rPr>
              <w:rFonts w:hint="default"/>
              <w:sz w:val="22"/>
              <w:szCs w:val="21"/>
            </w:rPr>
            <w:instrText xml:space="preserve"> HYPERLINK \l _Toc22838 </w:instrText>
          </w:r>
          <w:r>
            <w:rPr>
              <w:rFonts w:hint="default"/>
              <w:sz w:val="22"/>
              <w:szCs w:val="21"/>
            </w:rPr>
            <w:fldChar w:fldCharType="separate"/>
          </w:r>
          <w:r>
            <w:rPr>
              <w:rFonts w:hint="default"/>
              <w:sz w:val="22"/>
              <w:szCs w:val="22"/>
            </w:rPr>
            <w:t>二、建设项目工程分析</w:t>
          </w:r>
          <w:r>
            <w:rPr>
              <w:sz w:val="22"/>
              <w:szCs w:val="22"/>
            </w:rPr>
            <w:tab/>
          </w:r>
          <w:r>
            <w:rPr>
              <w:sz w:val="22"/>
              <w:szCs w:val="22"/>
            </w:rPr>
            <w:fldChar w:fldCharType="begin"/>
          </w:r>
          <w:r>
            <w:rPr>
              <w:sz w:val="22"/>
              <w:szCs w:val="22"/>
            </w:rPr>
            <w:instrText xml:space="preserve"> PAGEREF _Toc22838 \h </w:instrText>
          </w:r>
          <w:r>
            <w:rPr>
              <w:sz w:val="22"/>
              <w:szCs w:val="22"/>
            </w:rPr>
            <w:fldChar w:fldCharType="separate"/>
          </w:r>
          <w:r>
            <w:rPr>
              <w:sz w:val="22"/>
              <w:szCs w:val="22"/>
            </w:rPr>
            <w:t>- 19 -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1"/>
            </w:rPr>
            <w:fldChar w:fldCharType="begin"/>
          </w:r>
          <w:r>
            <w:rPr>
              <w:rFonts w:hint="default"/>
              <w:sz w:val="22"/>
              <w:szCs w:val="21"/>
            </w:rPr>
            <w:instrText xml:space="preserve"> HYPERLINK \l _Toc9695 </w:instrText>
          </w:r>
          <w:r>
            <w:rPr>
              <w:rFonts w:hint="default"/>
              <w:sz w:val="22"/>
              <w:szCs w:val="21"/>
            </w:rPr>
            <w:fldChar w:fldCharType="separate"/>
          </w:r>
          <w:r>
            <w:rPr>
              <w:rFonts w:hint="default"/>
              <w:sz w:val="22"/>
              <w:szCs w:val="22"/>
            </w:rPr>
            <w:t>三、区域环境质量现状、环境保护目标及评价标准</w:t>
          </w:r>
          <w:r>
            <w:rPr>
              <w:sz w:val="22"/>
              <w:szCs w:val="22"/>
            </w:rPr>
            <w:tab/>
          </w:r>
          <w:r>
            <w:rPr>
              <w:sz w:val="22"/>
              <w:szCs w:val="22"/>
            </w:rPr>
            <w:fldChar w:fldCharType="begin"/>
          </w:r>
          <w:r>
            <w:rPr>
              <w:sz w:val="22"/>
              <w:szCs w:val="22"/>
            </w:rPr>
            <w:instrText xml:space="preserve"> PAGEREF _Toc9695 \h </w:instrText>
          </w:r>
          <w:r>
            <w:rPr>
              <w:sz w:val="22"/>
              <w:szCs w:val="22"/>
            </w:rPr>
            <w:fldChar w:fldCharType="separate"/>
          </w:r>
          <w:r>
            <w:rPr>
              <w:sz w:val="22"/>
              <w:szCs w:val="22"/>
            </w:rPr>
            <w:t>- 46 -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1"/>
            </w:rPr>
            <w:fldChar w:fldCharType="begin"/>
          </w:r>
          <w:r>
            <w:rPr>
              <w:rFonts w:hint="default"/>
              <w:sz w:val="22"/>
              <w:szCs w:val="21"/>
            </w:rPr>
            <w:instrText xml:space="preserve"> HYPERLINK \l _Toc12325 </w:instrText>
          </w:r>
          <w:r>
            <w:rPr>
              <w:rFonts w:hint="default"/>
              <w:sz w:val="22"/>
              <w:szCs w:val="21"/>
            </w:rPr>
            <w:fldChar w:fldCharType="separate"/>
          </w:r>
          <w:r>
            <w:rPr>
              <w:rFonts w:hint="eastAsia" w:ascii="Times New Roman" w:hAnsi="Times New Roman" w:eastAsia="宋体" w:cs="Times New Roman"/>
              <w:bCs/>
              <w:snapToGrid w:val="0"/>
              <w:sz w:val="22"/>
              <w:szCs w:val="28"/>
            </w:rPr>
            <w:t xml:space="preserve">四、 </w:t>
          </w:r>
          <w:r>
            <w:rPr>
              <w:rFonts w:hint="default"/>
              <w:sz w:val="22"/>
              <w:szCs w:val="22"/>
            </w:rPr>
            <w:t>主要环境影响和保护措施</w:t>
          </w:r>
          <w:r>
            <w:rPr>
              <w:sz w:val="22"/>
              <w:szCs w:val="22"/>
            </w:rPr>
            <w:tab/>
          </w:r>
          <w:r>
            <w:rPr>
              <w:sz w:val="22"/>
              <w:szCs w:val="22"/>
            </w:rPr>
            <w:fldChar w:fldCharType="begin"/>
          </w:r>
          <w:r>
            <w:rPr>
              <w:sz w:val="22"/>
              <w:szCs w:val="22"/>
            </w:rPr>
            <w:instrText xml:space="preserve"> PAGEREF _Toc12325 \h </w:instrText>
          </w:r>
          <w:r>
            <w:rPr>
              <w:sz w:val="22"/>
              <w:szCs w:val="22"/>
            </w:rPr>
            <w:fldChar w:fldCharType="separate"/>
          </w:r>
          <w:r>
            <w:rPr>
              <w:sz w:val="22"/>
              <w:szCs w:val="22"/>
            </w:rPr>
            <w:t>- 56 -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1"/>
            </w:rPr>
            <w:fldChar w:fldCharType="begin"/>
          </w:r>
          <w:r>
            <w:rPr>
              <w:rFonts w:hint="default"/>
              <w:sz w:val="22"/>
              <w:szCs w:val="21"/>
            </w:rPr>
            <w:instrText xml:space="preserve"> HYPERLINK \l _Toc19903 </w:instrText>
          </w:r>
          <w:r>
            <w:rPr>
              <w:rFonts w:hint="default"/>
              <w:sz w:val="22"/>
              <w:szCs w:val="21"/>
            </w:rPr>
            <w:fldChar w:fldCharType="separate"/>
          </w:r>
          <w:r>
            <w:rPr>
              <w:rFonts w:hint="default" w:ascii="Times New Roman" w:hAnsi="Times New Roman" w:eastAsia="宋体" w:cs="Times New Roman"/>
              <w:bCs/>
              <w:snapToGrid w:val="0"/>
              <w:sz w:val="22"/>
              <w:szCs w:val="28"/>
              <w:highlight w:val="none"/>
            </w:rPr>
            <w:t>五、环境保护措施监督检查清单</w:t>
          </w:r>
          <w:r>
            <w:rPr>
              <w:sz w:val="22"/>
              <w:szCs w:val="22"/>
            </w:rPr>
            <w:tab/>
          </w:r>
          <w:r>
            <w:rPr>
              <w:sz w:val="22"/>
              <w:szCs w:val="22"/>
            </w:rPr>
            <w:fldChar w:fldCharType="begin"/>
          </w:r>
          <w:r>
            <w:rPr>
              <w:sz w:val="22"/>
              <w:szCs w:val="22"/>
            </w:rPr>
            <w:instrText xml:space="preserve"> PAGEREF _Toc19903 \h </w:instrText>
          </w:r>
          <w:r>
            <w:rPr>
              <w:sz w:val="22"/>
              <w:szCs w:val="22"/>
            </w:rPr>
            <w:fldChar w:fldCharType="separate"/>
          </w:r>
          <w:r>
            <w:rPr>
              <w:sz w:val="22"/>
              <w:szCs w:val="22"/>
            </w:rPr>
            <w:t>- 109 -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2"/>
              <w:szCs w:val="22"/>
            </w:rPr>
          </w:pPr>
          <w:r>
            <w:rPr>
              <w:rFonts w:hint="default"/>
              <w:color w:val="auto"/>
              <w:sz w:val="22"/>
              <w:szCs w:val="21"/>
            </w:rPr>
            <w:fldChar w:fldCharType="begin"/>
          </w:r>
          <w:r>
            <w:rPr>
              <w:rFonts w:hint="default"/>
              <w:sz w:val="22"/>
              <w:szCs w:val="21"/>
            </w:rPr>
            <w:instrText xml:space="preserve"> HYPERLINK \l _Toc22561 </w:instrText>
          </w:r>
          <w:r>
            <w:rPr>
              <w:rFonts w:hint="default"/>
              <w:sz w:val="22"/>
              <w:szCs w:val="21"/>
            </w:rPr>
            <w:fldChar w:fldCharType="separate"/>
          </w:r>
          <w:r>
            <w:rPr>
              <w:rFonts w:hint="default" w:ascii="Times New Roman" w:hAnsi="Times New Roman" w:eastAsia="宋体" w:cs="Times New Roman"/>
              <w:bCs/>
              <w:snapToGrid w:val="0"/>
              <w:sz w:val="22"/>
              <w:szCs w:val="28"/>
            </w:rPr>
            <w:t>六、结论</w:t>
          </w:r>
          <w:r>
            <w:rPr>
              <w:sz w:val="22"/>
              <w:szCs w:val="22"/>
            </w:rPr>
            <w:tab/>
          </w:r>
          <w:r>
            <w:rPr>
              <w:sz w:val="22"/>
              <w:szCs w:val="22"/>
            </w:rPr>
            <w:fldChar w:fldCharType="begin"/>
          </w:r>
          <w:r>
            <w:rPr>
              <w:sz w:val="22"/>
              <w:szCs w:val="22"/>
            </w:rPr>
            <w:instrText xml:space="preserve"> PAGEREF _Toc22561 \h </w:instrText>
          </w:r>
          <w:r>
            <w:rPr>
              <w:sz w:val="22"/>
              <w:szCs w:val="22"/>
            </w:rPr>
            <w:fldChar w:fldCharType="separate"/>
          </w:r>
          <w:r>
            <w:rPr>
              <w:sz w:val="22"/>
              <w:szCs w:val="22"/>
            </w:rPr>
            <w:t>- 113 -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1"/>
              <w:szCs w:val="21"/>
            </w:rPr>
          </w:pPr>
          <w:r>
            <w:rPr>
              <w:rFonts w:hint="default"/>
              <w:color w:val="auto"/>
              <w:sz w:val="22"/>
              <w:szCs w:val="21"/>
            </w:rPr>
            <w:fldChar w:fldCharType="begin"/>
          </w:r>
          <w:r>
            <w:rPr>
              <w:rFonts w:hint="default"/>
              <w:sz w:val="22"/>
              <w:szCs w:val="21"/>
            </w:rPr>
            <w:instrText xml:space="preserve"> HYPERLINK \l _Toc1568 </w:instrText>
          </w:r>
          <w:r>
            <w:rPr>
              <w:rFonts w:hint="default"/>
              <w:sz w:val="22"/>
              <w:szCs w:val="21"/>
            </w:rPr>
            <w:fldChar w:fldCharType="separate"/>
          </w:r>
          <w:r>
            <w:rPr>
              <w:rFonts w:hint="default" w:ascii="Times New Roman" w:hAnsi="Times New Roman" w:eastAsia="宋体" w:cs="Times New Roman"/>
              <w:bCs/>
              <w:snapToGrid w:val="0"/>
              <w:sz w:val="22"/>
              <w:szCs w:val="24"/>
            </w:rPr>
            <w:t>附表</w:t>
          </w:r>
          <w:r>
            <w:rPr>
              <w:sz w:val="22"/>
              <w:szCs w:val="22"/>
            </w:rPr>
            <w:tab/>
          </w:r>
          <w:r>
            <w:rPr>
              <w:sz w:val="22"/>
              <w:szCs w:val="22"/>
            </w:rPr>
            <w:fldChar w:fldCharType="begin"/>
          </w:r>
          <w:r>
            <w:rPr>
              <w:sz w:val="22"/>
              <w:szCs w:val="22"/>
            </w:rPr>
            <w:instrText xml:space="preserve"> PAGEREF _Toc1568 \h </w:instrText>
          </w:r>
          <w:r>
            <w:rPr>
              <w:sz w:val="22"/>
              <w:szCs w:val="22"/>
            </w:rPr>
            <w:fldChar w:fldCharType="separate"/>
          </w:r>
          <w:r>
            <w:rPr>
              <w:sz w:val="22"/>
              <w:szCs w:val="22"/>
            </w:rPr>
            <w:t>- 114 -</w:t>
          </w:r>
          <w:r>
            <w:rPr>
              <w:sz w:val="22"/>
              <w:szCs w:val="22"/>
            </w:rPr>
            <w:fldChar w:fldCharType="end"/>
          </w:r>
          <w:r>
            <w:rPr>
              <w:rFonts w:hint="default"/>
              <w:color w:val="auto"/>
              <w:sz w:val="22"/>
              <w:szCs w:val="21"/>
            </w:rPr>
            <w:fldChar w:fldCharType="end"/>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ind w:left="0" w:leftChars="0" w:firstLine="0" w:firstLineChars="0"/>
            <w:textAlignment w:val="auto"/>
            <w:rPr>
              <w:rFonts w:hint="eastAsia" w:eastAsia="宋体"/>
              <w:b/>
              <w:bCs/>
              <w:color w:val="auto"/>
              <w:sz w:val="24"/>
              <w:szCs w:val="22"/>
              <w:lang w:val="en-US" w:eastAsia="zh-CN"/>
            </w:rPr>
          </w:pPr>
          <w:r>
            <w:rPr>
              <w:rFonts w:hint="eastAsia"/>
              <w:b/>
              <w:bCs/>
              <w:color w:val="auto"/>
              <w:sz w:val="24"/>
              <w:szCs w:val="22"/>
              <w:lang w:val="en-US" w:eastAsia="zh-CN"/>
            </w:rPr>
            <w:t>附件</w:t>
          </w:r>
        </w:p>
        <w:p>
          <w:pPr>
            <w:pStyle w:val="18"/>
            <w:keepNext w:val="0"/>
            <w:keepLines w:val="0"/>
            <w:pageBreakBefore w:val="0"/>
            <w:widowControl w:val="0"/>
            <w:tabs>
              <w:tab w:val="right" w:leader="dot" w:pos="9072"/>
            </w:tabs>
            <w:kinsoku/>
            <w:wordWrap/>
            <w:overflowPunct/>
            <w:topLinePunct w:val="0"/>
            <w:autoSpaceDE/>
            <w:autoSpaceDN/>
            <w:bidi w:val="0"/>
            <w:adjustRightInd/>
            <w:snapToGrid/>
            <w:spacing w:line="300" w:lineRule="auto"/>
            <w:textAlignment w:val="auto"/>
            <w:rPr>
              <w:sz w:val="28"/>
              <w:szCs w:val="28"/>
            </w:rPr>
          </w:pPr>
          <w:r>
            <w:rPr>
              <w:rFonts w:hint="default"/>
              <w:color w:val="auto"/>
              <w:sz w:val="22"/>
              <w:szCs w:val="21"/>
            </w:rPr>
            <w:fldChar w:fldCharType="begin"/>
          </w:r>
          <w:r>
            <w:rPr>
              <w:rFonts w:hint="default"/>
              <w:sz w:val="22"/>
              <w:szCs w:val="21"/>
            </w:rPr>
            <w:instrText xml:space="preserve"> HYPERLINK \l _Toc28855 </w:instrText>
          </w:r>
          <w:r>
            <w:rPr>
              <w:rFonts w:hint="default"/>
              <w:sz w:val="22"/>
              <w:szCs w:val="21"/>
            </w:rPr>
            <w:fldChar w:fldCharType="separate"/>
          </w:r>
          <w:r>
            <w:rPr>
              <w:rFonts w:hint="eastAsia"/>
              <w:bCs/>
              <w:sz w:val="22"/>
              <w:szCs w:val="32"/>
              <w:lang w:val="en-US" w:eastAsia="zh-CN"/>
            </w:rPr>
            <w:t xml:space="preserve">附件十二 </w:t>
          </w:r>
          <w:r>
            <w:rPr>
              <w:rFonts w:hint="eastAsia"/>
              <w:bCs/>
              <w:sz w:val="22"/>
              <w:szCs w:val="22"/>
              <w:lang w:val="en-US" w:eastAsia="zh-CN"/>
            </w:rPr>
            <w:t>信息删除理由说明和删除依据说明</w:t>
          </w:r>
          <w:r>
            <w:rPr>
              <w:rFonts w:hint="default"/>
              <w:color w:val="auto"/>
              <w:sz w:val="22"/>
              <w:szCs w:val="21"/>
            </w:rPr>
            <w:fldChar w:fldCharType="end"/>
          </w:r>
        </w:p>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pPr>
          <w:r>
            <w:rPr>
              <w:rFonts w:hint="default"/>
              <w:color w:val="auto"/>
              <w:szCs w:val="22"/>
            </w:rPr>
            <w:fldChar w:fldCharType="end"/>
          </w:r>
        </w:p>
      </w:sdtContent>
    </w:sdt>
    <w:p>
      <w:pPr>
        <w:keepNext w:val="0"/>
        <w:keepLines w:val="0"/>
        <w:pageBreakBefore w:val="0"/>
        <w:widowControl w:val="0"/>
        <w:kinsoku/>
        <w:wordWrap/>
        <w:overflowPunct/>
        <w:topLinePunct w:val="0"/>
        <w:autoSpaceDE/>
        <w:autoSpaceDN/>
        <w:bidi w:val="0"/>
        <w:adjustRightInd/>
        <w:snapToGrid/>
        <w:spacing w:line="293" w:lineRule="auto"/>
        <w:textAlignment w:val="auto"/>
        <w:rPr>
          <w:rFonts w:hint="default"/>
          <w:color w:val="auto"/>
        </w:rPr>
        <w:sectPr>
          <w:pgSz w:w="11906" w:h="16838"/>
          <w:pgMar w:top="1417" w:right="1417" w:bottom="1417" w:left="1417"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pPr>
    </w:p>
    <w:p>
      <w:pPr>
        <w:pStyle w:val="2"/>
        <w:bidi w:val="0"/>
        <w:jc w:val="center"/>
        <w:rPr>
          <w:rFonts w:hint="default"/>
          <w:color w:val="auto"/>
        </w:rPr>
      </w:pPr>
      <w:bookmarkStart w:id="1" w:name="_Toc24809"/>
      <w:r>
        <w:rPr>
          <w:rFonts w:hint="default"/>
          <w:color w:val="auto"/>
        </w:rPr>
        <w:t>一、建设项目基本情况</w:t>
      </w:r>
      <w:bookmarkEnd w:id="1"/>
      <w:bookmarkStart w:id="55" w:name="_GoBack"/>
      <w:bookmarkEnd w:id="55"/>
    </w:p>
    <w:tbl>
      <w:tblPr>
        <w:tblStyle w:val="24"/>
        <w:tblW w:w="9096"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60"/>
        <w:gridCol w:w="2806"/>
        <w:gridCol w:w="1623"/>
        <w:gridCol w:w="3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636" w:type="dxa"/>
            <w:gridSpan w:val="3"/>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福建融瀚建材有限公司年加工预拌商品混凝土80万立方米、砼结构件20万立方米、年回收加工建筑垃圾60万立方米（变更）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636" w:type="dxa"/>
            <w:gridSpan w:val="3"/>
            <w:vAlign w:val="center"/>
          </w:tcPr>
          <w:p>
            <w:pPr>
              <w:adjustRightInd w:val="0"/>
              <w:snapToGrid w:val="0"/>
              <w:spacing w:line="240" w:lineRule="auto"/>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2410-350181-04-01-638725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806" w:type="dxa"/>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c>
          <w:tcPr>
            <w:tcW w:w="1623"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联系方式</w:t>
            </w:r>
          </w:p>
        </w:tc>
        <w:tc>
          <w:tcPr>
            <w:tcW w:w="3207" w:type="dxa"/>
            <w:vAlign w:val="center"/>
          </w:tcPr>
          <w:p>
            <w:pPr>
              <w:bidi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olor w:val="auto"/>
                <w:sz w:val="24"/>
                <w:szCs w:val="32"/>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636" w:type="dxa"/>
            <w:gridSpan w:val="3"/>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636" w:type="dxa"/>
            <w:gridSpan w:val="3"/>
            <w:vAlign w:val="center"/>
          </w:tcPr>
          <w:p>
            <w:pPr>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东经</w:t>
            </w:r>
            <w:r>
              <w:rPr>
                <w:rFonts w:hint="default" w:ascii="Times New Roman" w:hAnsi="Times New Roman" w:eastAsia="宋体" w:cs="Times New Roman"/>
                <w:color w:val="auto"/>
                <w:sz w:val="24"/>
                <w:szCs w:val="24"/>
                <w:lang w:eastAsia="zh-CN"/>
              </w:rPr>
              <w:t>：119°25'24.2</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北纬</w:t>
            </w:r>
            <w:r>
              <w:rPr>
                <w:rFonts w:hint="default" w:ascii="Times New Roman" w:hAnsi="Times New Roman" w:eastAsia="宋体" w:cs="Times New Roman"/>
                <w:color w:val="auto"/>
                <w:sz w:val="24"/>
                <w:szCs w:val="24"/>
                <w:lang w:eastAsia="zh-CN"/>
              </w:rPr>
              <w:t>：25°39'40.92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lang w:eastAsia="zh-CN"/>
              </w:rPr>
              <w:t>，地理位置图详见</w:t>
            </w:r>
            <w:r>
              <w:rPr>
                <w:rFonts w:hint="default" w:ascii="Times New Roman" w:hAnsi="Times New Roman" w:eastAsia="宋体" w:cs="Times New Roman"/>
                <w:color w:val="auto"/>
                <w:sz w:val="24"/>
                <w:szCs w:val="24"/>
                <w:highlight w:val="none"/>
                <w:lang w:eastAsia="zh-CN"/>
              </w:rPr>
              <w:t>附图</w:t>
            </w:r>
            <w:r>
              <w:rPr>
                <w:rFonts w:hint="eastAsia" w:cs="Times New Roman"/>
                <w:color w:val="auto"/>
                <w:sz w:val="24"/>
                <w:szCs w:val="24"/>
                <w:highlight w:val="none"/>
                <w:lang w:val="en-US" w:eastAsia="zh-CN"/>
              </w:rPr>
              <w:t>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806" w:type="dxa"/>
            <w:vAlign w:val="center"/>
          </w:tcPr>
          <w:p>
            <w:pPr>
              <w:bidi w:val="0"/>
              <w:spacing w:line="240" w:lineRule="auto"/>
              <w:ind w:left="0" w:leftChars="0" w:firstLine="0" w:firstLineChars="0"/>
              <w:jc w:val="center"/>
              <w:rPr>
                <w:rFonts w:hint="eastAsia"/>
                <w:color w:val="auto"/>
                <w:sz w:val="24"/>
                <w:szCs w:val="32"/>
                <w:lang w:val="en-US" w:eastAsia="zh-CN"/>
              </w:rPr>
            </w:pPr>
            <w:r>
              <w:rPr>
                <w:rFonts w:hint="eastAsia"/>
                <w:color w:val="auto"/>
                <w:sz w:val="24"/>
                <w:szCs w:val="32"/>
              </w:rPr>
              <w:t>C</w:t>
            </w:r>
            <w:r>
              <w:rPr>
                <w:rFonts w:hint="eastAsia"/>
                <w:color w:val="auto"/>
                <w:sz w:val="24"/>
                <w:szCs w:val="32"/>
                <w:lang w:val="en-US" w:eastAsia="zh-CN"/>
              </w:rPr>
              <w:t>3021</w:t>
            </w:r>
          </w:p>
          <w:p>
            <w:pPr>
              <w:bidi w:val="0"/>
              <w:spacing w:line="240" w:lineRule="auto"/>
              <w:ind w:left="0" w:leftChars="0" w:firstLine="0" w:firstLineChars="0"/>
              <w:jc w:val="center"/>
              <w:rPr>
                <w:rFonts w:hint="default"/>
                <w:color w:val="auto"/>
                <w:sz w:val="24"/>
                <w:szCs w:val="32"/>
              </w:rPr>
            </w:pPr>
            <w:r>
              <w:rPr>
                <w:rFonts w:hint="eastAsia"/>
                <w:color w:val="auto"/>
                <w:sz w:val="24"/>
                <w:szCs w:val="32"/>
                <w:lang w:eastAsia="zh-CN"/>
              </w:rPr>
              <w:t>（</w:t>
            </w:r>
            <w:r>
              <w:rPr>
                <w:rFonts w:hint="eastAsia"/>
                <w:color w:val="auto"/>
                <w:sz w:val="24"/>
                <w:szCs w:val="32"/>
                <w:lang w:val="en-US" w:eastAsia="zh-CN"/>
              </w:rPr>
              <w:t>水泥制品</w:t>
            </w:r>
            <w:r>
              <w:rPr>
                <w:rFonts w:hint="eastAsia"/>
                <w:color w:val="auto"/>
                <w:sz w:val="24"/>
                <w:szCs w:val="32"/>
                <w:lang w:eastAsia="zh-CN"/>
              </w:rPr>
              <w:t>制造</w:t>
            </w:r>
            <w:r>
              <w:rPr>
                <w:rFonts w:hint="eastAsia"/>
                <w:color w:val="auto"/>
                <w:sz w:val="24"/>
                <w:szCs w:val="32"/>
                <w:lang w:val="en-US" w:eastAsia="zh-CN"/>
              </w:rPr>
              <w:t>）</w:t>
            </w:r>
          </w:p>
        </w:tc>
        <w:tc>
          <w:tcPr>
            <w:tcW w:w="1623"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bookmarkStart w:id="2" w:name="_Hlk49843745"/>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bookmarkEnd w:id="2"/>
          </w:p>
        </w:tc>
        <w:tc>
          <w:tcPr>
            <w:tcW w:w="3207" w:type="dxa"/>
            <w:vAlign w:val="center"/>
          </w:tcPr>
          <w:p>
            <w:pPr>
              <w:spacing w:beforeLines="0" w:afterLines="0" w:line="240" w:lineRule="auto"/>
              <w:ind w:left="0" w:leftChars="0" w:firstLine="0" w:firstLineChars="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二十七、非金属矿物制品业</w:t>
            </w:r>
            <w:r>
              <w:rPr>
                <w:rFonts w:hint="eastAsia" w:ascii="Times New Roman" w:hAnsi="Times New Roman" w:eastAsia="宋体" w:cs="Times New Roman"/>
                <w:color w:val="auto"/>
                <w:sz w:val="24"/>
                <w:szCs w:val="24"/>
                <w:lang w:val="en-US" w:eastAsia="zh-CN"/>
              </w:rPr>
              <w:t>30</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55石膏、水泥制品及类似制品制造302</w:t>
            </w:r>
            <w:r>
              <w:rPr>
                <w:rFonts w:hint="eastAsia" w:cs="Times New Roman"/>
                <w:color w:val="auto"/>
                <w:sz w:val="24"/>
                <w:szCs w:val="24"/>
                <w:lang w:val="en-US" w:eastAsia="zh-CN"/>
              </w:rPr>
              <w:t>-商品混凝土；</w:t>
            </w:r>
            <w:r>
              <w:rPr>
                <w:rFonts w:hint="eastAsia" w:ascii="Times New Roman" w:hAnsi="Times New Roman" w:eastAsia="宋体" w:cs="Times New Roman"/>
                <w:color w:val="auto"/>
                <w:sz w:val="24"/>
                <w:szCs w:val="24"/>
                <w:lang w:eastAsia="zh-CN"/>
              </w:rPr>
              <w:t>砼结构构件制造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806" w:type="dxa"/>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新建（迁建）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改建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扩建</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技术改造</w:t>
            </w:r>
          </w:p>
        </w:tc>
        <w:tc>
          <w:tcPr>
            <w:tcW w:w="1623"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3207" w:type="dxa"/>
            <w:vAlign w:val="center"/>
          </w:tcPr>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首次申报项目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不予批准后再次申报项目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超五年重新审核项目</w:t>
            </w:r>
          </w:p>
          <w:p>
            <w:pPr>
              <w:spacing w:line="240" w:lineRule="auto"/>
              <w:ind w:left="0" w:leftChars="0" w:firstLine="0" w:firstLineChars="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项目审批（核准/备案）部门</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（选填）</w:t>
            </w:r>
          </w:p>
        </w:tc>
        <w:tc>
          <w:tcPr>
            <w:tcW w:w="2806"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lang w:eastAsia="zh-CN"/>
              </w:rPr>
            </w:pPr>
            <w:r>
              <w:rPr>
                <w:rFonts w:hint="eastAsia" w:cs="Times New Roman"/>
                <w:color w:val="auto"/>
                <w:sz w:val="24"/>
                <w:szCs w:val="24"/>
                <w:highlight w:val="none"/>
                <w:lang w:val="en-US" w:eastAsia="zh-CN"/>
              </w:rPr>
              <w:t>福清</w:t>
            </w:r>
            <w:r>
              <w:rPr>
                <w:rFonts w:hint="eastAsia" w:ascii="Times New Roman" w:hAnsi="Times New Roman" w:eastAsia="宋体" w:cs="Times New Roman"/>
                <w:color w:val="auto"/>
                <w:sz w:val="24"/>
                <w:szCs w:val="24"/>
                <w:highlight w:val="none"/>
                <w:lang w:eastAsia="zh-CN"/>
              </w:rPr>
              <w:t>市发展和改革局</w:t>
            </w:r>
          </w:p>
        </w:tc>
        <w:tc>
          <w:tcPr>
            <w:tcW w:w="1623"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项目审批（核准/备案）文号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（选填）</w:t>
            </w:r>
          </w:p>
        </w:tc>
        <w:tc>
          <w:tcPr>
            <w:tcW w:w="3207" w:type="dxa"/>
            <w:vAlign w:val="center"/>
          </w:tcPr>
          <w:p>
            <w:pPr>
              <w:adjustRightInd w:val="0"/>
              <w:snapToGrid w:val="0"/>
              <w:spacing w:line="240" w:lineRule="auto"/>
              <w:ind w:left="0" w:leftChars="0" w:firstLine="0" w:firstLineChars="0"/>
              <w:jc w:val="both"/>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eastAsia="zh-CN"/>
              </w:rPr>
              <w:t>闽发改备</w:t>
            </w:r>
            <w:r>
              <w:rPr>
                <w:rFonts w:hint="eastAsia" w:cs="Times New Roman"/>
                <w:color w:val="auto"/>
                <w:sz w:val="24"/>
                <w:szCs w:val="24"/>
                <w:highlight w:val="none"/>
                <w:lang w:val="en-US" w:eastAsia="zh-CN"/>
              </w:rPr>
              <w:t>[</w:t>
            </w:r>
            <w:r>
              <w:rPr>
                <w:rFonts w:hint="eastAsia" w:cs="Times New Roman"/>
                <w:color w:val="auto"/>
                <w:sz w:val="24"/>
                <w:szCs w:val="24"/>
                <w:highlight w:val="none"/>
                <w:lang w:eastAsia="zh-CN"/>
              </w:rPr>
              <w:t>2024</w:t>
            </w:r>
            <w:r>
              <w:rPr>
                <w:rFonts w:hint="eastAsia" w:cs="Times New Roman"/>
                <w:color w:val="auto"/>
                <w:sz w:val="24"/>
                <w:szCs w:val="24"/>
                <w:highlight w:val="none"/>
                <w:lang w:val="en-US" w:eastAsia="zh-CN"/>
              </w:rPr>
              <w:t>]A060389</w:t>
            </w:r>
            <w:r>
              <w:rPr>
                <w:rFonts w:hint="eastAsia" w:cs="Times New Roman"/>
                <w:color w:val="auto"/>
                <w:sz w:val="24"/>
                <w:szCs w:val="24"/>
                <w:highlight w:val="none"/>
                <w:lang w:eastAsia="zh-CN"/>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2806"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24600</w:t>
            </w:r>
          </w:p>
        </w:tc>
        <w:tc>
          <w:tcPr>
            <w:tcW w:w="1623"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（万元）</w:t>
            </w:r>
          </w:p>
        </w:tc>
        <w:tc>
          <w:tcPr>
            <w:tcW w:w="3207"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105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806"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0.43</w:t>
            </w:r>
            <w:r>
              <w:rPr>
                <w:rFonts w:hint="eastAsia" w:ascii="Times New Roman" w:hAnsi="Times New Roman" w:eastAsia="宋体" w:cs="Times New Roman"/>
                <w:color w:val="auto"/>
                <w:sz w:val="24"/>
                <w:szCs w:val="24"/>
                <w:highlight w:val="none"/>
                <w:lang w:val="en-US" w:eastAsia="zh-CN"/>
              </w:rPr>
              <w:t>%</w:t>
            </w:r>
          </w:p>
        </w:tc>
        <w:tc>
          <w:tcPr>
            <w:tcW w:w="1623"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施工工期</w:t>
            </w:r>
          </w:p>
        </w:tc>
        <w:tc>
          <w:tcPr>
            <w:tcW w:w="3207" w:type="dxa"/>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lang w:val="en-US" w:eastAsia="zh-CN"/>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460"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806" w:type="dxa"/>
            <w:vAlign w:val="center"/>
          </w:tcPr>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sym w:font="Wingdings 2" w:char="0052"/>
            </w:r>
            <w:r>
              <w:rPr>
                <w:rFonts w:hint="default" w:ascii="Times New Roman" w:hAnsi="Times New Roman" w:eastAsia="宋体" w:cs="Times New Roman"/>
                <w:color w:val="auto"/>
                <w:sz w:val="24"/>
                <w:szCs w:val="24"/>
              </w:rPr>
              <w:t>否</w:t>
            </w:r>
          </w:p>
          <w:p>
            <w:pPr>
              <w:adjustRightInd w:val="0"/>
              <w:snapToGrid w:val="0"/>
              <w:spacing w:line="240" w:lineRule="auto"/>
              <w:ind w:left="0" w:leftChars="0" w:firstLine="0" w:firstLineChars="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sym w:font="Wingdings 2" w:char="00A3"/>
            </w:r>
            <w:r>
              <w:rPr>
                <w:rFonts w:hint="default" w:ascii="Times New Roman" w:hAnsi="Times New Roman" w:eastAsia="宋体" w:cs="Times New Roman"/>
                <w:color w:val="auto"/>
                <w:sz w:val="24"/>
                <w:szCs w:val="24"/>
              </w:rPr>
              <w:t>是：</w:t>
            </w:r>
            <w:r>
              <w:rPr>
                <w:rFonts w:hint="eastAsia" w:ascii="Times New Roman" w:hAnsi="Times New Roman" w:eastAsia="宋体" w:cs="Times New Roman"/>
                <w:color w:val="auto"/>
                <w:sz w:val="24"/>
                <w:szCs w:val="24"/>
                <w:lang w:val="en-US" w:eastAsia="zh-CN"/>
              </w:rPr>
              <w:t>_________</w:t>
            </w:r>
          </w:p>
        </w:tc>
        <w:tc>
          <w:tcPr>
            <w:tcW w:w="1623" w:type="dxa"/>
            <w:tcMar>
              <w:top w:w="16" w:type="dxa"/>
              <w:left w:w="16" w:type="dxa"/>
              <w:right w:w="16" w:type="dxa"/>
            </w:tcMar>
            <w:vAlign w:val="center"/>
          </w:tcPr>
          <w:p>
            <w:pPr>
              <w:adjustRightInd w:val="0"/>
              <w:snapToGrid w:val="0"/>
              <w:spacing w:line="240" w:lineRule="auto"/>
              <w:ind w:left="0" w:leftChars="0" w:firstLine="0" w:firstLineChars="0"/>
              <w:jc w:val="center"/>
              <w:rPr>
                <w:rFonts w:hint="default" w:ascii="Times New Roman" w:hAnsi="Times New Roman" w:eastAsia="宋体" w:cs="Times New Roman"/>
                <w:color w:val="auto"/>
                <w:spacing w:val="-6"/>
                <w:sz w:val="24"/>
                <w:szCs w:val="24"/>
              </w:rPr>
            </w:pPr>
            <w:r>
              <w:rPr>
                <w:rFonts w:hint="default" w:ascii="Times New Roman" w:hAnsi="Times New Roman" w:eastAsia="宋体" w:cs="Times New Roman"/>
                <w:color w:val="auto"/>
                <w:spacing w:val="-6"/>
                <w:sz w:val="24"/>
                <w:szCs w:val="24"/>
              </w:rPr>
              <w:t>用地（用海）</w:t>
            </w:r>
          </w:p>
          <w:p>
            <w:pPr>
              <w:adjustRightInd w:val="0"/>
              <w:snapToGrid w:val="0"/>
              <w:spacing w:line="240" w:lineRule="auto"/>
              <w:ind w:left="0" w:leftChars="0" w:firstLine="0" w:firstLineChars="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3207" w:type="dxa"/>
            <w:vAlign w:val="center"/>
          </w:tcPr>
          <w:p>
            <w:pPr>
              <w:bidi w:val="0"/>
              <w:spacing w:line="240" w:lineRule="auto"/>
              <w:ind w:left="0" w:leftChars="0" w:firstLine="0" w:firstLineChars="0"/>
              <w:jc w:val="center"/>
              <w:rPr>
                <w:rFonts w:hint="eastAsia"/>
                <w:color w:val="auto"/>
                <w:sz w:val="24"/>
                <w:szCs w:val="32"/>
                <w:vertAlign w:val="superscript"/>
                <w:lang w:val="en-US" w:eastAsia="zh-CN"/>
              </w:rPr>
            </w:pPr>
            <w:r>
              <w:rPr>
                <w:rFonts w:hint="eastAsia"/>
                <w:color w:val="auto"/>
                <w:sz w:val="24"/>
                <w:szCs w:val="32"/>
                <w:lang w:val="en-US" w:eastAsia="zh-CN"/>
              </w:rPr>
              <w:t>用地面积36469m</w:t>
            </w:r>
            <w:r>
              <w:rPr>
                <w:rFonts w:hint="eastAsia"/>
                <w:color w:val="auto"/>
                <w:sz w:val="24"/>
                <w:szCs w:val="32"/>
                <w:vertAlign w:val="superscript"/>
                <w:lang w:val="en-US" w:eastAsia="zh-CN"/>
              </w:rPr>
              <w:t>2</w:t>
            </w:r>
          </w:p>
          <w:p>
            <w:pPr>
              <w:bidi w:val="0"/>
              <w:spacing w:line="240" w:lineRule="auto"/>
              <w:ind w:left="0" w:leftChars="0" w:firstLine="0" w:firstLineChars="0"/>
              <w:jc w:val="center"/>
              <w:rPr>
                <w:rFonts w:hint="default" w:ascii="Times New Roman" w:hAnsi="Times New Roman" w:eastAsia="宋体" w:cs="Times New Roman"/>
                <w:color w:val="auto"/>
                <w:sz w:val="24"/>
                <w:szCs w:val="24"/>
                <w:vertAlign w:val="baseline"/>
                <w:lang w:val="en-US" w:eastAsia="zh-CN"/>
              </w:rPr>
            </w:pPr>
            <w:r>
              <w:rPr>
                <w:rFonts w:hint="eastAsia"/>
                <w:color w:val="auto"/>
                <w:sz w:val="24"/>
                <w:szCs w:val="32"/>
                <w:lang w:val="en-US" w:eastAsia="zh-CN"/>
              </w:rPr>
              <w:t>（合54.7亩）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68" w:hRule="atLeast"/>
          <w:jc w:val="center"/>
        </w:trPr>
        <w:tc>
          <w:tcPr>
            <w:tcW w:w="1460" w:type="dxa"/>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专项评价设置情况</w:t>
            </w:r>
          </w:p>
        </w:tc>
        <w:tc>
          <w:tcPr>
            <w:tcW w:w="7636" w:type="dxa"/>
            <w:gridSpan w:val="3"/>
            <w:vAlign w:val="center"/>
          </w:tcPr>
          <w:p>
            <w:pPr>
              <w:bidi w:val="0"/>
              <w:rPr>
                <w:rFonts w:hint="eastAsia"/>
                <w:color w:val="auto"/>
              </w:rPr>
            </w:pPr>
            <w:r>
              <w:rPr>
                <w:rFonts w:hint="eastAsia"/>
                <w:color w:val="auto"/>
              </w:rPr>
              <w:t>根据《建设项目环境影响报告表编制技术指南</w:t>
            </w:r>
            <w:r>
              <w:rPr>
                <w:rFonts w:hint="eastAsia"/>
                <w:color w:val="auto"/>
                <w:lang w:eastAsia="zh-CN"/>
              </w:rPr>
              <w:t>（</w:t>
            </w:r>
            <w:r>
              <w:rPr>
                <w:rFonts w:hint="eastAsia"/>
                <w:color w:val="auto"/>
              </w:rPr>
              <w:t>污染影响类</w:t>
            </w:r>
            <w:r>
              <w:rPr>
                <w:rFonts w:hint="eastAsia"/>
                <w:color w:val="auto"/>
                <w:lang w:eastAsia="zh-CN"/>
              </w:rPr>
              <w:t>）（</w:t>
            </w:r>
            <w:r>
              <w:rPr>
                <w:rFonts w:hint="eastAsia"/>
                <w:color w:val="auto"/>
              </w:rPr>
              <w:t>试行</w:t>
            </w:r>
            <w:r>
              <w:rPr>
                <w:rFonts w:hint="eastAsia"/>
                <w:color w:val="auto"/>
                <w:lang w:eastAsia="zh-CN"/>
              </w:rPr>
              <w:t>）</w:t>
            </w:r>
            <w:r>
              <w:rPr>
                <w:rFonts w:hint="eastAsia"/>
                <w:color w:val="auto"/>
              </w:rPr>
              <w:t>》</w:t>
            </w:r>
            <w:r>
              <w:rPr>
                <w:rFonts w:hint="eastAsia"/>
                <w:color w:val="auto"/>
                <w:lang w:eastAsia="zh-CN"/>
              </w:rPr>
              <w:t>（</w:t>
            </w:r>
            <w:r>
              <w:rPr>
                <w:rFonts w:hint="default"/>
                <w:color w:val="auto"/>
                <w:lang w:val="zh-CN" w:eastAsia="zh-CN"/>
              </w:rPr>
              <w:t>环办环评〔2020〕33号</w:t>
            </w:r>
            <w:r>
              <w:rPr>
                <w:rFonts w:hint="eastAsia"/>
                <w:color w:val="auto"/>
                <w:lang w:val="zh-CN" w:eastAsia="zh-CN"/>
              </w:rPr>
              <w:t>）</w:t>
            </w:r>
            <w:r>
              <w:rPr>
                <w:rFonts w:hint="eastAsia"/>
                <w:color w:val="auto"/>
              </w:rPr>
              <w:t>，土壤、声不开展专项评价，地下水原则不开展专项评价。项目专项</w:t>
            </w:r>
            <w:r>
              <w:rPr>
                <w:rFonts w:hint="eastAsia"/>
                <w:color w:val="auto"/>
                <w:lang w:val="en-US" w:eastAsia="zh-CN"/>
              </w:rPr>
              <w:t>评价</w:t>
            </w:r>
            <w:r>
              <w:rPr>
                <w:rFonts w:hint="eastAsia"/>
                <w:color w:val="auto"/>
              </w:rPr>
              <w:t>设置</w:t>
            </w:r>
            <w:r>
              <w:rPr>
                <w:rFonts w:hint="eastAsia"/>
                <w:color w:val="auto"/>
                <w:lang w:val="en-US" w:eastAsia="zh-CN"/>
              </w:rPr>
              <w:t>原则</w:t>
            </w:r>
            <w:r>
              <w:rPr>
                <w:rFonts w:hint="eastAsia"/>
                <w:color w:val="auto"/>
              </w:rPr>
              <w:t>情况具体见表1</w:t>
            </w:r>
            <w:r>
              <w:rPr>
                <w:rFonts w:hint="eastAsia"/>
                <w:color w:val="auto"/>
                <w:lang w:val="en-US" w:eastAsia="zh-CN"/>
              </w:rPr>
              <w:t>-1</w:t>
            </w:r>
            <w:r>
              <w:rPr>
                <w:rFonts w:hint="eastAsia"/>
                <w:color w:val="auto"/>
              </w:rPr>
              <w:t>。</w:t>
            </w:r>
          </w:p>
          <w:p>
            <w:pPr>
              <w:spacing w:before="120" w:beforeLines="50"/>
              <w:ind w:firstLine="0" w:firstLineChars="0"/>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表1</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w:t>
            </w:r>
            <w:r>
              <w:rPr>
                <w:rFonts w:hint="eastAsia" w:ascii="Times New Roman" w:hAnsi="Times New Roman" w:eastAsia="宋体" w:cs="Times New Roman"/>
                <w:b/>
                <w:bCs/>
                <w:color w:val="auto"/>
                <w:sz w:val="21"/>
                <w:szCs w:val="21"/>
              </w:rPr>
              <w:t>专项评价设置</w:t>
            </w:r>
            <w:r>
              <w:rPr>
                <w:rFonts w:hint="eastAsia" w:ascii="Times New Roman" w:hAnsi="Times New Roman" w:eastAsia="宋体" w:cs="Times New Roman"/>
                <w:b/>
                <w:bCs/>
                <w:color w:val="auto"/>
                <w:sz w:val="21"/>
                <w:szCs w:val="21"/>
                <w:lang w:val="en-US" w:eastAsia="zh-CN"/>
              </w:rPr>
              <w:t>原则</w:t>
            </w:r>
            <w:r>
              <w:rPr>
                <w:rFonts w:hint="eastAsia" w:ascii="Times New Roman" w:hAnsi="Times New Roman" w:eastAsia="宋体" w:cs="Times New Roman"/>
                <w:b/>
                <w:bCs/>
                <w:color w:val="auto"/>
                <w:sz w:val="21"/>
                <w:szCs w:val="21"/>
              </w:rPr>
              <w:t>表</w:t>
            </w:r>
          </w:p>
          <w:tbl>
            <w:tblPr>
              <w:tblStyle w:val="24"/>
              <w:tblW w:w="7420"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901"/>
              <w:gridCol w:w="3762"/>
              <w:gridCol w:w="2002"/>
              <w:gridCol w:w="7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专项评价类别</w:t>
                  </w:r>
                </w:p>
              </w:tc>
              <w:tc>
                <w:tcPr>
                  <w:tcW w:w="3762" w:type="dxa"/>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设置原则</w:t>
                  </w:r>
                </w:p>
              </w:tc>
              <w:tc>
                <w:tcPr>
                  <w:tcW w:w="2002" w:type="dxa"/>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lang w:val="en-US" w:eastAsia="zh-CN"/>
                    </w:rPr>
                  </w:pPr>
                  <w:r>
                    <w:rPr>
                      <w:rFonts w:hint="default"/>
                      <w:color w:val="auto"/>
                      <w:sz w:val="21"/>
                      <w:szCs w:val="21"/>
                    </w:rPr>
                    <w:t>本项目</w:t>
                  </w:r>
                  <w:r>
                    <w:rPr>
                      <w:rFonts w:hint="default"/>
                      <w:color w:val="auto"/>
                      <w:sz w:val="21"/>
                      <w:szCs w:val="21"/>
                      <w:lang w:val="en-US" w:eastAsia="zh-CN"/>
                    </w:rPr>
                    <w:t>情况</w:t>
                  </w:r>
                </w:p>
              </w:tc>
              <w:tc>
                <w:tcPr>
                  <w:tcW w:w="755" w:type="dxa"/>
                  <w:vAlign w:val="center"/>
                </w:tcPr>
                <w:p>
                  <w:pPr>
                    <w:pStyle w:val="33"/>
                    <w:keepLines w:val="0"/>
                    <w:pageBreakBefore w:val="0"/>
                    <w:widowControl w:val="0"/>
                    <w:kinsoku/>
                    <w:wordWrap/>
                    <w:overflowPunct/>
                    <w:topLinePunct w:val="0"/>
                    <w:bidi w:val="0"/>
                    <w:spacing w:before="0" w:beforeLines="0" w:after="0" w:afterLines="0" w:line="240" w:lineRule="auto"/>
                    <w:ind w:firstLine="0" w:firstLineChars="0"/>
                    <w:textAlignment w:val="auto"/>
                    <w:rPr>
                      <w:rFonts w:hint="default"/>
                      <w:color w:val="auto"/>
                      <w:sz w:val="21"/>
                      <w:szCs w:val="21"/>
                    </w:rPr>
                  </w:pPr>
                  <w:r>
                    <w:rPr>
                      <w:rFonts w:hint="default"/>
                      <w:color w:val="auto"/>
                      <w:sz w:val="21"/>
                      <w:szCs w:val="21"/>
                    </w:rPr>
                    <w:t>是否设置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大气</w:t>
                  </w:r>
                </w:p>
              </w:tc>
              <w:tc>
                <w:tcPr>
                  <w:tcW w:w="376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排放废气含有毒有害污染物、二噁英、苯并[a]芘、氰化物、氯气且厂界外500米范围内有环境空气保护目标的建设项目。</w:t>
                  </w:r>
                </w:p>
              </w:tc>
              <w:tc>
                <w:tcPr>
                  <w:tcW w:w="200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val="en-US" w:eastAsia="zh-CN"/>
                    </w:rPr>
                  </w:pPr>
                  <w:r>
                    <w:rPr>
                      <w:rFonts w:hint="default"/>
                      <w:color w:val="auto"/>
                      <w:sz w:val="21"/>
                      <w:szCs w:val="21"/>
                      <w:lang w:val="en-US" w:eastAsia="zh-CN"/>
                    </w:rPr>
                    <w:t>本项目排放的废气污染物</w:t>
                  </w:r>
                  <w:r>
                    <w:rPr>
                      <w:rFonts w:hint="default"/>
                      <w:color w:val="auto"/>
                      <w:sz w:val="21"/>
                      <w:szCs w:val="21"/>
                    </w:rPr>
                    <w:t>不涉及</w:t>
                  </w:r>
                  <w:r>
                    <w:rPr>
                      <w:rFonts w:hint="eastAsia"/>
                      <w:color w:val="auto"/>
                      <w:sz w:val="21"/>
                      <w:szCs w:val="21"/>
                      <w:lang w:val="en-US" w:eastAsia="zh-CN"/>
                    </w:rPr>
                    <w:t>所述</w:t>
                  </w:r>
                  <w:r>
                    <w:rPr>
                      <w:rFonts w:hint="default"/>
                      <w:color w:val="auto"/>
                      <w:sz w:val="21"/>
                      <w:szCs w:val="21"/>
                    </w:rPr>
                    <w:t>大气污染物。</w:t>
                  </w:r>
                </w:p>
              </w:tc>
              <w:tc>
                <w:tcPr>
                  <w:tcW w:w="755"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地表水</w:t>
                  </w:r>
                </w:p>
              </w:tc>
              <w:tc>
                <w:tcPr>
                  <w:tcW w:w="376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新增工业废水直排建设项目</w:t>
                  </w:r>
                  <w:r>
                    <w:rPr>
                      <w:rFonts w:hint="eastAsia"/>
                      <w:color w:val="auto"/>
                      <w:sz w:val="21"/>
                      <w:szCs w:val="21"/>
                      <w:lang w:eastAsia="zh-CN"/>
                    </w:rPr>
                    <w:t>（</w:t>
                  </w:r>
                  <w:r>
                    <w:rPr>
                      <w:rFonts w:hint="default"/>
                      <w:color w:val="auto"/>
                      <w:sz w:val="21"/>
                      <w:szCs w:val="21"/>
                    </w:rPr>
                    <w:t>槽罐车外送污水处理厂的除外</w:t>
                  </w:r>
                  <w:r>
                    <w:rPr>
                      <w:rFonts w:hint="eastAsia"/>
                      <w:color w:val="auto"/>
                      <w:sz w:val="21"/>
                      <w:szCs w:val="21"/>
                      <w:lang w:eastAsia="zh-CN"/>
                    </w:rPr>
                    <w:t>）</w:t>
                  </w:r>
                  <w:r>
                    <w:rPr>
                      <w:rFonts w:hint="default"/>
                      <w:color w:val="auto"/>
                      <w:sz w:val="21"/>
                      <w:szCs w:val="21"/>
                    </w:rPr>
                    <w:t>；新增废水直排的污水集中处理厂。</w:t>
                  </w:r>
                </w:p>
              </w:tc>
              <w:tc>
                <w:tcPr>
                  <w:tcW w:w="200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lang w:eastAsia="zh-CN"/>
                    </w:rPr>
                  </w:pPr>
                  <w:r>
                    <w:rPr>
                      <w:rFonts w:hint="default"/>
                      <w:color w:val="auto"/>
                      <w:sz w:val="21"/>
                      <w:szCs w:val="21"/>
                    </w:rPr>
                    <w:t>本项目不涉及</w:t>
                  </w:r>
                  <w:r>
                    <w:rPr>
                      <w:rFonts w:hint="default"/>
                      <w:color w:val="auto"/>
                      <w:sz w:val="21"/>
                      <w:szCs w:val="21"/>
                      <w:lang w:eastAsia="zh-CN"/>
                    </w:rPr>
                    <w:t>。</w:t>
                  </w:r>
                </w:p>
              </w:tc>
              <w:tc>
                <w:tcPr>
                  <w:tcW w:w="755"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环境</w:t>
                  </w:r>
                </w:p>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风险</w:t>
                  </w:r>
                </w:p>
              </w:tc>
              <w:tc>
                <w:tcPr>
                  <w:tcW w:w="376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有毒有害和易燃易爆危险物质存储量超过临界量的建设项目。</w:t>
                  </w:r>
                </w:p>
              </w:tc>
              <w:tc>
                <w:tcPr>
                  <w:tcW w:w="200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w:t>
                  </w:r>
                  <w:r>
                    <w:rPr>
                      <w:rFonts w:hint="eastAsia"/>
                      <w:color w:val="auto"/>
                      <w:sz w:val="21"/>
                      <w:szCs w:val="21"/>
                      <w:lang w:val="en-US" w:eastAsia="zh-CN"/>
                    </w:rPr>
                    <w:t>厂内主要涉及废机油等危险废物储存，</w:t>
                  </w:r>
                  <w:r>
                    <w:rPr>
                      <w:rFonts w:hint="default" w:ascii="Times New Roman" w:hAnsi="Times New Roman" w:eastAsia="宋体" w:cs="Times New Roman"/>
                      <w:b w:val="0"/>
                      <w:bCs w:val="0"/>
                      <w:color w:val="auto"/>
                      <w:sz w:val="21"/>
                      <w:szCs w:val="21"/>
                      <w:highlight w:val="none"/>
                      <w:lang w:val="en-US" w:eastAsia="zh-CN"/>
                    </w:rPr>
                    <w:t>环境风险物质数量与临界量比值</w:t>
                  </w:r>
                  <w:r>
                    <w:rPr>
                      <w:rFonts w:ascii="Times New Roman" w:hAnsi="Times New Roman" w:eastAsia="宋体"/>
                      <w:color w:val="auto"/>
                      <w:sz w:val="21"/>
                      <w:szCs w:val="21"/>
                      <w:highlight w:val="none"/>
                      <w:lang w:val="zh-CN"/>
                    </w:rPr>
                    <w:t>Q=</w:t>
                  </w:r>
                  <w:r>
                    <w:rPr>
                      <w:rFonts w:hint="eastAsia"/>
                      <w:color w:val="auto"/>
                      <w:sz w:val="21"/>
                      <w:szCs w:val="21"/>
                      <w:highlight w:val="none"/>
                      <w:lang w:val="en-US" w:eastAsia="zh-CN"/>
                    </w:rPr>
                    <w:t>0.00718</w:t>
                  </w:r>
                  <w:r>
                    <w:rPr>
                      <w:rFonts w:hint="eastAsia" w:ascii="Times New Roman" w:hAnsi="Times New Roman" w:eastAsia="宋体"/>
                      <w:color w:val="auto"/>
                      <w:sz w:val="21"/>
                      <w:szCs w:val="21"/>
                      <w:highlight w:val="none"/>
                      <w:lang w:val="en-US" w:eastAsia="zh-CN"/>
                    </w:rPr>
                    <w:t>＜1</w:t>
                  </w:r>
                  <w:r>
                    <w:rPr>
                      <w:rFonts w:hint="default"/>
                      <w:color w:val="auto"/>
                      <w:sz w:val="21"/>
                      <w:szCs w:val="21"/>
                    </w:rPr>
                    <w:t>。</w:t>
                  </w:r>
                </w:p>
              </w:tc>
              <w:tc>
                <w:tcPr>
                  <w:tcW w:w="755"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生态</w:t>
                  </w:r>
                </w:p>
              </w:tc>
              <w:tc>
                <w:tcPr>
                  <w:tcW w:w="376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取水口下游500米范围内有重要水生生物的自然产卵场、索饵场、越冬场和洄游通道的新增河道取水的污染类建设项目。</w:t>
                  </w:r>
                </w:p>
              </w:tc>
              <w:tc>
                <w:tcPr>
                  <w:tcW w:w="200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本项目不涉及取水口。</w:t>
                  </w:r>
                </w:p>
              </w:tc>
              <w:tc>
                <w:tcPr>
                  <w:tcW w:w="755"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901"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海洋</w:t>
                  </w:r>
                </w:p>
              </w:tc>
              <w:tc>
                <w:tcPr>
                  <w:tcW w:w="376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直接向海排放污染物的海洋工程建设项目。</w:t>
                  </w:r>
                </w:p>
              </w:tc>
              <w:tc>
                <w:tcPr>
                  <w:tcW w:w="2002"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本项目不属于海洋工程建设项目。</w:t>
                  </w:r>
                </w:p>
              </w:tc>
              <w:tc>
                <w:tcPr>
                  <w:tcW w:w="755" w:type="dxa"/>
                  <w:vAlign w:val="center"/>
                </w:tcPr>
                <w:p>
                  <w:pPr>
                    <w:pStyle w:val="28"/>
                    <w:keepLines w:val="0"/>
                    <w:pageBreakBefore w:val="0"/>
                    <w:widowControl w:val="0"/>
                    <w:kinsoku/>
                    <w:wordWrap/>
                    <w:overflowPunct/>
                    <w:topLinePunct w:val="0"/>
                    <w:bidi w:val="0"/>
                    <w:spacing w:line="240" w:lineRule="auto"/>
                    <w:ind w:firstLine="0" w:firstLineChars="0"/>
                    <w:textAlignment w:val="auto"/>
                    <w:rPr>
                      <w:rFonts w:hint="default"/>
                      <w:color w:val="auto"/>
                      <w:sz w:val="21"/>
                      <w:szCs w:val="21"/>
                    </w:rPr>
                  </w:pPr>
                  <w:r>
                    <w:rPr>
                      <w:rFonts w:hint="default"/>
                      <w:color w:val="auto"/>
                      <w:sz w:val="21"/>
                      <w:szCs w:val="21"/>
                    </w:rPr>
                    <w:t>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40" w:hRule="atLeast"/>
                <w:jc w:val="center"/>
              </w:trPr>
              <w:tc>
                <w:tcPr>
                  <w:tcW w:w="7420" w:type="dxa"/>
                  <w:gridSpan w:val="4"/>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rPr>
                    <w:t>注：</w:t>
                  </w:r>
                  <w:r>
                    <w:rPr>
                      <w:rFonts w:hint="default" w:ascii="Times New Roman" w:hAnsi="Times New Roman" w:eastAsia="宋体" w:cs="Times New Roman"/>
                      <w:color w:val="auto"/>
                      <w:sz w:val="21"/>
                      <w:szCs w:val="21"/>
                    </w:rPr>
                    <w:t>①废气中有毒有害污染物指纳入《有毒有害大气污染物名录》的污染物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不包括无排放标准的污染物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②环境空气保护目标指自然保护区、风景名胜区居住区、文化区和农村地区中人群较集中的区域。</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③临界量及其计算方法参考《建设项目环境风险评价技术导则》</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HJ 169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附录B、附录C。</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kern w:val="0"/>
                <w:szCs w:val="21"/>
                <w:lang w:eastAsia="zh-CN"/>
              </w:rPr>
            </w:pPr>
            <w:r>
              <w:rPr>
                <w:rFonts w:hint="eastAsia"/>
                <w:color w:val="auto"/>
              </w:rPr>
              <w:t>根据上表分析，本项目</w:t>
            </w:r>
            <w:r>
              <w:rPr>
                <w:rFonts w:hint="eastAsia"/>
                <w:color w:val="auto"/>
                <w:lang w:eastAsia="zh-CN"/>
              </w:rPr>
              <w:t>无需设置</w:t>
            </w:r>
            <w:r>
              <w:rPr>
                <w:rFonts w:hint="eastAsia"/>
                <w:color w:val="auto"/>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460" w:type="dxa"/>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规划情况</w:t>
            </w:r>
          </w:p>
        </w:tc>
        <w:tc>
          <w:tcPr>
            <w:tcW w:w="7636"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460" w:type="dxa"/>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规划环境影响评价情况</w:t>
            </w:r>
          </w:p>
        </w:tc>
        <w:tc>
          <w:tcPr>
            <w:tcW w:w="7636" w:type="dxa"/>
            <w:gridSpan w:val="3"/>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firstLine="0" w:firstLineChars="0"/>
              <w:jc w:val="left"/>
              <w:textAlignment w:val="auto"/>
              <w:rPr>
                <w:rFonts w:hint="eastAsia" w:ascii="Times New Roman" w:hAnsi="Times New Roman" w:eastAsia="宋体" w:cs="Times New Roman"/>
                <w:color w:val="auto"/>
                <w:sz w:val="21"/>
                <w:szCs w:val="21"/>
                <w:lang w:val="en-US" w:eastAsia="zh-CN"/>
              </w:rPr>
            </w:pPr>
            <w:r>
              <w:rPr>
                <w:rFonts w:hint="eastAsia" w:cs="Times New Roman"/>
                <w:b/>
                <w:bCs/>
                <w:color w:val="auto"/>
                <w:sz w:val="21"/>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21" w:hRule="atLeast"/>
          <w:jc w:val="center"/>
        </w:trPr>
        <w:tc>
          <w:tcPr>
            <w:tcW w:w="1460" w:type="dxa"/>
            <w:vAlign w:val="center"/>
          </w:tcPr>
          <w:p>
            <w:pPr>
              <w:autoSpaceDE w:val="0"/>
              <w:autoSpaceDN w:val="0"/>
              <w:adjustRightInd w:val="0"/>
              <w:snapToGrid w:val="0"/>
              <w:ind w:left="0" w:leftChars="0" w:firstLine="0" w:firstLineChars="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规划及规划环境影响评价符合性分析</w:t>
            </w:r>
          </w:p>
        </w:tc>
        <w:tc>
          <w:tcPr>
            <w:tcW w:w="7636" w:type="dxa"/>
            <w:gridSpan w:val="3"/>
            <w:vAlign w:val="center"/>
          </w:tcPr>
          <w:p>
            <w:pPr>
              <w:numPr>
                <w:ilvl w:val="0"/>
                <w:numId w:val="2"/>
              </w:numPr>
              <w:bidi w:val="0"/>
              <w:rPr>
                <w:rFonts w:hint="eastAsia" w:ascii="Times New Roman" w:hAnsi="Times New Roman" w:eastAsia="宋体" w:cs="Times New Roman"/>
                <w:color w:val="auto"/>
                <w:sz w:val="24"/>
                <w:szCs w:val="24"/>
                <w:lang w:val="en-US" w:eastAsia="zh-CN"/>
              </w:rPr>
            </w:pPr>
            <w:r>
              <w:rPr>
                <w:rFonts w:hint="eastAsia"/>
                <w:color w:val="auto"/>
                <w:lang w:val="en-US" w:eastAsia="zh-CN"/>
              </w:rPr>
              <w:t>与《福清市国土空间总体规划（2021-2035年）》符合性分析</w:t>
            </w:r>
          </w:p>
          <w:p>
            <w:pPr>
              <w:bidi w:val="0"/>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lang w:val="en-US" w:eastAsia="zh-CN"/>
              </w:rPr>
              <w:t>根据《福清市国土空间总体规划（2021-2035年）》，</w:t>
            </w:r>
            <w:r>
              <w:rPr>
                <w:rFonts w:hint="default" w:ascii="Times New Roman" w:hAnsi="Times New Roman" w:eastAsia="宋体" w:cs="Times New Roman"/>
                <w:color w:val="auto"/>
                <w:sz w:val="24"/>
                <w:szCs w:val="24"/>
              </w:rPr>
              <w:t>福清市行政辖区，包括陆域和管辖海域，总面积2430平方公里。</w:t>
            </w:r>
            <w:r>
              <w:rPr>
                <w:rFonts w:hint="default" w:ascii="Times New Roman" w:hAnsi="Times New Roman" w:eastAsia="宋体" w:cs="Times New Roman"/>
                <w:color w:val="auto"/>
                <w:sz w:val="24"/>
                <w:szCs w:val="24"/>
                <w:lang w:val="en-US" w:eastAsia="zh-CN"/>
              </w:rPr>
              <w:t>总体规划的</w:t>
            </w:r>
            <w:r>
              <w:rPr>
                <w:rFonts w:hint="eastAsia" w:ascii="Times New Roman" w:hAnsi="Times New Roman" w:cs="Times New Roman"/>
                <w:color w:val="auto"/>
                <w:sz w:val="24"/>
                <w:szCs w:val="24"/>
                <w:lang w:val="en-US" w:eastAsia="zh-CN"/>
              </w:rPr>
              <w:t>内容</w:t>
            </w:r>
            <w:r>
              <w:rPr>
                <w:rFonts w:hint="default" w:ascii="Times New Roman" w:hAnsi="Times New Roman" w:eastAsia="宋体" w:cs="Times New Roman"/>
                <w:color w:val="auto"/>
                <w:sz w:val="24"/>
                <w:szCs w:val="24"/>
                <w:lang w:val="en-US" w:eastAsia="zh-CN"/>
              </w:rPr>
              <w:t>涵盖目标战略、五大总体格局、六大支撑要素和三大保障机制。</w:t>
            </w:r>
            <w:r>
              <w:rPr>
                <w:rFonts w:hint="eastAsia" w:ascii="宋体" w:hAnsi="宋体" w:eastAsia="宋体" w:cs="宋体"/>
                <w:color w:val="auto"/>
                <w:sz w:val="24"/>
                <w:szCs w:val="24"/>
                <w:lang w:val="en-US" w:eastAsia="zh-CN"/>
              </w:rPr>
              <w:t>坚持底线思维，以国土空间规划为依据，将“三区三线”作为调整经济结构、规划产业发展、推进城镇化不可逾越的红线。</w:t>
            </w:r>
          </w:p>
          <w:p>
            <w:pPr>
              <w:pStyle w:val="10"/>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国土空间格局：规划</w:t>
            </w:r>
            <w:r>
              <w:rPr>
                <w:rFonts w:hint="eastAsia" w:ascii="宋体" w:hAnsi="宋体" w:eastAsia="宋体" w:cs="宋体"/>
                <w:color w:val="auto"/>
                <w:sz w:val="24"/>
                <w:szCs w:val="24"/>
                <w:lang w:val="en-US" w:eastAsia="zh-CN"/>
              </w:rPr>
              <w:t>“一轴两湾五组团”</w:t>
            </w:r>
            <w:r>
              <w:rPr>
                <w:rFonts w:hint="eastAsia" w:ascii="宋体" w:hAnsi="宋体" w:cs="宋体"/>
                <w:color w:val="auto"/>
                <w:sz w:val="24"/>
                <w:szCs w:val="24"/>
                <w:lang w:val="en-US" w:eastAsia="zh-CN"/>
              </w:rPr>
              <w:t>的国土空间格局。</w:t>
            </w:r>
            <w:r>
              <w:rPr>
                <w:rFonts w:hint="eastAsia" w:ascii="宋体" w:hAnsi="宋体" w:eastAsia="宋体" w:cs="宋体"/>
                <w:color w:val="auto"/>
                <w:sz w:val="24"/>
                <w:szCs w:val="24"/>
                <w:lang w:val="en-US" w:eastAsia="zh-CN"/>
              </w:rPr>
              <w:t>一轴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龙江城市综合发展轴</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两湾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福清湾生态宜居湾、江阴湾临港产业湾</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五组团</w:t>
            </w:r>
            <w:r>
              <w:rPr>
                <w:rFonts w:hint="eastAsia" w:ascii="宋体" w:hAnsi="宋体" w:cs="宋体"/>
                <w:color w:val="auto"/>
                <w:sz w:val="24"/>
                <w:szCs w:val="24"/>
                <w:lang w:val="en-US" w:eastAsia="zh-CN"/>
              </w:rPr>
              <w:t>：</w:t>
            </w:r>
            <w:r>
              <w:rPr>
                <w:rFonts w:hint="eastAsia" w:ascii="宋体" w:hAnsi="宋体" w:eastAsia="宋体" w:cs="宋体"/>
                <w:color w:val="auto"/>
                <w:sz w:val="24"/>
                <w:szCs w:val="24"/>
                <w:lang w:val="en-US" w:eastAsia="zh-CN"/>
              </w:rPr>
              <w:t>中心城区组团、元洪港城组团、江阴港城组团、龙高半岛城镇组团、西北部特色生态组团。</w:t>
            </w:r>
          </w:p>
          <w:p>
            <w:pPr>
              <w:pStyle w:val="10"/>
              <w:rPr>
                <w:rFonts w:ascii="宋体" w:hAnsi="宋体" w:eastAsia="宋体" w:cs="宋体"/>
                <w:color w:val="auto"/>
                <w:sz w:val="24"/>
                <w:szCs w:val="24"/>
              </w:rPr>
            </w:pPr>
            <w:r>
              <w:rPr>
                <w:rFonts w:hint="eastAsia" w:ascii="宋体" w:hAnsi="宋体" w:eastAsia="宋体" w:cs="宋体"/>
                <w:color w:val="auto"/>
                <w:sz w:val="24"/>
                <w:szCs w:val="24"/>
                <w:lang w:val="en-US" w:eastAsia="zh-CN"/>
              </w:rPr>
              <w:t>产业发展格局：形成“一带两湾四区”的产业发展格局，壮大</w:t>
            </w:r>
            <w:r>
              <w:rPr>
                <w:rFonts w:ascii="宋体" w:hAnsi="宋体" w:eastAsia="宋体" w:cs="宋体"/>
                <w:color w:val="auto"/>
                <w:sz w:val="24"/>
                <w:szCs w:val="24"/>
              </w:rPr>
              <w:t>电子信息、食品、化工新材料、精密汽车部件</w:t>
            </w:r>
            <w:r>
              <w:rPr>
                <w:rFonts w:hint="eastAsia" w:ascii="宋体" w:hAnsi="宋体" w:eastAsia="宋体" w:cs="宋体"/>
                <w:color w:val="auto"/>
                <w:sz w:val="24"/>
                <w:szCs w:val="24"/>
                <w:lang w:val="en-US" w:eastAsia="zh-CN"/>
              </w:rPr>
              <w:t>等四大优势产业，培育</w:t>
            </w:r>
            <w:r>
              <w:rPr>
                <w:rFonts w:ascii="宋体" w:hAnsi="宋体" w:eastAsia="宋体" w:cs="宋体"/>
                <w:color w:val="auto"/>
                <w:sz w:val="24"/>
                <w:szCs w:val="24"/>
              </w:rPr>
              <w:t>氢能源和新能源、高端装备制造、海洋生物医药、互联网与大数据</w:t>
            </w:r>
            <w:r>
              <w:rPr>
                <w:rFonts w:hint="eastAsia" w:ascii="宋体" w:hAnsi="宋体" w:eastAsia="宋体" w:cs="宋体"/>
                <w:color w:val="auto"/>
                <w:sz w:val="24"/>
                <w:szCs w:val="24"/>
                <w:lang w:val="en-US" w:eastAsia="zh-CN"/>
              </w:rPr>
              <w:t>等四大新兴产业，提升</w:t>
            </w:r>
            <w:r>
              <w:rPr>
                <w:rFonts w:ascii="宋体" w:hAnsi="宋体" w:eastAsia="宋体" w:cs="宋体"/>
                <w:color w:val="auto"/>
                <w:sz w:val="24"/>
                <w:szCs w:val="24"/>
              </w:rPr>
              <w:t>塑胶产业、纺织产业</w:t>
            </w:r>
            <w:r>
              <w:rPr>
                <w:rFonts w:hint="eastAsia" w:ascii="宋体" w:hAnsi="宋体" w:eastAsia="宋体" w:cs="宋体"/>
                <w:color w:val="auto"/>
                <w:sz w:val="24"/>
                <w:szCs w:val="24"/>
                <w:lang w:val="en-US" w:eastAsia="zh-CN"/>
              </w:rPr>
              <w:t>两大传统产业，发展</w:t>
            </w:r>
            <w:r>
              <w:rPr>
                <w:rFonts w:ascii="宋体" w:hAnsi="宋体" w:eastAsia="宋体" w:cs="宋体"/>
                <w:color w:val="auto"/>
                <w:sz w:val="24"/>
                <w:szCs w:val="24"/>
              </w:rPr>
              <w:t>现代服务业、现代农业</w:t>
            </w:r>
            <w:r>
              <w:rPr>
                <w:rFonts w:hint="eastAsia" w:ascii="宋体" w:hAnsi="宋体" w:eastAsia="宋体" w:cs="宋体"/>
                <w:color w:val="auto"/>
                <w:sz w:val="24"/>
                <w:szCs w:val="24"/>
                <w:lang w:val="en-US" w:eastAsia="zh-CN"/>
              </w:rPr>
              <w:t>两大现代特色产业，培育</w:t>
            </w:r>
            <w:r>
              <w:rPr>
                <w:rFonts w:ascii="宋体" w:hAnsi="宋体" w:eastAsia="宋体" w:cs="宋体"/>
                <w:color w:val="auto"/>
                <w:sz w:val="24"/>
                <w:szCs w:val="24"/>
              </w:rPr>
              <w:t>三大千亿产业集群+N个百亿产业集群</w:t>
            </w:r>
            <w:r>
              <w:rPr>
                <w:rFonts w:hint="eastAsia" w:ascii="宋体" w:hAnsi="宋体" w:eastAsia="宋体" w:cs="宋体"/>
                <w:color w:val="auto"/>
                <w:sz w:val="24"/>
                <w:szCs w:val="24"/>
                <w:lang w:eastAsia="zh-CN"/>
              </w:rPr>
              <w:t>。</w:t>
            </w:r>
            <w:r>
              <w:rPr>
                <w:rFonts w:ascii="宋体" w:hAnsi="宋体" w:eastAsia="宋体" w:cs="宋体"/>
                <w:color w:val="auto"/>
                <w:sz w:val="24"/>
                <w:szCs w:val="24"/>
              </w:rPr>
              <w:t>形成“四个重点园区、多个工业集中区”的产业园区空间布局，加快推进重点产业园区标准化建设，统筹划定工业用地控制线。</w:t>
            </w:r>
          </w:p>
          <w:p>
            <w:pPr>
              <w:pStyle w:val="1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符合性分析：本项目位于福清市海口镇南厝村</w:t>
            </w:r>
            <w:r>
              <w:rPr>
                <w:rFonts w:hint="eastAsia" w:cs="Times New Roman"/>
                <w:color w:val="auto"/>
                <w:sz w:val="24"/>
                <w:szCs w:val="24"/>
                <w:lang w:val="en-US" w:eastAsia="zh-CN"/>
              </w:rPr>
              <w:t>，</w:t>
            </w:r>
            <w:r>
              <w:rPr>
                <w:rFonts w:hint="eastAsia"/>
                <w:color w:val="auto"/>
                <w:sz w:val="24"/>
                <w:szCs w:val="24"/>
              </w:rPr>
              <w:t>海口镇桥南工业</w:t>
            </w:r>
            <w:r>
              <w:rPr>
                <w:rFonts w:hint="eastAsia"/>
                <w:color w:val="auto"/>
                <w:sz w:val="24"/>
                <w:szCs w:val="24"/>
                <w:lang w:val="en-US" w:eastAsia="zh-CN"/>
              </w:rPr>
              <w:t>小</w:t>
            </w:r>
            <w:r>
              <w:rPr>
                <w:rFonts w:hint="eastAsia"/>
                <w:color w:val="auto"/>
                <w:sz w:val="24"/>
                <w:szCs w:val="24"/>
              </w:rPr>
              <w:t>区</w:t>
            </w:r>
            <w:r>
              <w:rPr>
                <w:rFonts w:hint="eastAsia"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属</w:t>
            </w:r>
            <w:r>
              <w:rPr>
                <w:rFonts w:hint="default" w:ascii="Times New Roman" w:hAnsi="Times New Roman"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《福清市国土空间总体规划（2021-2035年）》中的</w:t>
            </w:r>
            <w:r>
              <w:rPr>
                <w:rFonts w:hint="default" w:ascii="Times New Roman" w:hAnsi="Times New Roman" w:eastAsia="宋体" w:cs="Times New Roman"/>
                <w:color w:val="auto"/>
                <w:sz w:val="24"/>
                <w:szCs w:val="24"/>
              </w:rPr>
              <w:t>元洪港城组团</w:t>
            </w:r>
            <w:r>
              <w:rPr>
                <w:rFonts w:hint="eastAsia" w:cs="Times New Roman"/>
                <w:color w:val="auto"/>
                <w:sz w:val="24"/>
                <w:szCs w:val="24"/>
                <w:lang w:eastAsia="zh-CN"/>
              </w:rPr>
              <w:t>。</w:t>
            </w:r>
            <w:r>
              <w:rPr>
                <w:rFonts w:hint="default" w:ascii="Times New Roman" w:hAnsi="Times New Roman" w:eastAsia="宋体" w:cs="Times New Roman"/>
                <w:color w:val="auto"/>
                <w:sz w:val="24"/>
                <w:szCs w:val="24"/>
                <w:lang w:val="en-US" w:eastAsia="zh-CN"/>
              </w:rPr>
              <w:t>本项目主要从事预制混凝土和预制砼结构件的加工</w:t>
            </w:r>
            <w:r>
              <w:rPr>
                <w:rFonts w:hint="eastAsia"/>
                <w:sz w:val="24"/>
                <w:szCs w:val="32"/>
                <w:lang w:val="en-US" w:eastAsia="zh-CN"/>
              </w:rPr>
              <w:t>以及建筑垃圾回收利用</w:t>
            </w:r>
            <w:r>
              <w:rPr>
                <w:rFonts w:hint="default" w:ascii="Times New Roman" w:hAnsi="Times New Roman" w:eastAsia="宋体" w:cs="Times New Roman"/>
                <w:color w:val="auto"/>
                <w:sz w:val="24"/>
                <w:szCs w:val="24"/>
                <w:lang w:val="en-US" w:eastAsia="zh-CN"/>
              </w:rPr>
              <w:t>，属于水泥制品制造业，作为传统建材生产加工行业，</w:t>
            </w:r>
            <w:r>
              <w:rPr>
                <w:rFonts w:hint="eastAsia" w:cs="Times New Roman"/>
                <w:color w:val="auto"/>
                <w:sz w:val="24"/>
                <w:szCs w:val="24"/>
                <w:lang w:val="en-US" w:eastAsia="zh-CN"/>
              </w:rPr>
              <w:t>可</w:t>
            </w:r>
            <w:r>
              <w:rPr>
                <w:rFonts w:hint="default" w:ascii="Times New Roman" w:hAnsi="Times New Roman" w:eastAsia="宋体" w:cs="Times New Roman"/>
                <w:color w:val="auto"/>
                <w:sz w:val="24"/>
                <w:szCs w:val="24"/>
                <w:lang w:val="en-US" w:eastAsia="zh-CN"/>
              </w:rPr>
              <w:t>为福清市的城乡建设发展提供基本的建设保障</w:t>
            </w:r>
            <w:r>
              <w:rPr>
                <w:rFonts w:hint="default" w:ascii="Times New Roman" w:hAnsi="Times New Roman" w:cs="Times New Roman"/>
                <w:b w:val="0"/>
                <w:bCs w:val="0"/>
                <w:color w:val="auto"/>
                <w:sz w:val="24"/>
                <w:szCs w:val="24"/>
                <w:lang w:val="en-US" w:eastAsia="zh-CN"/>
              </w:rPr>
              <w:t>，</w:t>
            </w:r>
            <w:r>
              <w:rPr>
                <w:rFonts w:hint="default" w:ascii="Times New Roman" w:hAnsi="Times New Roman" w:eastAsia="宋体" w:cs="Times New Roman"/>
                <w:color w:val="auto"/>
                <w:sz w:val="24"/>
                <w:szCs w:val="24"/>
                <w:lang w:val="en-US" w:eastAsia="zh-CN"/>
              </w:rPr>
              <w:t>与福清市国土空间总体规划的产业体系和产业空间布局不相冲突。</w:t>
            </w:r>
          </w:p>
          <w:p>
            <w:pPr>
              <w:pStyle w:val="10"/>
              <w:rPr>
                <w:rFonts w:hint="eastAsia" w:ascii="宋体" w:hAnsi="宋体" w:cs="宋体"/>
                <w:color w:val="auto"/>
                <w:sz w:val="24"/>
                <w:szCs w:val="24"/>
                <w:lang w:val="en-US" w:eastAsia="zh-CN"/>
              </w:rPr>
            </w:pPr>
            <w:r>
              <w:rPr>
                <w:rFonts w:hint="default" w:ascii="宋体" w:hAnsi="宋体" w:eastAsia="宋体" w:cs="宋体"/>
                <w:color w:val="auto"/>
                <w:sz w:val="24"/>
                <w:szCs w:val="24"/>
                <w:lang w:val="en-US" w:eastAsia="zh-CN"/>
              </w:rPr>
              <w:t>经查询</w:t>
            </w:r>
            <w:r>
              <w:rPr>
                <w:rFonts w:hint="eastAsia" w:ascii="宋体" w:hAnsi="宋体" w:cs="宋体"/>
                <w:color w:val="auto"/>
                <w:sz w:val="24"/>
                <w:szCs w:val="24"/>
                <w:lang w:val="en-US" w:eastAsia="zh-CN"/>
              </w:rPr>
              <w:t>福清市</w:t>
            </w:r>
            <w:r>
              <w:rPr>
                <w:rFonts w:hint="default" w:ascii="宋体" w:hAnsi="宋体" w:eastAsia="宋体" w:cs="宋体"/>
                <w:color w:val="auto"/>
                <w:sz w:val="24"/>
                <w:szCs w:val="24"/>
                <w:lang w:val="en-US" w:eastAsia="zh-CN"/>
              </w:rPr>
              <w:t>阳光规划网站国土空间</w:t>
            </w:r>
            <w:r>
              <w:rPr>
                <w:rFonts w:hint="eastAsia" w:ascii="宋体" w:hAnsi="宋体" w:cs="宋体"/>
                <w:color w:val="auto"/>
                <w:sz w:val="24"/>
                <w:szCs w:val="24"/>
                <w:lang w:val="en-US" w:eastAsia="zh-CN"/>
              </w:rPr>
              <w:t>规划</w:t>
            </w:r>
            <w:r>
              <w:rPr>
                <w:rFonts w:hint="default" w:ascii="宋体" w:hAnsi="宋体" w:eastAsia="宋体" w:cs="宋体"/>
                <w:color w:val="auto"/>
                <w:sz w:val="24"/>
                <w:szCs w:val="24"/>
                <w:lang w:val="en-US" w:eastAsia="zh-CN"/>
              </w:rPr>
              <w:t>，本项目选址用地现状为</w:t>
            </w:r>
            <w:r>
              <w:rPr>
                <w:rFonts w:hint="eastAsia" w:ascii="宋体" w:hAnsi="宋体" w:eastAsia="宋体" w:cs="宋体"/>
                <w:color w:val="auto"/>
                <w:sz w:val="24"/>
                <w:szCs w:val="24"/>
                <w:lang w:val="en-US" w:eastAsia="zh-CN"/>
              </w:rPr>
              <w:t>留白</w:t>
            </w:r>
            <w:r>
              <w:rPr>
                <w:rFonts w:hint="default" w:ascii="宋体" w:hAnsi="宋体" w:eastAsia="宋体" w:cs="宋体"/>
                <w:color w:val="auto"/>
                <w:sz w:val="24"/>
                <w:szCs w:val="24"/>
                <w:lang w:val="en-US" w:eastAsia="zh-CN"/>
              </w:rPr>
              <w:t>用地，不涉及永久基本农田、生态保护红线等敏感区，位于城镇开发边界内，</w:t>
            </w:r>
            <w:r>
              <w:rPr>
                <w:rFonts w:hint="eastAsia" w:ascii="宋体" w:hAnsi="宋体" w:cs="宋体"/>
                <w:color w:val="auto"/>
                <w:sz w:val="24"/>
                <w:szCs w:val="24"/>
                <w:lang w:val="en-US" w:eastAsia="zh-CN"/>
              </w:rPr>
              <w:t>因此项目</w:t>
            </w:r>
            <w:r>
              <w:rPr>
                <w:rFonts w:hint="default" w:ascii="宋体" w:hAnsi="宋体" w:eastAsia="宋体" w:cs="宋体"/>
                <w:color w:val="auto"/>
                <w:sz w:val="24"/>
                <w:szCs w:val="24"/>
                <w:lang w:val="en-US" w:eastAsia="zh-CN"/>
              </w:rPr>
              <w:t>符合</w:t>
            </w:r>
            <w:r>
              <w:rPr>
                <w:rFonts w:hint="eastAsia" w:ascii="宋体" w:hAnsi="宋体" w:eastAsia="宋体" w:cs="宋体"/>
                <w:color w:val="auto"/>
                <w:sz w:val="24"/>
                <w:szCs w:val="24"/>
                <w:lang w:val="en-US" w:eastAsia="zh-CN"/>
              </w:rPr>
              <w:t>福清市</w:t>
            </w:r>
            <w:r>
              <w:rPr>
                <w:rFonts w:hint="default" w:ascii="宋体" w:hAnsi="宋体" w:eastAsia="宋体" w:cs="宋体"/>
                <w:color w:val="auto"/>
                <w:sz w:val="24"/>
                <w:szCs w:val="24"/>
                <w:lang w:val="en-US" w:eastAsia="zh-CN"/>
              </w:rPr>
              <w:t>国土空间总体规划的三线控制要求。</w:t>
            </w:r>
            <w:r>
              <w:rPr>
                <w:rFonts w:hint="eastAsia" w:ascii="宋体" w:hAnsi="宋体" w:cs="宋体"/>
                <w:color w:val="auto"/>
                <w:sz w:val="24"/>
                <w:szCs w:val="24"/>
                <w:lang w:val="en-US" w:eastAsia="zh-CN"/>
              </w:rPr>
              <w:t>项目与三区三线叠图结果</w:t>
            </w:r>
            <w:r>
              <w:rPr>
                <w:rFonts w:hint="eastAsia" w:ascii="宋体" w:hAnsi="宋体" w:eastAsia="宋体" w:cs="宋体"/>
                <w:color w:val="auto"/>
                <w:sz w:val="24"/>
                <w:szCs w:val="24"/>
                <w:lang w:val="en-US" w:eastAsia="zh-CN"/>
              </w:rPr>
              <w:t>详见附图</w:t>
            </w:r>
            <w:r>
              <w:rPr>
                <w:rFonts w:hint="eastAsia" w:ascii="宋体" w:hAnsi="宋体" w:cs="宋体"/>
                <w:color w:val="auto"/>
                <w:sz w:val="24"/>
                <w:szCs w:val="24"/>
                <w:lang w:val="en-US" w:eastAsia="zh-CN"/>
              </w:rPr>
              <w:t>十。</w:t>
            </w:r>
          </w:p>
          <w:p>
            <w:pPr>
              <w:pStyle w:val="10"/>
              <w:ind w:left="0" w:leftChars="0" w:firstLine="0" w:firstLineChars="0"/>
              <w:jc w:val="center"/>
              <w:rPr>
                <w:rFonts w:hint="eastAsia" w:ascii="宋体" w:hAnsi="宋体" w:cs="宋体"/>
                <w:color w:val="auto"/>
                <w:sz w:val="24"/>
                <w:szCs w:val="24"/>
                <w:lang w:val="en-US" w:eastAsia="zh-CN"/>
              </w:rPr>
            </w:pP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659130</wp:posOffset>
                      </wp:positionH>
                      <wp:positionV relativeFrom="paragraph">
                        <wp:posOffset>1286510</wp:posOffset>
                      </wp:positionV>
                      <wp:extent cx="948055" cy="271145"/>
                      <wp:effectExtent l="4445" t="71755" r="685800" b="12700"/>
                      <wp:wrapNone/>
                      <wp:docPr id="71" name="圆角矩形标注 71"/>
                      <wp:cNvGraphicFramePr/>
                      <a:graphic xmlns:a="http://schemas.openxmlformats.org/drawingml/2006/main">
                        <a:graphicData uri="http://schemas.microsoft.com/office/word/2010/wordprocessingShape">
                          <wps:wsp>
                            <wps:cNvSpPr/>
                            <wps:spPr>
                              <a:xfrm>
                                <a:off x="3116580" y="5708650"/>
                                <a:ext cx="948055" cy="271145"/>
                              </a:xfrm>
                              <a:prstGeom prst="wedgeRoundRectCallout">
                                <a:avLst>
                                  <a:gd name="adj1" fmla="val 117180"/>
                                  <a:gd name="adj2" fmla="val -72459"/>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51.9pt;margin-top:101.3pt;height:21.35pt;width:74.65pt;z-index:251662336;v-text-anchor:middle;mso-width-relative:page;mso-height-relative:page;" fillcolor="#FFFFFF [3212]" filled="t" stroked="t" coordsize="21600,21600" o:gfxdata="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96hqjNkAAAALAQAADwAAAAAAAAABACAA&#10;AAAiAAAAZHJzL2Rvd25yZXYueG1sUEsBAhQAFAAAAAgAh07iQEjFcBC3AgAAUQUAAA4AAAAAAAAA&#10;AQAgAAAAKAEAAGRycy9lMm9Eb2MueG1sUEsFBgAAAAAGAAYAWQEAAFEGAAAAAA==&#10;" adj="36111,-4851,14400">
                      <v:fill on="t" focussize="0,0"/>
                      <v:stroke weight="0.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240" w:lineRule="auto"/>
                              <w:ind w:firstLine="0" w:firstLineChars="0"/>
                              <w:jc w:val="both"/>
                              <w:textAlignment w:val="auto"/>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本项目位置</w:t>
                            </w:r>
                          </w:p>
                        </w:txbxContent>
                      </v:textbox>
                    </v:shape>
                  </w:pict>
                </mc:Fallback>
              </mc:AlternateContent>
            </w:r>
            <w:r>
              <w:rPr>
                <w:color w:val="auto"/>
              </w:rPr>
              <w:drawing>
                <wp:inline distT="0" distB="0" distL="114300" distR="114300">
                  <wp:extent cx="4706620" cy="3566160"/>
                  <wp:effectExtent l="0" t="0" r="5080" b="2540"/>
                  <wp:docPr id="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pic:cNvPicPr>
                            <a:picLocks noChangeAspect="1"/>
                          </pic:cNvPicPr>
                        </pic:nvPicPr>
                        <pic:blipFill>
                          <a:blip r:embed="rId8"/>
                          <a:stretch>
                            <a:fillRect/>
                          </a:stretch>
                        </pic:blipFill>
                        <pic:spPr>
                          <a:xfrm>
                            <a:off x="0" y="0"/>
                            <a:ext cx="4706620" cy="3566160"/>
                          </a:xfrm>
                          <a:prstGeom prst="rect">
                            <a:avLst/>
                          </a:prstGeom>
                          <a:noFill/>
                          <a:ln>
                            <a:noFill/>
                          </a:ln>
                        </pic:spPr>
                      </pic:pic>
                    </a:graphicData>
                  </a:graphic>
                </wp:inline>
              </w:drawing>
            </w:r>
          </w:p>
          <w:p>
            <w:pPr>
              <w:pStyle w:val="10"/>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宋体" w:hAnsi="宋体" w:cs="宋体"/>
                <w:color w:val="auto"/>
                <w:sz w:val="24"/>
                <w:szCs w:val="24"/>
                <w:lang w:val="en-US" w:eastAsia="zh-CN"/>
              </w:rPr>
            </w:pPr>
            <w:r>
              <w:rPr>
                <w:rFonts w:hint="eastAsia" w:ascii="宋体" w:hAnsi="宋体" w:cs="宋体"/>
                <w:b/>
                <w:bCs/>
                <w:color w:val="auto"/>
                <w:sz w:val="24"/>
                <w:szCs w:val="24"/>
                <w:lang w:val="en-US" w:eastAsia="zh-CN"/>
              </w:rPr>
              <w:t>图1 福清市国土空间格局图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jc w:val="center"/>
        </w:trPr>
        <w:tc>
          <w:tcPr>
            <w:tcW w:w="1460" w:type="dxa"/>
            <w:vAlign w:val="center"/>
          </w:tcPr>
          <w:p>
            <w:pPr>
              <w:autoSpaceDE w:val="0"/>
              <w:autoSpaceDN w:val="0"/>
              <w:adjustRightInd w:val="0"/>
              <w:snapToGrid w:val="0"/>
              <w:ind w:left="0" w:leftChars="0" w:firstLine="0" w:firstLineChars="0"/>
              <w:jc w:val="center"/>
              <w:rPr>
                <w:rFonts w:hint="eastAsia" w:ascii="Times New Roman" w:hAnsi="Times New Roman" w:eastAsia="宋体" w:cs="Times New Roman"/>
                <w:color w:val="auto"/>
                <w:kern w:val="0"/>
                <w:szCs w:val="21"/>
                <w:lang w:eastAsia="zh-CN"/>
              </w:rPr>
            </w:pPr>
            <w:r>
              <w:rPr>
                <w:rFonts w:hint="eastAsia" w:ascii="Times New Roman" w:hAnsi="Times New Roman" w:eastAsia="宋体" w:cs="Times New Roman"/>
                <w:color w:val="auto"/>
                <w:kern w:val="0"/>
                <w:szCs w:val="21"/>
                <w:lang w:eastAsia="zh-CN"/>
              </w:rPr>
              <w:t>其他符合性分析</w:t>
            </w:r>
          </w:p>
        </w:tc>
        <w:tc>
          <w:tcPr>
            <w:tcW w:w="7636" w:type="dxa"/>
            <w:gridSpan w:val="3"/>
            <w:vAlign w:val="center"/>
          </w:tcPr>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b/>
                <w:bCs/>
                <w:color w:val="auto"/>
                <w:sz w:val="24"/>
                <w:szCs w:val="24"/>
                <w:lang w:val="en-US" w:eastAsia="zh-CN"/>
              </w:rPr>
            </w:pPr>
            <w:r>
              <w:rPr>
                <w:rFonts w:hint="eastAsia" w:ascii="Times New Roman" w:hAnsi="Times New Roman" w:eastAsia="宋体"/>
                <w:b/>
                <w:bCs/>
                <w:color w:val="auto"/>
                <w:sz w:val="24"/>
                <w:szCs w:val="24"/>
                <w:lang w:val="en-US" w:eastAsia="zh-CN"/>
              </w:rPr>
              <w:t>1</w:t>
            </w:r>
            <w:r>
              <w:rPr>
                <w:rFonts w:hint="default" w:ascii="Times New Roman" w:hAnsi="Times New Roman" w:eastAsia="宋体"/>
                <w:b/>
                <w:bCs/>
                <w:color w:val="auto"/>
                <w:sz w:val="24"/>
                <w:szCs w:val="24"/>
                <w:lang w:val="en-US" w:eastAsia="zh-CN"/>
              </w:rPr>
              <w:t>、产业政策</w:t>
            </w:r>
            <w:r>
              <w:rPr>
                <w:rFonts w:hint="eastAsia"/>
                <w:b/>
                <w:bCs/>
                <w:color w:val="auto"/>
                <w:sz w:val="24"/>
                <w:szCs w:val="24"/>
                <w:lang w:val="en-US" w:eastAsia="zh-CN"/>
              </w:rPr>
              <w:t>符合</w:t>
            </w:r>
            <w:r>
              <w:rPr>
                <w:rFonts w:hint="default" w:ascii="Times New Roman" w:hAnsi="Times New Roman" w:eastAsia="宋体"/>
                <w:b/>
                <w:bCs/>
                <w:color w:val="auto"/>
                <w:sz w:val="24"/>
                <w:szCs w:val="24"/>
                <w:lang w:val="en-US" w:eastAsia="zh-CN"/>
              </w:rPr>
              <w:t>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default" w:ascii="Times New Roman" w:hAnsi="Times New Roman" w:eastAsia="宋体" w:cs="Times New Roman"/>
                <w:color w:val="auto"/>
                <w:spacing w:val="0"/>
                <w:sz w:val="24"/>
                <w:szCs w:val="24"/>
                <w:highlight w:val="none"/>
              </w:rPr>
              <w:t>项目主要</w:t>
            </w:r>
            <w:r>
              <w:rPr>
                <w:rFonts w:hint="default" w:ascii="Times New Roman" w:hAnsi="Times New Roman" w:eastAsia="宋体" w:cs="Times New Roman"/>
                <w:color w:val="auto"/>
                <w:spacing w:val="0"/>
                <w:sz w:val="24"/>
                <w:szCs w:val="24"/>
                <w:highlight w:val="none"/>
                <w:lang w:eastAsia="zh-CN"/>
              </w:rPr>
              <w:t>从事预拌商品混凝土、砼构件的生产</w:t>
            </w:r>
            <w:r>
              <w:rPr>
                <w:rFonts w:hint="eastAsia" w:cs="Times New Roman"/>
                <w:color w:val="auto"/>
                <w:spacing w:val="0"/>
                <w:sz w:val="24"/>
                <w:szCs w:val="24"/>
                <w:highlight w:val="none"/>
                <w:lang w:val="en-US" w:eastAsia="zh-CN"/>
              </w:rPr>
              <w:t>以及建筑垃圾的回收利用生产</w:t>
            </w:r>
            <w:r>
              <w:rPr>
                <w:rFonts w:hint="default" w:ascii="Times New Roman" w:hAnsi="Times New Roman" w:eastAsia="宋体" w:cs="Times New Roman"/>
                <w:color w:val="auto"/>
                <w:spacing w:val="0"/>
                <w:sz w:val="24"/>
                <w:szCs w:val="24"/>
                <w:highlight w:val="none"/>
                <w:lang w:eastAsia="zh-CN"/>
              </w:rPr>
              <w:t>，对照《产业结构调整指导目录（2024年本）》，项目</w:t>
            </w:r>
            <w:r>
              <w:rPr>
                <w:rFonts w:hint="eastAsia" w:cs="Times New Roman"/>
                <w:color w:val="auto"/>
                <w:spacing w:val="0"/>
                <w:sz w:val="24"/>
                <w:szCs w:val="24"/>
                <w:highlight w:val="none"/>
                <w:lang w:val="en-US" w:eastAsia="zh-CN"/>
              </w:rPr>
              <w:t>建筑垃圾回收利用的生产属于鼓励类项目，符合国家关于资源综合利用和循环经济的政策方向。</w:t>
            </w:r>
            <w:r>
              <w:rPr>
                <w:rFonts w:hint="default" w:ascii="Times New Roman" w:hAnsi="Times New Roman" w:eastAsia="宋体" w:cs="Times New Roman"/>
                <w:color w:val="auto"/>
                <w:spacing w:val="0"/>
                <w:sz w:val="24"/>
                <w:szCs w:val="24"/>
                <w:highlight w:val="none"/>
                <w:lang w:eastAsia="zh-CN"/>
              </w:rPr>
              <w:t>预拌商品混凝土、砼构件的生产不属于</w:t>
            </w:r>
            <w:r>
              <w:rPr>
                <w:rFonts w:hint="eastAsia" w:ascii="Times New Roman" w:hAnsi="Times New Roman" w:eastAsia="宋体" w:cs="Times New Roman"/>
                <w:color w:val="auto"/>
                <w:spacing w:val="0"/>
                <w:sz w:val="24"/>
                <w:szCs w:val="24"/>
                <w:highlight w:val="none"/>
                <w:lang w:val="en-US" w:eastAsia="zh-CN"/>
              </w:rPr>
              <w:t>其中</w:t>
            </w:r>
            <w:r>
              <w:rPr>
                <w:rFonts w:hint="default" w:ascii="Times New Roman" w:hAnsi="Times New Roman" w:eastAsia="宋体" w:cs="Times New Roman"/>
                <w:color w:val="auto"/>
                <w:spacing w:val="0"/>
                <w:sz w:val="24"/>
                <w:szCs w:val="24"/>
                <w:highlight w:val="none"/>
                <w:lang w:eastAsia="zh-CN"/>
              </w:rPr>
              <w:t>限制和淘汰类的项目</w:t>
            </w:r>
            <w:r>
              <w:rPr>
                <w:rFonts w:hint="eastAsia" w:cs="Times New Roman"/>
                <w:color w:val="auto"/>
                <w:spacing w:val="0"/>
                <w:sz w:val="24"/>
                <w:szCs w:val="24"/>
                <w:highlight w:val="none"/>
                <w:lang w:eastAsia="zh-CN"/>
              </w:rPr>
              <w:t>且</w:t>
            </w:r>
            <w:r>
              <w:rPr>
                <w:rFonts w:hint="default" w:ascii="Times New Roman" w:hAnsi="Times New Roman" w:eastAsia="宋体" w:cs="Times New Roman"/>
                <w:color w:val="auto"/>
                <w:spacing w:val="0"/>
                <w:sz w:val="24"/>
                <w:szCs w:val="24"/>
                <w:highlight w:val="none"/>
                <w:lang w:eastAsia="zh-CN"/>
              </w:rPr>
              <w:t>未被纳入《市场准入负面清单（2022年版）》负面清单中。根据《促进产业结构调整暂行规定》（国发〔2005〕40号）可知，不属于鼓励类、限制类和淘汰类</w:t>
            </w:r>
            <w:r>
              <w:rPr>
                <w:rFonts w:hint="eastAsia" w:cs="Times New Roman"/>
                <w:color w:val="auto"/>
                <w:spacing w:val="0"/>
                <w:sz w:val="24"/>
                <w:szCs w:val="24"/>
                <w:highlight w:val="none"/>
                <w:lang w:eastAsia="zh-CN"/>
              </w:rPr>
              <w:t>且</w:t>
            </w:r>
            <w:r>
              <w:rPr>
                <w:rFonts w:hint="default" w:ascii="Times New Roman" w:hAnsi="Times New Roman" w:eastAsia="宋体" w:cs="Times New Roman"/>
                <w:color w:val="auto"/>
                <w:spacing w:val="0"/>
                <w:sz w:val="24"/>
                <w:szCs w:val="24"/>
                <w:highlight w:val="none"/>
                <w:lang w:eastAsia="zh-CN"/>
              </w:rPr>
              <w:t>符合国家有关法律法规和政策规定的，为允许类，因此，项目属于允许类。该项目于</w:t>
            </w:r>
            <w:r>
              <w:rPr>
                <w:rFonts w:hint="eastAsia" w:ascii="Times New Roman" w:hAnsi="Times New Roman" w:eastAsia="宋体" w:cs="Times New Roman"/>
                <w:color w:val="auto"/>
                <w:spacing w:val="0"/>
                <w:sz w:val="24"/>
                <w:szCs w:val="24"/>
                <w:highlight w:val="none"/>
                <w:lang w:val="en-US" w:eastAsia="zh-CN"/>
              </w:rPr>
              <w:t>2024年1</w:t>
            </w:r>
            <w:r>
              <w:rPr>
                <w:rFonts w:hint="eastAsia" w:cs="Times New Roman"/>
                <w:color w:val="auto"/>
                <w:spacing w:val="0"/>
                <w:sz w:val="24"/>
                <w:szCs w:val="24"/>
                <w:highlight w:val="none"/>
                <w:lang w:val="en-US" w:eastAsia="zh-CN"/>
              </w:rPr>
              <w:t>0</w:t>
            </w:r>
            <w:r>
              <w:rPr>
                <w:rFonts w:hint="eastAsia" w:ascii="Times New Roman" w:hAnsi="Times New Roman" w:eastAsia="宋体" w:cs="Times New Roman"/>
                <w:color w:val="auto"/>
                <w:spacing w:val="0"/>
                <w:sz w:val="24"/>
                <w:szCs w:val="24"/>
                <w:highlight w:val="none"/>
                <w:lang w:val="en-US" w:eastAsia="zh-CN"/>
              </w:rPr>
              <w:t>月</w:t>
            </w:r>
            <w:r>
              <w:rPr>
                <w:rFonts w:hint="eastAsia" w:cs="Times New Roman"/>
                <w:color w:val="auto"/>
                <w:spacing w:val="0"/>
                <w:sz w:val="24"/>
                <w:szCs w:val="24"/>
                <w:highlight w:val="none"/>
                <w:lang w:val="en-US" w:eastAsia="zh-CN"/>
              </w:rPr>
              <w:t>24</w:t>
            </w:r>
            <w:r>
              <w:rPr>
                <w:rFonts w:hint="eastAsia" w:ascii="Times New Roman" w:hAnsi="Times New Roman" w:eastAsia="宋体" w:cs="Times New Roman"/>
                <w:color w:val="auto"/>
                <w:spacing w:val="0"/>
                <w:sz w:val="24"/>
                <w:szCs w:val="24"/>
                <w:highlight w:val="none"/>
                <w:lang w:val="en-US" w:eastAsia="zh-CN"/>
              </w:rPr>
              <w:t>日通过</w:t>
            </w:r>
            <w:r>
              <w:rPr>
                <w:rFonts w:hint="eastAsia" w:cs="Times New Roman"/>
                <w:color w:val="auto"/>
                <w:spacing w:val="0"/>
                <w:sz w:val="24"/>
                <w:szCs w:val="24"/>
                <w:highlight w:val="none"/>
                <w:lang w:val="en-US" w:eastAsia="zh-CN"/>
              </w:rPr>
              <w:t>福清</w:t>
            </w:r>
            <w:r>
              <w:rPr>
                <w:rFonts w:hint="eastAsia" w:ascii="Times New Roman" w:hAnsi="Times New Roman" w:eastAsia="宋体" w:cs="Times New Roman"/>
                <w:color w:val="auto"/>
                <w:spacing w:val="0"/>
                <w:sz w:val="24"/>
                <w:szCs w:val="24"/>
                <w:highlight w:val="none"/>
                <w:lang w:val="en-US" w:eastAsia="zh-CN"/>
              </w:rPr>
              <w:t>市发展和改革局备案</w:t>
            </w:r>
            <w:r>
              <w:rPr>
                <w:rFonts w:hint="default" w:ascii="Times New Roman" w:hAnsi="Times New Roman" w:eastAsia="宋体" w:cs="Times New Roman"/>
                <w:color w:val="auto"/>
                <w:spacing w:val="0"/>
                <w:sz w:val="24"/>
                <w:szCs w:val="24"/>
                <w:highlight w:val="none"/>
                <w:lang w:eastAsia="zh-CN"/>
              </w:rPr>
              <w:t>（闽发改备</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2024</w:t>
            </w:r>
            <w:r>
              <w:rPr>
                <w:rFonts w:hint="eastAsia"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A060389号，详见附件</w:t>
            </w:r>
            <w:r>
              <w:rPr>
                <w:rFonts w:hint="eastAsia" w:cs="Times New Roman"/>
                <w:color w:val="auto"/>
                <w:spacing w:val="0"/>
                <w:sz w:val="24"/>
                <w:szCs w:val="24"/>
                <w:highlight w:val="none"/>
                <w:lang w:val="en-US" w:eastAsia="zh-CN"/>
              </w:rPr>
              <w:t>二</w:t>
            </w:r>
            <w:r>
              <w:rPr>
                <w:rFonts w:hint="default"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因此项目的建设内容符合当前国家和地方的产业政策。</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2、与城市土地利用规划符合性分析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1"/>
                <w:szCs w:val="21"/>
                <w:highlight w:val="none"/>
              </w:rPr>
            </w:pPr>
            <w:r>
              <w:rPr>
                <w:rFonts w:hint="eastAsia" w:ascii="Times New Roman" w:hAnsi="Times New Roman" w:eastAsia="宋体" w:cs="Times New Roman"/>
                <w:color w:val="auto"/>
                <w:spacing w:val="0"/>
                <w:sz w:val="24"/>
                <w:szCs w:val="24"/>
                <w:highlight w:val="none"/>
                <w:lang w:eastAsia="zh-CN"/>
              </w:rPr>
              <w:t>根据</w:t>
            </w:r>
            <w:r>
              <w:rPr>
                <w:rFonts w:hint="eastAsia" w:cs="Times New Roman"/>
                <w:color w:val="auto"/>
                <w:spacing w:val="0"/>
                <w:sz w:val="24"/>
                <w:szCs w:val="24"/>
                <w:highlight w:val="none"/>
                <w:lang w:val="en-US" w:eastAsia="zh-CN"/>
              </w:rPr>
              <w:t>福清市自然资源和规划局出具</w:t>
            </w:r>
            <w:r>
              <w:rPr>
                <w:rFonts w:hint="eastAsia" w:ascii="Times New Roman" w:hAnsi="Times New Roman" w:eastAsia="宋体" w:cs="Times New Roman"/>
                <w:color w:val="auto"/>
                <w:spacing w:val="0"/>
                <w:sz w:val="24"/>
                <w:szCs w:val="24"/>
                <w:highlight w:val="none"/>
                <w:lang w:eastAsia="zh-CN"/>
              </w:rPr>
              <w:t>的</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福清市建设用地规划许可证</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地字第350181202400119号，详见附件四</w:t>
            </w:r>
            <w:r>
              <w:rPr>
                <w:rFonts w:hint="eastAsia"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eastAsia="zh-CN"/>
              </w:rPr>
              <w:t>，本项目</w:t>
            </w:r>
            <w:r>
              <w:rPr>
                <w:rFonts w:hint="eastAsia" w:cs="Times New Roman"/>
                <w:color w:val="auto"/>
                <w:spacing w:val="0"/>
                <w:sz w:val="24"/>
                <w:szCs w:val="24"/>
                <w:highlight w:val="none"/>
                <w:lang w:val="en-US" w:eastAsia="zh-CN"/>
              </w:rPr>
              <w:t>土地用途为工矿仓储</w:t>
            </w:r>
            <w:r>
              <w:rPr>
                <w:rFonts w:hint="eastAsia" w:ascii="Times New Roman" w:hAnsi="Times New Roman" w:eastAsia="宋体" w:cs="Times New Roman"/>
                <w:color w:val="auto"/>
                <w:spacing w:val="0"/>
                <w:sz w:val="24"/>
                <w:szCs w:val="24"/>
                <w:highlight w:val="none"/>
                <w:lang w:eastAsia="zh-CN"/>
              </w:rPr>
              <w:t>用地</w:t>
            </w:r>
            <w:r>
              <w:rPr>
                <w:rFonts w:hint="eastAsia" w:cs="Times New Roman"/>
                <w:color w:val="auto"/>
                <w:spacing w:val="0"/>
                <w:sz w:val="24"/>
                <w:szCs w:val="24"/>
                <w:highlight w:val="none"/>
                <w:lang w:eastAsia="zh-CN"/>
              </w:rPr>
              <w:t>且</w:t>
            </w:r>
            <w:r>
              <w:rPr>
                <w:rFonts w:hint="eastAsia"/>
                <w:b w:val="0"/>
                <w:bCs w:val="0"/>
                <w:color w:val="auto"/>
                <w:sz w:val="24"/>
                <w:szCs w:val="24"/>
                <w:u w:val="none"/>
                <w:lang w:val="en-US" w:eastAsia="zh-CN"/>
              </w:rPr>
              <w:t>已取得建设工程规划许可证（建字第350181202400398号，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s="Times New Roman"/>
                <w:b w:val="0"/>
                <w:bCs w:val="0"/>
                <w:color w:val="auto"/>
                <w:sz w:val="24"/>
                <w:szCs w:val="24"/>
                <w:u w:val="none"/>
                <w:lang w:val="en-US" w:eastAsia="zh-CN"/>
              </w:rPr>
              <w:t>。</w:t>
            </w:r>
            <w:r>
              <w:rPr>
                <w:rFonts w:hint="eastAsia" w:ascii="Times New Roman" w:hAnsi="Times New Roman" w:eastAsia="宋体" w:cs="Times New Roman"/>
                <w:color w:val="auto"/>
                <w:spacing w:val="0"/>
                <w:sz w:val="24"/>
                <w:szCs w:val="24"/>
                <w:highlight w:val="none"/>
                <w:lang w:eastAsia="zh-CN"/>
              </w:rPr>
              <w:t>项目主要</w:t>
            </w:r>
            <w:r>
              <w:rPr>
                <w:rFonts w:hint="eastAsia" w:cs="Times New Roman"/>
                <w:color w:val="auto"/>
                <w:spacing w:val="0"/>
                <w:sz w:val="24"/>
                <w:szCs w:val="24"/>
                <w:highlight w:val="none"/>
                <w:lang w:eastAsia="zh-CN"/>
              </w:rPr>
              <w:t>从事</w:t>
            </w:r>
            <w:r>
              <w:rPr>
                <w:rFonts w:hint="eastAsia" w:cs="Times New Roman"/>
                <w:color w:val="auto"/>
                <w:spacing w:val="0"/>
                <w:sz w:val="24"/>
                <w:szCs w:val="24"/>
                <w:highlight w:val="none"/>
                <w:lang w:val="en-US" w:eastAsia="zh-CN"/>
              </w:rPr>
              <w:t>商用混凝土搅拌和</w:t>
            </w:r>
            <w:r>
              <w:rPr>
                <w:rFonts w:hint="eastAsia" w:ascii="Times New Roman" w:hAnsi="Times New Roman" w:eastAsia="宋体" w:cs="Times New Roman"/>
                <w:color w:val="auto"/>
                <w:spacing w:val="0"/>
                <w:sz w:val="24"/>
                <w:szCs w:val="24"/>
                <w:highlight w:val="none"/>
                <w:lang w:eastAsia="zh-CN"/>
              </w:rPr>
              <w:t>混凝</w:t>
            </w:r>
            <w:r>
              <w:rPr>
                <w:rFonts w:hint="eastAsia" w:cs="Times New Roman"/>
                <w:color w:val="auto"/>
                <w:spacing w:val="0"/>
                <w:sz w:val="24"/>
                <w:szCs w:val="24"/>
                <w:highlight w:val="none"/>
                <w:lang w:val="en-US" w:eastAsia="zh-CN"/>
              </w:rPr>
              <w:t>土</w:t>
            </w:r>
            <w:r>
              <w:rPr>
                <w:rFonts w:hint="eastAsia" w:ascii="Times New Roman" w:hAnsi="Times New Roman" w:eastAsia="宋体" w:cs="Times New Roman"/>
                <w:color w:val="auto"/>
                <w:spacing w:val="0"/>
                <w:sz w:val="24"/>
                <w:szCs w:val="24"/>
                <w:highlight w:val="none"/>
                <w:lang w:eastAsia="zh-CN"/>
              </w:rPr>
              <w:t>预制</w:t>
            </w:r>
            <w:r>
              <w:rPr>
                <w:rFonts w:hint="eastAsia" w:cs="Times New Roman"/>
                <w:color w:val="auto"/>
                <w:spacing w:val="0"/>
                <w:sz w:val="24"/>
                <w:szCs w:val="24"/>
                <w:highlight w:val="none"/>
                <w:lang w:val="en-US" w:eastAsia="zh-CN"/>
              </w:rPr>
              <w:t>件的</w:t>
            </w:r>
            <w:r>
              <w:rPr>
                <w:rFonts w:hint="eastAsia" w:ascii="Times New Roman" w:hAnsi="Times New Roman" w:eastAsia="宋体" w:cs="Times New Roman"/>
                <w:color w:val="auto"/>
                <w:spacing w:val="0"/>
                <w:sz w:val="24"/>
                <w:szCs w:val="24"/>
                <w:highlight w:val="none"/>
                <w:lang w:eastAsia="zh-CN"/>
              </w:rPr>
              <w:t>生产，属于工业企业，</w:t>
            </w:r>
            <w:r>
              <w:rPr>
                <w:rFonts w:hint="default" w:ascii="Times New Roman" w:hAnsi="Times New Roman" w:eastAsia="宋体" w:cs="Times New Roman"/>
                <w:color w:val="auto"/>
                <w:spacing w:val="0"/>
                <w:sz w:val="24"/>
                <w:szCs w:val="24"/>
                <w:highlight w:val="none"/>
              </w:rPr>
              <w:t>选址符合土地利用规划要求。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en-US" w:eastAsia="zh-CN"/>
              </w:rPr>
              <w:t>、环境功能区划符合性分析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ascii="Times New Roman" w:hAnsi="Times New Roman" w:eastAsia="宋体" w:cs="Times New Roman"/>
                <w:color w:val="auto"/>
                <w:spacing w:val="0"/>
                <w:sz w:val="24"/>
                <w:szCs w:val="24"/>
                <w:highlight w:val="none"/>
                <w:lang w:val="en-US" w:eastAsia="zh-CN"/>
              </w:rPr>
            </w:pPr>
            <w:r>
              <w:rPr>
                <w:rFonts w:hint="eastAsia" w:ascii="Times New Roman" w:hAnsi="Times New Roman" w:eastAsia="宋体" w:cs="Times New Roman"/>
                <w:color w:val="auto"/>
                <w:spacing w:val="0"/>
                <w:sz w:val="24"/>
                <w:szCs w:val="24"/>
                <w:highlight w:val="none"/>
                <w:lang w:val="en-US" w:eastAsia="zh-CN"/>
              </w:rPr>
              <w:t>项目运营期废气采取有效的治理措施后，对周围环境空气不会产生显著影响，不会改变区域环境空气质量等级；项目生产废水及收集的初期雨水经处理后，全部回用于搅拌等，不外排；生活污水经化粪池</w:t>
            </w:r>
            <w:r>
              <w:rPr>
                <w:rFonts w:hint="eastAsia" w:cs="Times New Roman"/>
                <w:color w:val="auto"/>
                <w:spacing w:val="0"/>
                <w:sz w:val="24"/>
                <w:szCs w:val="24"/>
                <w:highlight w:val="none"/>
                <w:lang w:val="en-US" w:eastAsia="zh-CN"/>
              </w:rPr>
              <w:t>和一体化污水处理设施</w:t>
            </w:r>
            <w:r>
              <w:rPr>
                <w:rFonts w:hint="eastAsia" w:ascii="Times New Roman" w:hAnsi="Times New Roman" w:eastAsia="宋体" w:cs="Times New Roman"/>
                <w:color w:val="auto"/>
                <w:spacing w:val="0"/>
                <w:sz w:val="24"/>
                <w:szCs w:val="24"/>
                <w:highlight w:val="none"/>
                <w:lang w:val="en-US" w:eastAsia="zh-CN"/>
              </w:rPr>
              <w:t>处理后</w:t>
            </w:r>
            <w:r>
              <w:rPr>
                <w:rFonts w:hint="eastAsia" w:cs="Times New Roman"/>
                <w:color w:val="auto"/>
                <w:spacing w:val="0"/>
                <w:sz w:val="24"/>
                <w:szCs w:val="24"/>
                <w:highlight w:val="none"/>
                <w:lang w:val="en-US" w:eastAsia="zh-CN"/>
              </w:rPr>
              <w:t>，近期回用于厂区绿化灌溉</w:t>
            </w:r>
            <w:r>
              <w:rPr>
                <w:rFonts w:hint="eastAsia" w:ascii="Times New Roman" w:hAnsi="Times New Roman" w:eastAsia="宋体" w:cs="Times New Roman"/>
                <w:color w:val="auto"/>
                <w:sz w:val="24"/>
                <w:szCs w:val="24"/>
                <w:lang w:val="en-US" w:eastAsia="zh-CN"/>
              </w:rPr>
              <w:t>，远期待项目周边市政污水管网及相关配套设施建成后，统一接入当地市政污水处理系统排放处理</w:t>
            </w:r>
            <w:r>
              <w:rPr>
                <w:rFonts w:hint="eastAsia" w:cs="Times New Roman"/>
                <w:color w:val="auto"/>
                <w:sz w:val="24"/>
                <w:szCs w:val="24"/>
                <w:lang w:val="en-US" w:eastAsia="zh-CN"/>
              </w:rPr>
              <w:t>，均不外排</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pacing w:val="0"/>
                <w:sz w:val="24"/>
                <w:szCs w:val="24"/>
                <w:highlight w:val="none"/>
                <w:lang w:val="en-US" w:eastAsia="zh-CN"/>
              </w:rPr>
              <w:t>不会改变区域</w:t>
            </w:r>
            <w:r>
              <w:rPr>
                <w:rFonts w:hint="default" w:ascii="Times New Roman" w:hAnsi="Times New Roman" w:eastAsia="宋体" w:cs="Times New Roman"/>
                <w:color w:val="auto"/>
                <w:spacing w:val="0"/>
                <w:sz w:val="24"/>
                <w:szCs w:val="24"/>
                <w:highlight w:val="none"/>
                <w:lang w:val="en-US" w:eastAsia="zh-CN"/>
              </w:rPr>
              <w:t>地表水环境质量</w:t>
            </w:r>
            <w:r>
              <w:rPr>
                <w:rFonts w:hint="eastAsia" w:ascii="Times New Roman" w:hAnsi="Times New Roman" w:eastAsia="宋体" w:cs="Times New Roman"/>
                <w:color w:val="auto"/>
                <w:spacing w:val="0"/>
                <w:sz w:val="24"/>
                <w:szCs w:val="24"/>
                <w:highlight w:val="none"/>
                <w:lang w:val="en-US" w:eastAsia="zh-CN"/>
              </w:rPr>
              <w:t>等级</w:t>
            </w:r>
            <w:r>
              <w:rPr>
                <w:rFonts w:hint="default" w:ascii="Times New Roman" w:hAnsi="Times New Roman" w:eastAsia="宋体" w:cs="Times New Roman"/>
                <w:color w:val="auto"/>
                <w:spacing w:val="0"/>
                <w:sz w:val="24"/>
                <w:szCs w:val="24"/>
                <w:highlight w:val="none"/>
                <w:lang w:val="en-US" w:eastAsia="zh-CN"/>
              </w:rPr>
              <w:t>；</w:t>
            </w:r>
            <w:r>
              <w:rPr>
                <w:rFonts w:hint="eastAsia" w:ascii="Times New Roman" w:hAnsi="Times New Roman" w:eastAsia="宋体" w:cs="Times New Roman"/>
                <w:color w:val="auto"/>
                <w:spacing w:val="0"/>
                <w:sz w:val="24"/>
                <w:szCs w:val="24"/>
                <w:highlight w:val="none"/>
                <w:lang w:val="en-US" w:eastAsia="zh-CN"/>
              </w:rPr>
              <w:t>项目在采取一定的噪声污染防治措施后，项目产生的噪声不会对周围环境产生显著影响，不会改变区域环境噪声质量等级；项目周边地下水、土壤环境相对不敏感，采取有效的防渗措施后，项目对地下水、土壤环境影响小，不会改变地下水环境、土壤环境质量现状等级，因此，项目建设符合环境功能。</w:t>
            </w:r>
          </w:p>
          <w:p>
            <w:pPr>
              <w:bidi w:val="0"/>
              <w:rPr>
                <w:rFonts w:hint="default"/>
                <w:b/>
                <w:bCs/>
                <w:color w:val="auto"/>
                <w:lang w:val="en-US" w:eastAsia="zh-CN"/>
              </w:rPr>
            </w:pPr>
            <w:r>
              <w:rPr>
                <w:rFonts w:hint="eastAsia"/>
                <w:b/>
                <w:bCs/>
                <w:color w:val="auto"/>
                <w:lang w:val="en-US" w:eastAsia="zh-CN"/>
              </w:rPr>
              <w:t>4</w:t>
            </w:r>
            <w:r>
              <w:rPr>
                <w:rFonts w:hint="default"/>
                <w:b/>
                <w:bCs/>
                <w:color w:val="auto"/>
                <w:lang w:val="en-US" w:eastAsia="zh-CN"/>
              </w:rPr>
              <w:t>、与周边</w:t>
            </w:r>
            <w:r>
              <w:rPr>
                <w:rFonts w:hint="eastAsia"/>
                <w:b/>
                <w:bCs/>
                <w:color w:val="auto"/>
                <w:lang w:val="en-US" w:eastAsia="zh-CN"/>
              </w:rPr>
              <w:t>环境</w:t>
            </w:r>
            <w:r>
              <w:rPr>
                <w:rFonts w:hint="default"/>
                <w:b/>
                <w:bCs/>
                <w:color w:val="auto"/>
                <w:lang w:val="en-US" w:eastAsia="zh-CN"/>
              </w:rPr>
              <w:t>相容性分析</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eastAsia" w:cs="Times New Roman"/>
                <w:color w:val="auto"/>
                <w:spacing w:val="0"/>
                <w:sz w:val="24"/>
                <w:szCs w:val="24"/>
                <w:highlight w:val="none"/>
                <w:lang w:val="en-US" w:eastAsia="zh-CN"/>
              </w:rPr>
            </w:pPr>
            <w:r>
              <w:rPr>
                <w:rFonts w:hint="eastAsia"/>
                <w:color w:val="auto"/>
                <w:lang w:val="en-US" w:eastAsia="zh-CN"/>
              </w:rPr>
              <w:t>项目厂址不位于自然保护区、风景名胜区、饮用水水源保护区和其他需要特别保护等法律法规禁止开发建设的区域。</w:t>
            </w:r>
            <w:r>
              <w:rPr>
                <w:rFonts w:hint="default" w:ascii="Times New Roman" w:hAnsi="Times New Roman" w:eastAsia="宋体" w:cs="Times New Roman"/>
                <w:color w:val="auto"/>
                <w:spacing w:val="0"/>
                <w:sz w:val="24"/>
                <w:szCs w:val="24"/>
                <w:highlight w:val="none"/>
                <w:lang w:val="en-US" w:eastAsia="zh-CN"/>
              </w:rPr>
              <w:t>根据现场勘查，</w:t>
            </w:r>
            <w:r>
              <w:rPr>
                <w:rFonts w:hint="eastAsia" w:cs="Times New Roman"/>
                <w:color w:val="auto"/>
                <w:spacing w:val="0"/>
                <w:sz w:val="24"/>
                <w:szCs w:val="24"/>
                <w:highlight w:val="none"/>
                <w:lang w:val="en-US" w:eastAsia="zh-CN"/>
              </w:rPr>
              <w:t>项目</w:t>
            </w:r>
            <w:r>
              <w:rPr>
                <w:rFonts w:hint="default" w:ascii="Times New Roman" w:hAnsi="Times New Roman" w:eastAsia="宋体" w:cs="Times New Roman"/>
                <w:color w:val="auto"/>
                <w:spacing w:val="0"/>
                <w:sz w:val="24"/>
                <w:szCs w:val="24"/>
                <w:highlight w:val="none"/>
                <w:lang w:eastAsia="zh-CN"/>
              </w:rPr>
              <w:t>周边</w:t>
            </w:r>
            <w:r>
              <w:rPr>
                <w:rFonts w:hint="eastAsia" w:ascii="Times New Roman" w:hAnsi="Times New Roman" w:eastAsia="宋体" w:cs="Times New Roman"/>
                <w:color w:val="auto"/>
                <w:spacing w:val="0"/>
                <w:sz w:val="24"/>
                <w:szCs w:val="24"/>
                <w:highlight w:val="none"/>
                <w:lang w:val="en-US" w:eastAsia="zh-CN"/>
              </w:rPr>
              <w:t>以工业企业、</w:t>
            </w:r>
            <w:r>
              <w:rPr>
                <w:rFonts w:hint="eastAsia" w:ascii="Times New Roman" w:hAnsi="Times New Roman" w:eastAsia="宋体"/>
                <w:color w:val="auto"/>
                <w:sz w:val="24"/>
                <w:szCs w:val="24"/>
                <w:lang w:val="en-US" w:eastAsia="zh-CN"/>
              </w:rPr>
              <w:t>农田</w:t>
            </w:r>
            <w:r>
              <w:rPr>
                <w:rFonts w:hint="eastAsia" w:ascii="Times New Roman" w:hAnsi="Times New Roman" w:eastAsia="宋体" w:cs="Times New Roman"/>
                <w:color w:val="auto"/>
                <w:spacing w:val="0"/>
                <w:sz w:val="24"/>
                <w:szCs w:val="24"/>
                <w:highlight w:val="none"/>
                <w:lang w:val="en-US" w:eastAsia="zh-CN"/>
              </w:rPr>
              <w:t>等为主</w:t>
            </w:r>
            <w:r>
              <w:rPr>
                <w:rFonts w:hint="eastAsia" w:ascii="Times New Roman" w:hAnsi="Times New Roman" w:eastAsia="宋体"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其中厂区南侧主要有福建平达新材料科技有限公司、福清市伟达塑料制品有限公司和福清市海兴保健食品有限公司（从事紫菜饼、绿藻粉和海带粉的生产）等企业，</w:t>
            </w:r>
            <w:r>
              <w:rPr>
                <w:rFonts w:hint="eastAsia" w:ascii="Times New Roman" w:hAnsi="Times New Roman" w:eastAsia="宋体" w:cs="Times New Roman"/>
                <w:color w:val="auto"/>
                <w:spacing w:val="0"/>
                <w:sz w:val="24"/>
                <w:szCs w:val="24"/>
                <w:highlight w:val="none"/>
                <w:lang w:val="en-US" w:eastAsia="zh-CN"/>
              </w:rPr>
              <w:t>主要环境保护目标为</w:t>
            </w:r>
            <w:r>
              <w:rPr>
                <w:rFonts w:hint="eastAsia"/>
                <w:color w:val="auto"/>
                <w:lang w:val="en-US" w:eastAsia="zh-CN"/>
              </w:rPr>
              <w:t>石溪村（西北侧约260m）</w:t>
            </w:r>
            <w:r>
              <w:rPr>
                <w:rFonts w:hint="eastAsia" w:ascii="Times New Roman" w:hAnsi="Times New Roman" w:eastAsia="宋体" w:cs="Times New Roman"/>
                <w:color w:val="auto"/>
                <w:spacing w:val="0"/>
                <w:sz w:val="24"/>
                <w:szCs w:val="24"/>
                <w:highlight w:val="none"/>
                <w:lang w:val="en-US" w:eastAsia="zh-CN"/>
              </w:rPr>
              <w:t>，</w:t>
            </w:r>
            <w:r>
              <w:rPr>
                <w:rFonts w:hint="eastAsia"/>
                <w:color w:val="auto"/>
                <w:lang w:eastAsia="zh-CN"/>
              </w:rPr>
              <w:t>项目周边环境现状</w:t>
            </w:r>
            <w:r>
              <w:rPr>
                <w:rFonts w:hint="eastAsia"/>
                <w:color w:val="auto"/>
                <w:lang w:val="en-US" w:eastAsia="zh-CN"/>
              </w:rPr>
              <w:t>及敏感目标</w:t>
            </w:r>
            <w:r>
              <w:rPr>
                <w:rFonts w:hint="eastAsia"/>
                <w:color w:val="auto"/>
                <w:lang w:eastAsia="zh-CN"/>
              </w:rPr>
              <w:t>示意图详见附图</w:t>
            </w:r>
            <w:r>
              <w:rPr>
                <w:rFonts w:hint="eastAsia"/>
                <w:color w:val="auto"/>
                <w:lang w:val="en-US" w:eastAsia="zh-CN"/>
              </w:rPr>
              <w:t>二，</w:t>
            </w:r>
            <w:r>
              <w:rPr>
                <w:rFonts w:hint="eastAsia"/>
                <w:color w:val="auto"/>
                <w:lang w:eastAsia="zh-CN"/>
              </w:rPr>
              <w:t>项目周边环境现状拍摄图详见附图</w:t>
            </w:r>
            <w:r>
              <w:rPr>
                <w:rFonts w:hint="eastAsia"/>
                <w:color w:val="auto"/>
                <w:lang w:val="en-US" w:eastAsia="zh-CN"/>
              </w:rPr>
              <w:t>三</w:t>
            </w:r>
            <w:r>
              <w:rPr>
                <w:rFonts w:hint="eastAsia" w:cs="Times New Roman"/>
                <w:color w:val="auto"/>
                <w:spacing w:val="0"/>
                <w:sz w:val="24"/>
                <w:szCs w:val="24"/>
                <w:highlight w:val="none"/>
                <w:lang w:val="en-US" w:eastAsia="zh-CN"/>
              </w:rPr>
              <w:t>。</w:t>
            </w:r>
          </w:p>
          <w:p>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color w:val="auto"/>
                <w:spacing w:val="0"/>
                <w:sz w:val="24"/>
                <w:szCs w:val="24"/>
                <w:highlight w:val="none"/>
                <w:lang w:eastAsia="zh-CN"/>
              </w:rPr>
            </w:pPr>
            <w:r>
              <w:rPr>
                <w:rFonts w:hint="eastAsia" w:cs="Times New Roman"/>
                <w:color w:val="auto"/>
                <w:spacing w:val="0"/>
                <w:sz w:val="24"/>
                <w:szCs w:val="24"/>
                <w:highlight w:val="none"/>
                <w:lang w:val="en-US" w:eastAsia="zh-CN"/>
              </w:rPr>
              <w:t>本项目距离环境保护目标较远，产生的噪声和废气等各类污染物基本不会对其产生影响。</w:t>
            </w:r>
            <w:r>
              <w:rPr>
                <w:rFonts w:hint="default" w:ascii="Times New Roman" w:hAnsi="Times New Roman" w:eastAsia="宋体" w:cs="Times New Roman"/>
                <w:color w:val="auto"/>
                <w:spacing w:val="0"/>
                <w:sz w:val="24"/>
                <w:szCs w:val="24"/>
                <w:highlight w:val="none"/>
                <w:lang w:eastAsia="zh-CN"/>
              </w:rPr>
              <w:t>建设单位在</w:t>
            </w:r>
            <w:r>
              <w:rPr>
                <w:rFonts w:hint="eastAsia" w:ascii="Times New Roman" w:hAnsi="Times New Roman" w:eastAsia="宋体" w:cs="Times New Roman"/>
                <w:color w:val="auto"/>
                <w:spacing w:val="0"/>
                <w:sz w:val="24"/>
                <w:szCs w:val="24"/>
                <w:highlight w:val="none"/>
                <w:lang w:eastAsia="zh-CN"/>
              </w:rPr>
              <w:t>切实落实</w:t>
            </w:r>
            <w:r>
              <w:rPr>
                <w:rFonts w:hint="default" w:ascii="Times New Roman" w:hAnsi="Times New Roman" w:eastAsia="宋体" w:cs="Times New Roman"/>
                <w:color w:val="auto"/>
                <w:spacing w:val="0"/>
                <w:sz w:val="24"/>
                <w:szCs w:val="24"/>
                <w:highlight w:val="none"/>
                <w:lang w:eastAsia="zh-CN"/>
              </w:rPr>
              <w:t>本评价提出的各项污染治理措施</w:t>
            </w:r>
            <w:r>
              <w:rPr>
                <w:rFonts w:hint="eastAsia" w:ascii="Times New Roman" w:hAnsi="Times New Roman" w:eastAsia="宋体" w:cs="Times New Roman"/>
                <w:color w:val="auto"/>
                <w:spacing w:val="0"/>
                <w:sz w:val="24"/>
                <w:szCs w:val="24"/>
                <w:highlight w:val="none"/>
                <w:lang w:eastAsia="zh-CN"/>
              </w:rPr>
              <w:t>，</w:t>
            </w:r>
            <w:r>
              <w:rPr>
                <w:rFonts w:hint="eastAsia" w:ascii="Times New Roman" w:hAnsi="Times New Roman" w:eastAsia="宋体" w:cs="Times New Roman"/>
                <w:color w:val="auto"/>
                <w:spacing w:val="0"/>
                <w:sz w:val="24"/>
                <w:szCs w:val="24"/>
                <w:highlight w:val="none"/>
                <w:lang w:val="en-US" w:eastAsia="zh-CN"/>
              </w:rPr>
              <w:t>做好车间和堆场封闭、定期喷淋抑尘等，控制粉尘排放</w:t>
            </w:r>
            <w:r>
              <w:rPr>
                <w:rFonts w:hint="default" w:ascii="Times New Roman" w:hAnsi="Times New Roman" w:eastAsia="宋体" w:cs="Times New Roman"/>
                <w:color w:val="auto"/>
                <w:spacing w:val="0"/>
                <w:sz w:val="24"/>
                <w:szCs w:val="24"/>
                <w:highlight w:val="none"/>
                <w:lang w:eastAsia="zh-CN"/>
              </w:rPr>
              <w:t>的前提下，</w:t>
            </w:r>
            <w:r>
              <w:rPr>
                <w:rFonts w:hint="eastAsia" w:ascii="Times New Roman" w:hAnsi="Times New Roman" w:eastAsia="宋体" w:cs="Times New Roman"/>
                <w:color w:val="auto"/>
                <w:spacing w:val="0"/>
                <w:sz w:val="24"/>
                <w:szCs w:val="24"/>
                <w:highlight w:val="none"/>
                <w:lang w:val="en-US" w:eastAsia="zh-CN"/>
              </w:rPr>
              <w:t>对</w:t>
            </w:r>
            <w:r>
              <w:rPr>
                <w:rFonts w:hint="eastAsia" w:cs="Times New Roman"/>
                <w:color w:val="auto"/>
                <w:spacing w:val="0"/>
                <w:sz w:val="24"/>
                <w:szCs w:val="24"/>
                <w:highlight w:val="none"/>
                <w:lang w:val="en-US" w:eastAsia="zh-CN"/>
              </w:rPr>
              <w:t>福清市海兴保健食品有限公司</w:t>
            </w:r>
            <w:r>
              <w:rPr>
                <w:rFonts w:hint="eastAsia" w:ascii="Times New Roman" w:hAnsi="Times New Roman" w:eastAsia="宋体" w:cs="Times New Roman"/>
                <w:color w:val="auto"/>
                <w:spacing w:val="0"/>
                <w:sz w:val="24"/>
                <w:szCs w:val="24"/>
                <w:highlight w:val="none"/>
                <w:lang w:val="en-US" w:eastAsia="zh-CN"/>
              </w:rPr>
              <w:t>及周边企业影响较小，</w:t>
            </w:r>
            <w:r>
              <w:rPr>
                <w:rFonts w:hint="eastAsia" w:ascii="Times New Roman" w:hAnsi="Times New Roman"/>
                <w:color w:val="auto"/>
                <w:lang w:val="en-US" w:eastAsia="zh-CN"/>
              </w:rPr>
              <w:t>海兴食品</w:t>
            </w:r>
            <w:r>
              <w:rPr>
                <w:rFonts w:hint="eastAsia"/>
                <w:color w:val="auto"/>
                <w:lang w:val="en-US" w:eastAsia="zh-CN"/>
              </w:rPr>
              <w:t>不</w:t>
            </w:r>
            <w:r>
              <w:rPr>
                <w:rFonts w:hint="eastAsia" w:ascii="Times New Roman" w:hAnsi="Times New Roman"/>
                <w:color w:val="auto"/>
                <w:lang w:val="en-US" w:eastAsia="zh-CN"/>
              </w:rPr>
              <w:t>位于本项目主导风向</w:t>
            </w:r>
            <w:r>
              <w:rPr>
                <w:rFonts w:hint="eastAsia"/>
                <w:color w:val="auto"/>
                <w:lang w:val="en-US" w:eastAsia="zh-CN"/>
              </w:rPr>
              <w:t>的下风向且</w:t>
            </w:r>
            <w:r>
              <w:rPr>
                <w:rFonts w:hint="eastAsia" w:ascii="Times New Roman" w:hAnsi="Times New Roman" w:eastAsia="宋体" w:cs="Times New Roman"/>
                <w:color w:val="auto"/>
                <w:spacing w:val="0"/>
                <w:sz w:val="24"/>
                <w:szCs w:val="24"/>
                <w:highlight w:val="none"/>
                <w:lang w:val="en-US" w:eastAsia="zh-CN"/>
              </w:rPr>
              <w:t>通过合理布局，将靠近</w:t>
            </w:r>
            <w:r>
              <w:rPr>
                <w:rFonts w:hint="eastAsia" w:cs="Times New Roman"/>
                <w:color w:val="auto"/>
                <w:spacing w:val="0"/>
                <w:sz w:val="24"/>
                <w:szCs w:val="24"/>
                <w:highlight w:val="none"/>
                <w:lang w:val="en-US" w:eastAsia="zh-CN"/>
              </w:rPr>
              <w:t>海兴食品公司位置布置为小车停车区，进一步减少对海兴食品公司的影响</w:t>
            </w:r>
            <w:r>
              <w:rPr>
                <w:rFonts w:hint="eastAsia" w:ascii="Times New Roman" w:hAnsi="Times New Roman" w:eastAsia="宋体" w:cs="Times New Roman"/>
                <w:color w:val="auto"/>
                <w:spacing w:val="0"/>
                <w:sz w:val="24"/>
                <w:szCs w:val="24"/>
                <w:highlight w:val="none"/>
                <w:lang w:val="en-US" w:eastAsia="zh-CN"/>
              </w:rPr>
              <w:t>。</w:t>
            </w:r>
            <w:r>
              <w:rPr>
                <w:rFonts w:hint="default" w:ascii="Times New Roman" w:hAnsi="Times New Roman" w:eastAsia="宋体" w:cs="Times New Roman"/>
                <w:color w:val="auto"/>
                <w:spacing w:val="0"/>
                <w:sz w:val="24"/>
                <w:szCs w:val="24"/>
                <w:highlight w:val="none"/>
                <w:lang w:eastAsia="zh-CN"/>
              </w:rPr>
              <w:t>因此，项目建设与周边环境基本相容。</w:t>
            </w:r>
          </w:p>
          <w:p>
            <w:pPr>
              <w:bidi w:val="0"/>
              <w:rPr>
                <w:rFonts w:hint="default"/>
                <w:b/>
                <w:bCs/>
                <w:color w:val="auto"/>
                <w:lang w:val="en-US" w:eastAsia="zh-CN"/>
              </w:rPr>
            </w:pPr>
            <w:r>
              <w:rPr>
                <w:rFonts w:hint="eastAsia"/>
                <w:b/>
                <w:bCs/>
                <w:color w:val="auto"/>
                <w:lang w:val="en-US" w:eastAsia="zh-CN"/>
              </w:rPr>
              <w:t>5</w:t>
            </w:r>
            <w:r>
              <w:rPr>
                <w:rFonts w:hint="default"/>
                <w:b/>
                <w:bCs/>
                <w:color w:val="auto"/>
                <w:lang w:val="en-US" w:eastAsia="zh-CN"/>
              </w:rPr>
              <w:t>、</w:t>
            </w:r>
            <w:r>
              <w:rPr>
                <w:rFonts w:hint="eastAsia"/>
                <w:b/>
                <w:bCs/>
                <w:color w:val="auto"/>
                <w:lang w:val="en-US" w:eastAsia="zh-CN"/>
              </w:rPr>
              <w:t>生态环境分区管控要求的符合性分析</w:t>
            </w:r>
          </w:p>
          <w:p>
            <w:pPr>
              <w:bidi w:val="0"/>
              <w:rPr>
                <w:rFonts w:hint="eastAsia"/>
                <w:color w:val="auto"/>
                <w:sz w:val="24"/>
                <w:szCs w:val="24"/>
                <w:lang w:val="en-US" w:eastAsia="zh-CN"/>
              </w:rPr>
            </w:pPr>
            <w:bookmarkStart w:id="3" w:name="_Toc27236"/>
            <w:bookmarkStart w:id="4" w:name="_Toc3067"/>
            <w:bookmarkStart w:id="5" w:name="_Toc3746"/>
            <w:bookmarkStart w:id="6" w:name="_Toc7228"/>
            <w:bookmarkStart w:id="7" w:name="_Toc16029"/>
            <w:r>
              <w:rPr>
                <w:rFonts w:hint="eastAsia" w:ascii="Times New Roman" w:hAnsi="Times New Roman" w:eastAsia="宋体" w:cs="Times New Roman"/>
                <w:color w:val="auto"/>
                <w:sz w:val="24"/>
                <w:szCs w:val="24"/>
                <w:lang w:val="en-US" w:eastAsia="zh-CN"/>
              </w:rPr>
              <w:t>根据</w:t>
            </w:r>
            <w:r>
              <w:rPr>
                <w:rFonts w:hint="default" w:ascii="Times New Roman" w:hAnsi="Times New Roman" w:eastAsia="宋体" w:cs="Times New Roman"/>
                <w:color w:val="auto"/>
                <w:sz w:val="24"/>
                <w:szCs w:val="24"/>
                <w:lang w:val="en-US" w:eastAsia="zh-CN"/>
              </w:rPr>
              <w:t>《福州市生态环境局关于发布福州市2024年生态环境分区管控动态更新成果的通知》（榕环保综〔2025〕1号）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ascii="Times New Roman" w:hAnsi="Times New Roman" w:eastAsia="宋体" w:cs="Times New Roman"/>
                <w:color w:val="auto"/>
                <w:sz w:val="24"/>
                <w:szCs w:val="24"/>
                <w:lang w:val="en-US" w:eastAsia="zh-CN"/>
              </w:rPr>
              <w:t>，</w:t>
            </w:r>
            <w:r>
              <w:rPr>
                <w:rFonts w:hint="eastAsia"/>
                <w:color w:val="auto"/>
                <w:sz w:val="24"/>
                <w:szCs w:val="24"/>
                <w:lang w:val="en-US" w:eastAsia="zh-CN"/>
              </w:rPr>
              <w:t>项目与福州市生态环境分区管控要求符合性分析如下：</w:t>
            </w:r>
          </w:p>
          <w:p>
            <w:pPr>
              <w:bidi w:val="0"/>
              <w:rPr>
                <w:rFonts w:hint="eastAsia"/>
                <w:b/>
                <w:bCs/>
                <w:color w:val="auto"/>
                <w:lang w:val="en-US" w:eastAsia="zh-CN"/>
              </w:rPr>
            </w:pPr>
            <w:r>
              <w:rPr>
                <w:rFonts w:hint="eastAsia"/>
                <w:b/>
                <w:bCs/>
                <w:color w:val="auto"/>
                <w:lang w:val="en-US" w:eastAsia="zh-CN"/>
              </w:rPr>
              <w:t>（1）</w:t>
            </w:r>
            <w:r>
              <w:rPr>
                <w:rFonts w:hint="default"/>
                <w:b/>
                <w:bCs/>
                <w:color w:val="auto"/>
                <w:lang w:val="en-US" w:eastAsia="zh-CN"/>
              </w:rPr>
              <w:t>生态保护红线与一般生态空间</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生态保护红线</w:t>
            </w:r>
          </w:p>
          <w:p>
            <w:pPr>
              <w:bidi w:val="0"/>
              <w:rPr>
                <w:rFonts w:hint="default" w:ascii="Times New Roman" w:hAnsi="Times New Roman" w:eastAsia="宋体" w:cs="Times New Roman"/>
                <w:color w:val="auto"/>
                <w:szCs w:val="21"/>
                <w:lang w:val="en-US" w:eastAsia="zh-CN"/>
              </w:rPr>
            </w:pPr>
            <w:r>
              <w:rPr>
                <w:rFonts w:hint="default"/>
                <w:color w:val="auto"/>
                <w:lang w:val="en-US" w:eastAsia="zh-CN"/>
              </w:rPr>
              <w:t>完整利用福建省“三区三线”生态保护红线划定成果，福州市生态保护红线划定面积为5082.05平方千米，其中陆域面积为2410.32平方千米，海域面积为2671.73平方千米。生态保护红线最终面积以省政府发布结果为准。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一般生态空间</w:t>
            </w:r>
          </w:p>
          <w:p>
            <w:pPr>
              <w:bidi w:val="0"/>
              <w:rPr>
                <w:rFonts w:hint="default"/>
                <w:color w:val="auto"/>
                <w:lang w:val="en-US" w:eastAsia="zh-CN"/>
              </w:rPr>
            </w:pPr>
            <w:r>
              <w:rPr>
                <w:rFonts w:hint="default"/>
                <w:color w:val="auto"/>
                <w:lang w:val="en-US" w:eastAsia="zh-CN"/>
              </w:rPr>
              <w:t>一般生态空间面积为5022.51平方千米，其中陆域面积为3703.34平方千米、海域面积为1319.17平方千米。一般生态空间将随生态保护红线最终发布成果做调整。</w:t>
            </w:r>
          </w:p>
          <w:p>
            <w:pPr>
              <w:bidi w:val="0"/>
              <w:rPr>
                <w:rFonts w:hint="default"/>
                <w:color w:val="auto"/>
                <w:lang w:val="en-US" w:eastAsia="zh-CN"/>
              </w:rPr>
            </w:pPr>
            <w:r>
              <w:rPr>
                <w:rFonts w:hint="default"/>
                <w:color w:val="auto"/>
                <w:lang w:val="en-US" w:eastAsia="zh-CN"/>
              </w:rPr>
              <w:t>陆域一般生态空间主要包括生态评估得到的生态功能重要区域和生态环境敏感区域以及未纳入生态保护红线的各类法定保护地、饮用水水源保护区等需要保护的区域。</w:t>
            </w:r>
          </w:p>
          <w:p>
            <w:pPr>
              <w:bidi w:val="0"/>
              <w:rPr>
                <w:rFonts w:hint="default"/>
                <w:color w:val="auto"/>
                <w:lang w:val="en-US" w:eastAsia="zh-CN"/>
              </w:rPr>
            </w:pPr>
            <w:r>
              <w:rPr>
                <w:rFonts w:hint="default"/>
                <w:color w:val="auto"/>
                <w:lang w:val="en-US" w:eastAsia="zh-CN"/>
              </w:rPr>
              <w:t>项目位于陆域范围，经对照福建省“三区三线”生态保护红线划定成果</w:t>
            </w:r>
            <w:r>
              <w:rPr>
                <w:rFonts w:hint="eastAsia"/>
                <w:color w:val="auto"/>
                <w:lang w:val="en-US" w:eastAsia="zh-CN"/>
              </w:rPr>
              <w:t>和一般生态空间划定成果</w:t>
            </w:r>
            <w:r>
              <w:rPr>
                <w:rFonts w:hint="default"/>
                <w:color w:val="auto"/>
                <w:lang w:val="en-US" w:eastAsia="zh-CN"/>
              </w:rPr>
              <w:t>，项目建设区未涉及生态保护红线</w:t>
            </w:r>
            <w:r>
              <w:rPr>
                <w:rFonts w:hint="eastAsia"/>
                <w:color w:val="auto"/>
                <w:lang w:val="en-US" w:eastAsia="zh-CN"/>
              </w:rPr>
              <w:t>和一般生态空间</w:t>
            </w:r>
            <w:r>
              <w:rPr>
                <w:rFonts w:hint="default"/>
                <w:color w:val="auto"/>
                <w:lang w:val="en-US" w:eastAsia="zh-CN"/>
              </w:rPr>
              <w:t>，因此项目建设与生态保护红线</w:t>
            </w:r>
            <w:r>
              <w:rPr>
                <w:rFonts w:hint="eastAsia"/>
                <w:color w:val="auto"/>
                <w:lang w:val="en-US" w:eastAsia="zh-CN"/>
              </w:rPr>
              <w:t>及</w:t>
            </w:r>
            <w:r>
              <w:rPr>
                <w:rFonts w:hint="default"/>
                <w:color w:val="auto"/>
                <w:lang w:val="en-US" w:eastAsia="zh-CN"/>
              </w:rPr>
              <w:t>一般生态空间管控要求不冲突。</w:t>
            </w:r>
          </w:p>
          <w:p>
            <w:pPr>
              <w:bidi w:val="0"/>
              <w:rPr>
                <w:rFonts w:hint="default"/>
                <w:b/>
                <w:bCs/>
                <w:color w:val="auto"/>
                <w:lang w:val="en-US" w:eastAsia="zh-CN"/>
              </w:rPr>
            </w:pPr>
            <w:r>
              <w:rPr>
                <w:rFonts w:hint="eastAsia"/>
                <w:b/>
                <w:bCs/>
                <w:color w:val="auto"/>
                <w:lang w:val="en-US" w:eastAsia="zh-CN"/>
              </w:rPr>
              <w:t>（</w:t>
            </w:r>
            <w:r>
              <w:rPr>
                <w:rFonts w:hint="default"/>
                <w:b/>
                <w:bCs/>
                <w:color w:val="auto"/>
                <w:lang w:val="en-US" w:eastAsia="zh-CN"/>
              </w:rPr>
              <w:t>2</w:t>
            </w:r>
            <w:r>
              <w:rPr>
                <w:rFonts w:hint="eastAsia"/>
                <w:b/>
                <w:bCs/>
                <w:color w:val="auto"/>
                <w:lang w:val="en-US" w:eastAsia="zh-CN"/>
              </w:rPr>
              <w:t>）</w:t>
            </w:r>
            <w:r>
              <w:rPr>
                <w:rFonts w:hint="default"/>
                <w:b/>
                <w:bCs/>
                <w:color w:val="auto"/>
                <w:lang w:val="en-US" w:eastAsia="zh-CN"/>
              </w:rPr>
              <w:t>环境质量底线</w:t>
            </w:r>
          </w:p>
          <w:p>
            <w:pPr>
              <w:bidi w:val="0"/>
              <w:rPr>
                <w:rFonts w:hint="eastAsia"/>
                <w:color w:val="auto"/>
                <w:lang w:val="en-US" w:eastAsia="zh-CN"/>
              </w:rPr>
            </w:pPr>
            <w:r>
              <w:rPr>
                <w:rFonts w:hint="default"/>
                <w:color w:val="auto"/>
                <w:lang w:val="en-US" w:eastAsia="zh-CN"/>
              </w:rPr>
              <w:t>①</w:t>
            </w:r>
            <w:r>
              <w:rPr>
                <w:rFonts w:hint="eastAsia"/>
                <w:color w:val="auto"/>
                <w:lang w:val="en-US" w:eastAsia="zh-CN"/>
              </w:rPr>
              <w:t>地表水</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到2025年，国省控断面水质优良（达到或优于Ⅲ类）比例总体达97.2%以上；县级以上集中式饮用水水源水质达标率达100%。到2035年，国省控断面水质优良（达到或优于Ⅲ类）比例总体达到100%；生态系统实现良性循环。</w:t>
            </w:r>
          </w:p>
          <w:p>
            <w:pPr>
              <w:bidi w:val="0"/>
              <w:rPr>
                <w:rFonts w:hint="default"/>
                <w:color w:val="auto"/>
                <w:lang w:val="en-US" w:eastAsia="zh-CN"/>
              </w:rPr>
            </w:pPr>
            <w:r>
              <w:rPr>
                <w:rFonts w:hint="eastAsia"/>
                <w:color w:val="auto"/>
                <w:lang w:val="en-US" w:eastAsia="zh-CN"/>
              </w:rPr>
              <w:t>②</w:t>
            </w:r>
            <w:r>
              <w:rPr>
                <w:rFonts w:hint="default"/>
                <w:color w:val="auto"/>
                <w:lang w:val="en-US" w:eastAsia="zh-CN"/>
              </w:rPr>
              <w:t>近岸海域环境质量底线</w:t>
            </w:r>
          </w:p>
          <w:p>
            <w:pPr>
              <w:bidi w:val="0"/>
              <w:rPr>
                <w:rFonts w:hint="default"/>
                <w:color w:val="auto"/>
                <w:lang w:val="en-US" w:eastAsia="zh-CN"/>
              </w:rPr>
            </w:pPr>
            <w:r>
              <w:rPr>
                <w:rFonts w:hint="default"/>
                <w:color w:val="auto"/>
                <w:lang w:val="en-US" w:eastAsia="zh-CN"/>
              </w:rPr>
              <w:t>到2025年，近岸海域水质持续改善，重要河口海湾水质稳定好转，鉴江半岛—黄岐半岛东部海域湾区、长乐东部海域湾区建成美丽海湾，近岸海域优良水质面积比例不低于85%（国控点优良水质面积不低于84.0%）。到2035年，海洋生态环境显著改善，重要河口海湾水质大幅提升，近岸海域优良水质面积比例不低于89%，全面建成美丽海湾。</w:t>
            </w:r>
          </w:p>
          <w:p>
            <w:pPr>
              <w:bidi w:val="0"/>
              <w:rPr>
                <w:rFonts w:hint="default"/>
                <w:color w:val="auto"/>
                <w:lang w:val="en-US" w:eastAsia="zh-CN"/>
              </w:rPr>
            </w:pPr>
            <w:r>
              <w:rPr>
                <w:rFonts w:hint="eastAsia"/>
                <w:color w:val="auto"/>
                <w:lang w:val="en-US" w:eastAsia="zh-CN"/>
              </w:rPr>
              <w:t>项目不位于</w:t>
            </w:r>
            <w:r>
              <w:rPr>
                <w:rFonts w:hint="default"/>
                <w:color w:val="auto"/>
                <w:lang w:val="en-US" w:eastAsia="zh-CN"/>
              </w:rPr>
              <w:t>近岸海域</w:t>
            </w:r>
            <w:r>
              <w:rPr>
                <w:rFonts w:hint="eastAsia"/>
                <w:color w:val="auto"/>
                <w:lang w:val="en-US" w:eastAsia="zh-CN"/>
              </w:rPr>
              <w:t>，项目生产废水及收集的初期雨水经处理后，全部回用于搅拌等，不外排；厂区职工生活污水经化粪池+一体化污水处理设施处理后近期回用于厂区绿化灌溉，远期待项目周边市政污水管网及相关配套设施建成后，统一接入当地市政污水处理系统排放处理。项目周期内尾水均不外排，因此项目无废水排入地表水外环境</w:t>
            </w:r>
            <w:r>
              <w:rPr>
                <w:color w:val="auto"/>
              </w:rPr>
              <w:t>，</w:t>
            </w:r>
            <w:r>
              <w:rPr>
                <w:rFonts w:hint="eastAsia"/>
                <w:color w:val="auto"/>
                <w:lang w:eastAsia="zh-CN"/>
              </w:rPr>
              <w:t>不会</w:t>
            </w:r>
            <w:r>
              <w:rPr>
                <w:rFonts w:hint="eastAsia"/>
                <w:color w:val="auto"/>
                <w:lang w:val="en-US" w:eastAsia="zh-CN"/>
              </w:rPr>
              <w:t>改变区域</w:t>
            </w:r>
            <w:r>
              <w:rPr>
                <w:rFonts w:hint="default"/>
                <w:color w:val="auto"/>
                <w:lang w:val="en-US" w:eastAsia="zh-CN"/>
              </w:rPr>
              <w:t>地表水环境质量</w:t>
            </w:r>
            <w:r>
              <w:rPr>
                <w:rFonts w:hint="eastAsia"/>
                <w:color w:val="auto"/>
                <w:lang w:val="en-US" w:eastAsia="zh-CN"/>
              </w:rPr>
              <w:t>等级，</w:t>
            </w:r>
            <w:r>
              <w:rPr>
                <w:rFonts w:hint="default"/>
                <w:color w:val="auto"/>
                <w:lang w:val="en-US" w:eastAsia="zh-CN"/>
              </w:rPr>
              <w:t>项目建设不会突破区域</w:t>
            </w:r>
            <w:r>
              <w:rPr>
                <w:rFonts w:hint="eastAsia"/>
                <w:color w:val="auto"/>
                <w:lang w:val="en-US" w:eastAsia="zh-CN"/>
              </w:rPr>
              <w:t>地表</w:t>
            </w:r>
            <w:r>
              <w:rPr>
                <w:rFonts w:hint="default"/>
                <w:color w:val="auto"/>
                <w:lang w:val="en-US" w:eastAsia="zh-CN"/>
              </w:rPr>
              <w:t>水环境质量底线。</w:t>
            </w:r>
          </w:p>
          <w:p>
            <w:pPr>
              <w:bidi w:val="0"/>
              <w:rPr>
                <w:rFonts w:hint="default"/>
                <w:color w:val="auto"/>
                <w:lang w:val="en-US" w:eastAsia="zh-CN"/>
              </w:rPr>
            </w:pPr>
            <w:r>
              <w:rPr>
                <w:rFonts w:hint="default"/>
                <w:color w:val="auto"/>
                <w:lang w:val="en-US" w:eastAsia="zh-CN"/>
              </w:rPr>
              <w:t>③大气环境质量底线</w:t>
            </w:r>
          </w:p>
          <w:p>
            <w:pPr>
              <w:bidi w:val="0"/>
              <w:rPr>
                <w:rFonts w:hint="default"/>
                <w:color w:val="auto"/>
                <w:lang w:val="en-US" w:eastAsia="zh-CN"/>
              </w:rPr>
            </w:pPr>
            <w:r>
              <w:rPr>
                <w:rFonts w:hint="default"/>
                <w:color w:val="auto"/>
                <w:lang w:val="en-US" w:eastAsia="zh-CN"/>
              </w:rPr>
              <w:t>到2025年，环境空气质量持续改善，细颗粒物（PM2.5）年均浓度降至18.6μg/m</w:t>
            </w:r>
            <w:r>
              <w:rPr>
                <w:rFonts w:hint="default"/>
                <w:color w:val="auto"/>
                <w:vertAlign w:val="superscript"/>
                <w:lang w:val="en-US" w:eastAsia="zh-CN"/>
              </w:rPr>
              <w:t>3</w:t>
            </w:r>
            <w:r>
              <w:rPr>
                <w:rFonts w:hint="default"/>
                <w:color w:val="auto"/>
                <w:lang w:val="en-US" w:eastAsia="zh-CN"/>
              </w:rPr>
              <w:t>。到2035年，县级城市细颗粒物（PM2.5）年均浓度小于15μg/m</w:t>
            </w:r>
            <w:r>
              <w:rPr>
                <w:rFonts w:hint="default"/>
                <w:color w:val="auto"/>
                <w:vertAlign w:val="superscript"/>
                <w:lang w:val="en-US" w:eastAsia="zh-CN"/>
              </w:rPr>
              <w:t>3</w:t>
            </w:r>
            <w:r>
              <w:rPr>
                <w:rFonts w:hint="default"/>
                <w:color w:val="auto"/>
                <w:lang w:val="en-US" w:eastAsia="zh-CN"/>
              </w:rPr>
              <w:t>，最终指标值以省下达指标为准。</w:t>
            </w:r>
          </w:p>
          <w:p>
            <w:pPr>
              <w:bidi w:val="0"/>
              <w:rPr>
                <w:rFonts w:hint="eastAsia"/>
                <w:color w:val="auto"/>
                <w:lang w:val="en-US" w:eastAsia="zh-CN"/>
              </w:rPr>
            </w:pPr>
            <w:r>
              <w:rPr>
                <w:rFonts w:hint="eastAsia"/>
                <w:color w:val="auto"/>
                <w:lang w:val="en-US" w:eastAsia="zh-CN"/>
              </w:rPr>
              <w:t>项目废气经采取有效的污染防治措施后，各污染物均可实现达标排放，</w:t>
            </w:r>
            <w:r>
              <w:rPr>
                <w:rFonts w:hint="default"/>
                <w:color w:val="auto"/>
                <w:lang w:val="en-US" w:eastAsia="zh-CN"/>
              </w:rPr>
              <w:t>项目的建设不会突破区域大气环境质量底线。</w:t>
            </w:r>
          </w:p>
          <w:p>
            <w:pPr>
              <w:bidi w:val="0"/>
              <w:rPr>
                <w:rFonts w:hint="eastAsia"/>
                <w:color w:val="auto"/>
                <w:lang w:val="en-US" w:eastAsia="zh-CN"/>
              </w:rPr>
            </w:pPr>
            <w:r>
              <w:rPr>
                <w:rFonts w:hint="eastAsia"/>
                <w:color w:val="auto"/>
                <w:lang w:val="en-US" w:eastAsia="zh-CN"/>
              </w:rPr>
              <w:t>④土壤环境风险防控底线</w:t>
            </w:r>
          </w:p>
          <w:p>
            <w:pPr>
              <w:bidi w:val="0"/>
              <w:rPr>
                <w:rFonts w:hint="eastAsia"/>
                <w:color w:val="auto"/>
                <w:lang w:val="en-US" w:eastAsia="zh-CN"/>
              </w:rPr>
            </w:pPr>
            <w:r>
              <w:rPr>
                <w:rFonts w:hint="eastAsia"/>
                <w:color w:val="auto"/>
                <w:lang w:val="en-US" w:eastAsia="zh-CN"/>
              </w:rPr>
              <w:t>到2025年，受污染耕地安全利用率达到95%（含）以上，重点建设用地安全利用率得到有效保障，重点行业企业用地优先管控名录地块风险管控率达到95%（含）以上，开垦耕地土壤污染调查覆盖率达90%以上，畜禽粪污综合利用率预期达95%（含）以上。</w:t>
            </w:r>
          </w:p>
          <w:p>
            <w:pPr>
              <w:bidi w:val="0"/>
              <w:rPr>
                <w:rFonts w:hint="eastAsia"/>
                <w:color w:val="auto"/>
                <w:lang w:val="en-US" w:eastAsia="zh-CN"/>
              </w:rPr>
            </w:pPr>
            <w:r>
              <w:rPr>
                <w:rFonts w:hint="eastAsia"/>
                <w:color w:val="auto"/>
                <w:lang w:val="en-US" w:eastAsia="zh-CN"/>
              </w:rPr>
              <w:t>项目建设后，项目厂区除绿化区域外地面全部硬化，生产过程不排放持久性及重金属等污染物，并严格按照要求进行分区防渗防控，对土壤环境影响小，不会改变地下水环境、土壤环境质量现状等级，符合土壤环境风险防控底线要求。</w:t>
            </w:r>
          </w:p>
          <w:p>
            <w:pPr>
              <w:bidi w:val="0"/>
              <w:rPr>
                <w:rFonts w:hint="eastAsia"/>
                <w:b/>
                <w:bCs/>
                <w:color w:val="auto"/>
                <w:lang w:val="en-US" w:eastAsia="zh-CN"/>
              </w:rPr>
            </w:pPr>
            <w:r>
              <w:rPr>
                <w:rFonts w:hint="eastAsia"/>
                <w:b/>
                <w:bCs/>
                <w:color w:val="auto"/>
                <w:lang w:val="en-US" w:eastAsia="zh-CN"/>
              </w:rPr>
              <w:t>（3）资源利用上线</w:t>
            </w:r>
          </w:p>
          <w:p>
            <w:pPr>
              <w:bidi w:val="0"/>
              <w:rPr>
                <w:rFonts w:hint="eastAsia"/>
                <w:color w:val="auto"/>
                <w:lang w:val="en-US" w:eastAsia="zh-CN"/>
              </w:rPr>
            </w:pPr>
            <w:r>
              <w:rPr>
                <w:rFonts w:hint="eastAsia"/>
                <w:color w:val="auto"/>
                <w:lang w:val="en-US" w:eastAsia="zh-CN"/>
              </w:rPr>
              <w:t>①水资源利用上线</w:t>
            </w:r>
          </w:p>
          <w:p>
            <w:pPr>
              <w:bidi w:val="0"/>
              <w:rPr>
                <w:rFonts w:hint="eastAsia"/>
                <w:color w:val="auto"/>
                <w:lang w:val="en-US" w:eastAsia="zh-CN"/>
              </w:rPr>
            </w:pPr>
            <w:r>
              <w:rPr>
                <w:rFonts w:hint="eastAsia"/>
                <w:color w:val="auto"/>
                <w:lang w:val="en-US" w:eastAsia="zh-CN"/>
              </w:rPr>
              <w:t>到2025年，全市总用水量目标值为28亿立方米，万元工业增加值用水量达到12立方米、万元GDP用水量达到19立方米、农田灌溉有效利用系数达到0.586。2035年指标以省人民政府下达为准</w:t>
            </w:r>
            <w:r>
              <w:rPr>
                <w:rFonts w:hint="default"/>
                <w:color w:val="auto"/>
                <w:lang w:val="en-US" w:eastAsia="zh-CN"/>
              </w:rPr>
              <w:t>。</w:t>
            </w:r>
          </w:p>
          <w:p>
            <w:pPr>
              <w:bidi w:val="0"/>
              <w:rPr>
                <w:rFonts w:hint="eastAsia"/>
                <w:color w:val="auto"/>
                <w:lang w:val="en-US" w:eastAsia="zh-CN"/>
              </w:rPr>
            </w:pPr>
            <w:r>
              <w:rPr>
                <w:rFonts w:hint="eastAsia"/>
                <w:color w:val="auto"/>
                <w:lang w:val="en-US" w:eastAsia="zh-CN"/>
              </w:rPr>
              <w:t>项目运营期用水均来自市政供水，用水量不大，不属于高耗水项目，因此项目建设不会突破水资源利用上线。</w:t>
            </w:r>
          </w:p>
          <w:p>
            <w:pPr>
              <w:bidi w:val="0"/>
              <w:rPr>
                <w:rFonts w:hint="eastAsia"/>
                <w:color w:val="auto"/>
                <w:lang w:val="en-US" w:eastAsia="zh-CN"/>
              </w:rPr>
            </w:pPr>
            <w:r>
              <w:rPr>
                <w:rFonts w:hint="eastAsia"/>
                <w:color w:val="auto"/>
                <w:lang w:val="en-US" w:eastAsia="zh-CN"/>
              </w:rPr>
              <w:t>②土地资源利用上线</w:t>
            </w:r>
          </w:p>
          <w:p>
            <w:pPr>
              <w:bidi w:val="0"/>
              <w:rPr>
                <w:rFonts w:hint="eastAsia"/>
                <w:color w:val="auto"/>
                <w:lang w:val="en-US" w:eastAsia="zh-CN"/>
              </w:rPr>
            </w:pPr>
            <w:r>
              <w:rPr>
                <w:rFonts w:hint="eastAsia"/>
                <w:color w:val="auto"/>
                <w:lang w:val="en-US" w:eastAsia="zh-CN"/>
              </w:rPr>
              <w:t>到2025年，耕地保有量达到947.53平方千米，基本农田保护面积达到844.82平方千米。2035年指标与2025年保持一致。</w:t>
            </w:r>
          </w:p>
          <w:p>
            <w:pPr>
              <w:bidi w:val="0"/>
              <w:rPr>
                <w:rFonts w:hint="eastAsia"/>
                <w:color w:val="auto"/>
                <w:lang w:val="en-US" w:eastAsia="zh-CN"/>
              </w:rPr>
            </w:pPr>
            <w:r>
              <w:rPr>
                <w:rFonts w:hint="eastAsia" w:ascii="Times New Roman" w:hAnsi="Times New Roman" w:eastAsia="宋体" w:cs="Times New Roman"/>
                <w:color w:val="auto"/>
                <w:spacing w:val="0"/>
                <w:sz w:val="24"/>
                <w:szCs w:val="24"/>
                <w:highlight w:val="none"/>
                <w:lang w:eastAsia="zh-CN"/>
              </w:rPr>
              <w:t>本项目</w:t>
            </w:r>
            <w:r>
              <w:rPr>
                <w:rFonts w:hint="eastAsia"/>
                <w:color w:val="auto"/>
                <w:lang w:val="en-US" w:eastAsia="zh-CN"/>
              </w:rPr>
              <w:t>不涉及占用基本农田，</w:t>
            </w:r>
            <w:r>
              <w:rPr>
                <w:rFonts w:hint="eastAsia" w:cs="Times New Roman"/>
                <w:color w:val="auto"/>
                <w:spacing w:val="0"/>
                <w:sz w:val="24"/>
                <w:szCs w:val="24"/>
                <w:highlight w:val="none"/>
                <w:lang w:val="en-US" w:eastAsia="zh-CN"/>
              </w:rPr>
              <w:t>土地用途已变更为</w:t>
            </w:r>
            <w:r>
              <w:rPr>
                <w:rFonts w:hint="eastAsia" w:ascii="Times New Roman" w:hAnsi="Times New Roman" w:eastAsia="宋体" w:cs="Times New Roman"/>
                <w:color w:val="auto"/>
                <w:spacing w:val="0"/>
                <w:sz w:val="24"/>
                <w:szCs w:val="24"/>
                <w:highlight w:val="none"/>
                <w:lang w:eastAsia="zh-CN"/>
              </w:rPr>
              <w:t>工业用地，</w:t>
            </w:r>
            <w:r>
              <w:rPr>
                <w:rFonts w:hint="eastAsia"/>
                <w:b w:val="0"/>
                <w:bCs w:val="0"/>
                <w:color w:val="auto"/>
                <w:sz w:val="24"/>
                <w:szCs w:val="24"/>
                <w:u w:val="none"/>
                <w:lang w:val="en-US" w:eastAsia="zh-CN"/>
              </w:rPr>
              <w:t>取得建设工程规划许可证（建字第350181202400398号，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lang w:val="en-US" w:eastAsia="zh-CN"/>
              </w:rPr>
              <w:t>，符合土地资源利用上线管控要求。</w:t>
            </w:r>
          </w:p>
          <w:p>
            <w:pPr>
              <w:bidi w:val="0"/>
              <w:rPr>
                <w:rFonts w:hint="eastAsia"/>
                <w:color w:val="auto"/>
                <w:lang w:val="en-US" w:eastAsia="zh-CN"/>
              </w:rPr>
            </w:pPr>
            <w:r>
              <w:rPr>
                <w:rFonts w:hint="eastAsia"/>
                <w:color w:val="auto"/>
                <w:lang w:val="en-US" w:eastAsia="zh-CN"/>
              </w:rPr>
              <w:t>③能源资源利用上线</w:t>
            </w:r>
          </w:p>
          <w:p>
            <w:pPr>
              <w:bidi w:val="0"/>
              <w:rPr>
                <w:rFonts w:hint="eastAsia"/>
                <w:color w:val="auto"/>
                <w:lang w:val="en-US" w:eastAsia="zh-CN"/>
              </w:rPr>
            </w:pPr>
            <w:r>
              <w:rPr>
                <w:rFonts w:hint="eastAsia"/>
                <w:color w:val="auto"/>
                <w:lang w:val="en-US" w:eastAsia="zh-CN"/>
              </w:rPr>
              <w:t>到2025年，单位地区生产总值二氧化碳排放降低率达到19.5%，单位地区生产总值能源消耗降低率达到14%，非化石能源占一次能源消费比例达到32%。2035年指标以省人民政府下达为准。</w:t>
            </w:r>
          </w:p>
          <w:p>
            <w:pPr>
              <w:bidi w:val="0"/>
              <w:rPr>
                <w:rFonts w:hint="eastAsia"/>
                <w:color w:val="auto"/>
                <w:lang w:val="en-US" w:eastAsia="zh-CN"/>
              </w:rPr>
            </w:pPr>
            <w:r>
              <w:rPr>
                <w:rFonts w:hint="eastAsia"/>
                <w:color w:val="auto"/>
                <w:lang w:val="en-US" w:eastAsia="zh-CN"/>
              </w:rPr>
              <w:t>项目设备使用电能作为能源，不涉及高污染燃料使用，项目与福州市能源资源利用上线要求相符。</w:t>
            </w:r>
          </w:p>
          <w:p>
            <w:pPr>
              <w:pStyle w:val="30"/>
              <w:spacing w:line="360" w:lineRule="auto"/>
              <w:ind w:firstLine="480" w:firstLineChars="200"/>
              <w:outlineLvl w:val="1"/>
              <w:rPr>
                <w:rFonts w:hint="default"/>
                <w:color w:val="auto"/>
                <w:lang w:val="en-US" w:eastAsia="zh-CN"/>
              </w:rPr>
            </w:pPr>
            <w:r>
              <w:rPr>
                <w:rFonts w:hint="eastAsia"/>
                <w:color w:val="auto"/>
                <w:u w:val="none"/>
              </w:rPr>
              <w:t>综上所述，项目建设不会突破区域资源利用上线。</w:t>
            </w:r>
          </w:p>
          <w:p>
            <w:pPr>
              <w:bidi w:val="0"/>
              <w:rPr>
                <w:rFonts w:hint="eastAsia"/>
                <w:b/>
                <w:bCs/>
                <w:color w:val="auto"/>
                <w:lang w:val="en-US" w:eastAsia="zh-CN"/>
              </w:rPr>
            </w:pPr>
            <w:r>
              <w:rPr>
                <w:rFonts w:hint="eastAsia"/>
                <w:b/>
                <w:bCs/>
                <w:color w:val="auto"/>
                <w:lang w:val="en-US" w:eastAsia="zh-CN"/>
              </w:rPr>
              <w:t>（4）</w:t>
            </w:r>
            <w:r>
              <w:rPr>
                <w:rFonts w:hint="default"/>
                <w:b/>
                <w:bCs/>
                <w:color w:val="auto"/>
                <w:lang w:val="en-US" w:eastAsia="zh-CN"/>
              </w:rPr>
              <w:t>生态环境准入清单</w:t>
            </w:r>
          </w:p>
          <w:p>
            <w:pPr>
              <w:bidi w:val="0"/>
              <w:rPr>
                <w:rFonts w:hint="default" w:ascii="Times New Roman" w:hAnsi="Times New Roman" w:eastAsia="宋体"/>
                <w:color w:val="auto"/>
                <w:sz w:val="21"/>
                <w:szCs w:val="21"/>
                <w:lang w:val="en-US" w:eastAsia="zh-CN"/>
              </w:rPr>
            </w:pPr>
            <w:r>
              <w:rPr>
                <w:rFonts w:hint="eastAsia"/>
                <w:b w:val="0"/>
                <w:bCs w:val="0"/>
                <w:color w:val="auto"/>
                <w:lang w:val="en-US" w:eastAsia="zh-CN"/>
              </w:rPr>
              <w:t>对照</w:t>
            </w:r>
            <w:r>
              <w:rPr>
                <w:rFonts w:hint="default" w:ascii="Times New Roman" w:hAnsi="Times New Roman" w:eastAsia="宋体" w:cs="Times New Roman"/>
                <w:color w:val="auto"/>
                <w:sz w:val="24"/>
                <w:szCs w:val="24"/>
                <w:lang w:val="en-US" w:eastAsia="zh-CN"/>
              </w:rPr>
              <w:t>《福州市2024年生态环境分区管控动态更新成果》（榕环保综〔2025〕1号）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lang w:val="en-US" w:eastAsia="zh-CN"/>
              </w:rPr>
              <w:t>福建省生态环境分区管控数据应用平台查询结果</w:t>
            </w:r>
            <w:r>
              <w:rPr>
                <w:rFonts w:hint="eastAsia"/>
                <w:b w:val="0"/>
                <w:bCs w:val="0"/>
                <w:color w:val="auto"/>
                <w:lang w:val="en-US" w:eastAsia="zh-CN"/>
              </w:rPr>
              <w:t>，项目与福州市陆域总体准入要求符合性分析见表1-2，与福清市重点管控单元准入要求符合性分析见表1-3。福建省生态环境分区管控数据应用平台查询结果截图详见附图十一、附图十五。</w:t>
            </w:r>
            <w:bookmarkEnd w:id="3"/>
            <w:bookmarkEnd w:id="4"/>
            <w:bookmarkEnd w:id="5"/>
            <w:bookmarkEnd w:id="6"/>
            <w:bookmarkEnd w:id="7"/>
          </w:p>
        </w:tc>
      </w:tr>
    </w:tbl>
    <w:p>
      <w:pPr>
        <w:pStyle w:val="19"/>
        <w:jc w:val="center"/>
        <w:outlineLvl w:val="9"/>
        <w:rPr>
          <w:rFonts w:hint="default" w:ascii="Times New Roman" w:hAnsi="Times New Roman" w:eastAsia="宋体" w:cs="Times New Roman"/>
          <w:snapToGrid w:val="0"/>
          <w:color w:val="auto"/>
          <w:sz w:val="30"/>
          <w:szCs w:val="30"/>
        </w:rPr>
        <w:sectPr>
          <w:footerReference r:id="rId3" w:type="default"/>
          <w:pgSz w:w="11906" w:h="16838"/>
          <w:pgMar w:top="1417" w:right="1417" w:bottom="1417" w:left="1417" w:header="851" w:footer="1077" w:gutter="0"/>
          <w:pgBorders>
            <w:top w:val="none" w:color="auto" w:sz="0" w:space="0"/>
            <w:left w:val="none" w:color="auto" w:sz="0" w:space="0"/>
            <w:bottom w:val="none" w:color="auto" w:sz="0" w:space="0"/>
            <w:right w:val="none" w:color="auto" w:sz="0" w:space="0"/>
          </w:pgBorders>
          <w:pgNumType w:fmt="numberInDash" w:start="1"/>
          <w:cols w:space="720" w:num="1"/>
          <w:docGrid w:linePitch="312" w:charSpace="0"/>
        </w:sectPr>
      </w:pPr>
    </w:p>
    <w:tbl>
      <w:tblPr>
        <w:tblStyle w:val="25"/>
        <w:tblW w:w="136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1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44" w:hRule="atLeast"/>
        </w:trPr>
        <w:tc>
          <w:tcPr>
            <w:tcW w:w="707" w:type="dxa"/>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12945" w:type="dxa"/>
            <w:vAlign w:val="top"/>
          </w:tcPr>
          <w:p>
            <w:pPr>
              <w:keepNext w:val="0"/>
              <w:keepLines w:val="0"/>
              <w:pageBreakBefore w:val="0"/>
              <w:widowControl w:val="0"/>
              <w:kinsoku/>
              <w:wordWrap/>
              <w:overflowPunct/>
              <w:topLinePunct w:val="0"/>
              <w:autoSpaceDE/>
              <w:autoSpaceDN/>
              <w:bidi w:val="0"/>
              <w:adjustRightInd/>
              <w:snapToGrid/>
              <w:spacing w:before="313" w:beforeLines="10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w:t>
            </w:r>
            <w:r>
              <w:rPr>
                <w:rFonts w:hint="eastAsia" w:ascii="Times New Roman" w:hAnsi="Times New Roman" w:eastAsia="宋体" w:cs="Times New Roman"/>
                <w:b/>
                <w:bCs/>
                <w:color w:val="auto"/>
                <w:sz w:val="21"/>
                <w:szCs w:val="21"/>
                <w:highlight w:val="none"/>
                <w:lang w:val="en-US" w:eastAsia="zh-CN"/>
              </w:rPr>
              <w:t>1-</w:t>
            </w:r>
            <w:r>
              <w:rPr>
                <w:rFonts w:hint="eastAsia" w:cs="Times New Roman"/>
                <w:b/>
                <w:bCs/>
                <w:color w:val="auto"/>
                <w:sz w:val="21"/>
                <w:szCs w:val="21"/>
                <w:highlight w:val="none"/>
                <w:lang w:val="en-US" w:eastAsia="zh-CN"/>
              </w:rPr>
              <w:t>2</w:t>
            </w:r>
            <w:r>
              <w:rPr>
                <w:rFonts w:hint="eastAsia" w:ascii="Times New Roman" w:hAnsi="Times New Roman" w:eastAsia="宋体" w:cs="Times New Roman"/>
                <w:b/>
                <w:bCs/>
                <w:color w:val="auto"/>
                <w:sz w:val="21"/>
                <w:szCs w:val="21"/>
                <w:highlight w:val="none"/>
                <w:lang w:val="en-US" w:eastAsia="zh-CN"/>
              </w:rPr>
              <w:t xml:space="preserve"> 与福州市陆域总体准入要求的符合性分析</w:t>
            </w:r>
          </w:p>
          <w:tbl>
            <w:tblPr>
              <w:tblStyle w:val="24"/>
              <w:tblW w:w="12814" w:type="dxa"/>
              <w:tblInd w:w="-108"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558"/>
              <w:gridCol w:w="524"/>
              <w:gridCol w:w="57"/>
              <w:gridCol w:w="896"/>
              <w:gridCol w:w="687"/>
              <w:gridCol w:w="749"/>
              <w:gridCol w:w="4874"/>
              <w:gridCol w:w="1"/>
              <w:gridCol w:w="1725"/>
              <w:gridCol w:w="3"/>
              <w:gridCol w:w="1894"/>
              <w:gridCol w:w="1"/>
              <w:gridCol w:w="267"/>
              <w:gridCol w:w="3"/>
              <w:gridCol w:w="553"/>
              <w:gridCol w:w="1"/>
              <w:gridCol w:w="6"/>
              <w:gridCol w:w="3"/>
              <w:gridCol w:w="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1"/>
                <w:wAfter w:w="12" w:type="dxa"/>
                <w:trHeight w:val="397" w:hRule="atLeast"/>
              </w:trPr>
              <w:tc>
                <w:tcPr>
                  <w:tcW w:w="558" w:type="dxa"/>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适用范围</w:t>
                  </w:r>
                </w:p>
              </w:tc>
              <w:tc>
                <w:tcPr>
                  <w:tcW w:w="9516" w:type="dxa"/>
                  <w:gridSpan w:val="9"/>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准入要求</w:t>
                  </w:r>
                </w:p>
              </w:tc>
              <w:tc>
                <w:tcPr>
                  <w:tcW w:w="2165"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397" w:hRule="atLeast"/>
              </w:trPr>
              <w:tc>
                <w:tcPr>
                  <w:tcW w:w="558" w:type="dxa"/>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福州市</w:t>
                  </w:r>
                  <w:r>
                    <w:rPr>
                      <w:rFonts w:hint="default" w:ascii="Times New Roman" w:hAnsi="Times New Roman" w:eastAsia="宋体" w:cs="Times New Roman"/>
                      <w:color w:val="auto"/>
                      <w:sz w:val="21"/>
                      <w:szCs w:val="21"/>
                    </w:rPr>
                    <w:t>陆域</w:t>
                  </w:r>
                </w:p>
              </w:tc>
              <w:tc>
                <w:tcPr>
                  <w:tcW w:w="581" w:type="dxa"/>
                  <w:gridSpan w:val="2"/>
                  <w:vMerge w:val="restart"/>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8932" w:type="dxa"/>
                  <w:gridSpan w:val="6"/>
                  <w:vAlign w:val="center"/>
                </w:tcPr>
                <w:p>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right="0" w:rightChars="0" w:firstLine="0" w:firstLineChars="0"/>
                    <w:jc w:val="both"/>
                    <w:textAlignment w:val="auto"/>
                    <w:outlineLvl w:val="9"/>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优先保护单元中的生态保护红线</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根据《关于在国土空间规划中统筹划定落实三条控制线的指导意见》《自然资源部生态环境部国家林业和草原局关于加强生态保护红线管理的通知（试行）》，加强生态保护红线管理，严守自然生态安全边界。生态保护红线内，自然保护地核心保护区原则上禁止人为活动，其它区域禁止开发性、生产性建设活动，在符合法律法规的前提下，仅允许以下对生态功能不造成破坏的有限人为活动。生态保护红线内自然保护区、风景名胜区、饮用水水源保护区等区域，依照法律法规执行。</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管护巡护、保护执法、科学研究、调查监测、测绘导航、防灾减灾救灾、军事国防、疫情防控等活动及相关的必要设施修筑。</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原住居民和其他合法权益主体，允许在不扩大现有建设用地、用海用岛、耕地、水产养殖规模和放牧强度（符合草畜平衡管理规定）的前提下，开展种植、放牧、捕捞、养殖（不包括投礁型海洋牧场、围海养殖）等活动，修筑生产生活设施。</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经依法批准的考古调查发掘、古生物化石调查发掘、标本采集和文物保护活动。</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按规定对人工商品林进行抚育采伐，或以提升森林质量、优化栖息地、建设生物防火隔离带等为目的的树种更新，依法开展的竹林采伐经营。</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不破坏生态功能的适度参观旅游、科普宣教及符合相关规划的配套性服务设施和相关的必要公共设施建设及维护。</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必须且无法避让、符合县级以上国土空间规划的线性基础设施、通讯和防洪、供水设施建设和船舶航行、航道疏浚清淤等活动；已有的合法水利、交通运输等设施运行维护改造。</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或海域范围依照国家相关规定调出生态保护红线；已依法设立的油气采矿权不扩大用地用海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pPr>
                    <w:keepNext w:val="0"/>
                    <w:keepLines w:val="0"/>
                    <w:pageBreakBefore w:val="0"/>
                    <w:widowControl/>
                    <w:numPr>
                      <w:ilvl w:val="0"/>
                      <w:numId w:val="4"/>
                    </w:numPr>
                    <w:kinsoku/>
                    <w:wordWrap/>
                    <w:overflowPunct/>
                    <w:topLinePunct w:val="0"/>
                    <w:autoSpaceDE/>
                    <w:autoSpaceDN/>
                    <w:bidi w:val="0"/>
                    <w:adjustRightInd/>
                    <w:snapToGrid w:val="0"/>
                    <w:spacing w:before="0" w:after="0" w:line="240" w:lineRule="auto"/>
                    <w:ind w:left="0" w:leftChars="0" w:right="0" w:rightChars="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依据县级以上国土空间规划和生态保护修复专项规划开展的生态修复。</w:t>
                  </w:r>
                </w:p>
                <w:p>
                  <w:pPr>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0" w:right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（9）法律法规规定允许的其他人为活动。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2.依据《福建省自然资源厅福建省生态环境厅福建省林业局关于进一步加强生态保护红线监管的通知（试行）》（闽自然资发〔2023〕56号），允许占用生态保护红线的重大项目范围：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（1）党中央、国务院发布文件或批准规划中明确具体名称的项目和国务院批准的项目。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（2）中央军委及其有关部门批准的军事国防项目。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（3）国家级规划（指国务院及其有关部门正式颁布）明确的交通、水利项目。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（4）国家级规划明确的电网项目，国家级规划明确的且符合国家产业政策的能源矿产勘查开采、油气管线、水电、核电项目。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（5）为贯彻落实党中央、国务院重大决策部署，国务院投资主管部门或国务院投资主管部门会同有关部门确认的交通、能源、水利等基础设施项目。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（6）按照国家重大项目用地保障工作机制要求，国家发展</w:t>
                  </w:r>
                  <w:r>
                    <w:rPr>
                      <w:rFonts w:hint="eastAsia" w:cs="Times New Roman"/>
                      <w:color w:val="auto"/>
                      <w:kern w:val="0"/>
                      <w:sz w:val="21"/>
                      <w:szCs w:val="21"/>
                      <w:lang w:val="en-US" w:eastAsia="zh-CN" w:bidi="ar-SA"/>
                    </w:rPr>
                    <w:t>和改革委员会</w:t>
                  </w:r>
                  <w:r>
                    <w:rPr>
                      <w:rFonts w:hint="eastAsia" w:ascii="Times New Roman" w:hAnsi="Times New Roman" w:eastAsia="宋体" w:cs="Times New Roman"/>
                      <w:color w:val="auto"/>
                      <w:kern w:val="0"/>
                      <w:sz w:val="21"/>
                      <w:szCs w:val="21"/>
                      <w:lang w:val="en-US" w:eastAsia="zh-CN" w:bidi="ar-SA"/>
                    </w:rPr>
                    <w:t>同有关部门确认的需中央加大建设用地保障力度，确实难以避让的国家重大项目。</w:t>
                  </w:r>
                </w:p>
              </w:tc>
              <w:tc>
                <w:tcPr>
                  <w:tcW w:w="2165" w:type="dxa"/>
                  <w:gridSpan w:val="4"/>
                  <w:vAlign w:val="center"/>
                </w:tcPr>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本项目位于福建省福州市福清市海口镇南厝村，不涉及生态保护红线。</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397" w:hRule="atLeast"/>
              </w:trPr>
              <w:tc>
                <w:tcPr>
                  <w:tcW w:w="55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81" w:type="dxa"/>
                  <w:gridSpan w:val="2"/>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932" w:type="dxa"/>
                  <w:gridSpan w:val="6"/>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二、优先保护单元中的一般生态空间</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1.一般生态空间以保护和修复生态环境、提供生态产品和服务为首要任务，因地制宜地发展不影响主体功能定位的适宜产业。</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2.一般生态空间内未纳入生态保护红线的饮用水水源保护区等各类法定保护地，其管控要求依照相关法律法规执行。</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both"/>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3.一般生态空间内现有合法的水泥厂、矿山开发等生产性设施及生活垃圾处置等民生工程予以保留，应按照法律法规要求落实污染防治和生态保护措施，避免对生态功能造成破坏。</w:t>
                  </w:r>
                </w:p>
              </w:tc>
              <w:tc>
                <w:tcPr>
                  <w:tcW w:w="2165"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本项目位于</w:t>
                  </w:r>
                  <w:r>
                    <w:rPr>
                      <w:rFonts w:hint="eastAsia" w:ascii="Times New Roman" w:hAnsi="Times New Roman" w:eastAsia="宋体" w:cs="Times New Roman"/>
                      <w:color w:val="auto"/>
                      <w:kern w:val="0"/>
                      <w:sz w:val="21"/>
                      <w:szCs w:val="21"/>
                      <w:lang w:val="en-US" w:eastAsia="zh-CN" w:bidi="ar-SA"/>
                    </w:rPr>
                    <w:t>福清市海口镇南厝村</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kern w:val="0"/>
                      <w:sz w:val="21"/>
                      <w:szCs w:val="21"/>
                      <w:lang w:val="en-US" w:eastAsia="zh-CN" w:bidi="ar-SA"/>
                    </w:rPr>
                    <w:t>不涉及一般生态空间。</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90" w:hRule="atLeast"/>
              </w:trPr>
              <w:tc>
                <w:tcPr>
                  <w:tcW w:w="55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81" w:type="dxa"/>
                  <w:gridSpan w:val="2"/>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8932" w:type="dxa"/>
                  <w:gridSpan w:val="6"/>
                  <w:vAlign w:val="center"/>
                </w:tcPr>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bCs/>
                      <w:color w:val="auto"/>
                      <w:kern w:val="0"/>
                      <w:sz w:val="21"/>
                      <w:szCs w:val="21"/>
                      <w:lang w:val="en-US" w:eastAsia="zh-CN" w:bidi="ar-SA"/>
                    </w:rPr>
                  </w:pPr>
                  <w:r>
                    <w:rPr>
                      <w:rFonts w:hint="eastAsia" w:ascii="Times New Roman" w:hAnsi="Times New Roman" w:eastAsia="宋体" w:cs="Times New Roman"/>
                      <w:b/>
                      <w:bCs/>
                      <w:color w:val="auto"/>
                      <w:kern w:val="0"/>
                      <w:sz w:val="21"/>
                      <w:szCs w:val="21"/>
                      <w:lang w:val="en-US" w:eastAsia="zh-CN" w:bidi="ar-SA"/>
                    </w:rPr>
                    <w:t>三、其他要求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1.福州市石化中上游项目重点在福州江阴港城经济区、可门港经济区化工新材料产业园布局。</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2.禁止在闽江马尾罗星塔以上流域范围新、扩建制革项目，严控新（扩）建植物制浆、印染、合成革及人造革、电镀项目。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3.禁止在通风廊道和主导风向的上风向布局大气重污染企业，推进建成区大气重污染企业搬迁或升级改造、环境风险企业搬迁或关闭退出。</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4.禁止新、改、扩建生产高VOCs含量有机溶剂型涂料、油墨和胶黏剂的项目。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5.持续加强闽清等地建陶产业的环境综合治理，充分衔接国土空间规划和生态环境分区管控，并对照产业政策、城市总体发展规划等要求，进一步明确发展定位，优化产业布局和规模。</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6.新建、扩建的涉及重点重金属污染物</w:t>
                  </w:r>
                  <w:r>
                    <w:rPr>
                      <w:rFonts w:hint="eastAsia" w:ascii="Times New Roman" w:hAnsi="Times New Roman" w:eastAsia="宋体" w:cs="Times New Roman"/>
                      <w:b w:val="0"/>
                      <w:bCs w:val="0"/>
                      <w:color w:val="auto"/>
                      <w:kern w:val="0"/>
                      <w:sz w:val="21"/>
                      <w:szCs w:val="21"/>
                      <w:vertAlign w:val="superscript"/>
                      <w:lang w:val="en-US" w:eastAsia="zh-CN" w:bidi="ar-SA"/>
                    </w:rPr>
                    <w:t>[1]</w:t>
                  </w:r>
                  <w:r>
                    <w:rPr>
                      <w:rFonts w:hint="eastAsia" w:ascii="Times New Roman" w:hAnsi="Times New Roman" w:eastAsia="宋体" w:cs="Times New Roman"/>
                      <w:b w:val="0"/>
                      <w:bCs w:val="0"/>
                      <w:color w:val="auto"/>
                      <w:kern w:val="0"/>
                      <w:sz w:val="21"/>
                      <w:szCs w:val="21"/>
                      <w:lang w:val="en-US" w:eastAsia="zh-CN" w:bidi="ar-SA"/>
                    </w:rPr>
                    <w:t>的有色金属冶炼、电镀、制革、铅蓄电池制造企业应优先选择布设在依法合规设立并经规划环评、环境基础设施和环境风险防范措施齐全的产业园区。禁止低端落后产能向闽江中上游地区转移。禁止新建用汞的电石法（聚）氯乙烯生产工艺。加快推进专业电镀企业入园，到2025年底专业电镀企业入园率达到90%以上。</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7.禁止在流域上游新建、扩建重污染企业和项目。</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8.重要敏感水体及富营养化湖库生态缓冲带除相关政府部门批准的科学研究活动外，禁止其它可能对保护区构成危害或不良影响的大规模生产、建设活动。</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9.新、改、扩建煤电、钢铁、建材、石化、化工等“两高”项目，严格落实国家、省、市产业规划、产业政策、“三线一单”、规划环评，以及产能置换、煤炭消费减量替代、区域污染削减等相关要求。</w:t>
                  </w:r>
                </w:p>
                <w:p>
                  <w:pPr>
                    <w:keepNext w:val="0"/>
                    <w:keepLines w:val="0"/>
                    <w:pageBreakBefore w:val="0"/>
                    <w:widowControl/>
                    <w:kinsoku/>
                    <w:wordWrap/>
                    <w:overflowPunct/>
                    <w:topLinePunct w:val="0"/>
                    <w:autoSpaceDE/>
                    <w:autoSpaceDN/>
                    <w:bidi w:val="0"/>
                    <w:adjustRightInd/>
                    <w:snapToGrid w:val="0"/>
                    <w:spacing w:before="0" w:after="0" w:line="240" w:lineRule="auto"/>
                    <w:ind w:right="0"/>
                    <w:jc w:val="left"/>
                    <w:textAlignment w:val="auto"/>
                    <w:rPr>
                      <w:rFonts w:hint="eastAsia" w:ascii="Times New Roman" w:hAnsi="Times New Roman" w:eastAsia="宋体" w:cs="Times New Roman"/>
                      <w:b w:val="0"/>
                      <w:bCs w:val="0"/>
                      <w:color w:val="auto"/>
                      <w:kern w:val="0"/>
                      <w:sz w:val="21"/>
                      <w:szCs w:val="21"/>
                      <w:lang w:val="en-US" w:eastAsia="zh-CN" w:bidi="ar-SA"/>
                    </w:rPr>
                  </w:pPr>
                  <w:r>
                    <w:rPr>
                      <w:rFonts w:hint="eastAsia" w:ascii="Times New Roman" w:hAnsi="Times New Roman" w:eastAsia="宋体" w:cs="Times New Roman"/>
                      <w:b w:val="0"/>
                      <w:bCs w:val="0"/>
                      <w:color w:val="auto"/>
                      <w:kern w:val="0"/>
                      <w:sz w:val="21"/>
                      <w:szCs w:val="21"/>
                      <w:lang w:val="en-US" w:eastAsia="zh-CN" w:bidi="ar-SA"/>
                    </w:rPr>
                    <w:t>10.单元内涉及永久基本农田的，应按照《福建省基本农田保护条例》（2010年修正本）、《国土资源部关于全面实行永久基本农田特殊保护的通知》（国土资规〔2018〕1号）、《中共中央国务院关于加强耕地保护和改进占补平衡的意见》（2017年1月9日）等相关文件要求进行严格管理，一般建设项目不得占用永久基本农田，重大建设项目选址确实难以避让永久基本农田的，必须依法依规办理。严禁通过擅自调整县乡国土空间规划，规避占用永久基本农田的审批。禁止随意砍伐防风固沙林和农田保护林。严格按照自然资源部、农业农村部、国家林业和草原局《关于严格耕地用途管制有关问题的通知》（自然资发〔2021〕166号）要求全面落实耕地用途管制。</w:t>
                  </w:r>
                </w:p>
              </w:tc>
              <w:tc>
                <w:tcPr>
                  <w:tcW w:w="2165"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1.项目不属于石化项目；</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left"/>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2.项目不属于制革项目，也不属于植物制浆、印染、合成革及人造革、电镀项目；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3.项目废气经处理后可达标排放，不属于大气重污染企业；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4.项目不属于生产高VOCs含量有机溶剂型涂料、油墨和胶黏剂的项目；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5.项目不属于建陶行业；</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6.项目不涉及重点重金属污染物排放</w:t>
                  </w:r>
                  <w:r>
                    <w:rPr>
                      <w:rFonts w:hint="eastAsia" w:ascii="Times New Roman" w:hAnsi="Times New Roman" w:cs="Times New Roman"/>
                      <w:color w:val="auto"/>
                      <w:kern w:val="0"/>
                      <w:sz w:val="21"/>
                      <w:szCs w:val="21"/>
                      <w:lang w:val="en-US" w:eastAsia="zh-CN" w:bidi="ar-SA"/>
                    </w:rPr>
                    <w:t>项目</w:t>
                  </w:r>
                  <w:r>
                    <w:rPr>
                      <w:rFonts w:hint="eastAsia" w:ascii="Times New Roman" w:hAnsi="Times New Roman" w:eastAsia="宋体" w:cs="Times New Roman"/>
                      <w:color w:val="auto"/>
                      <w:kern w:val="0"/>
                      <w:sz w:val="21"/>
                      <w:szCs w:val="21"/>
                      <w:lang w:val="en-US" w:eastAsia="zh-CN" w:bidi="ar-SA"/>
                    </w:rPr>
                    <w:t>，不属于低端落后产能项目，不涉及使用汞的电石法（聚）氯乙烯生产工艺，不属于电镀企业；</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7.项目不属于重污染项目；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8.项目不位于重要敏感水体及富营养化湖库生态缓冲带；</w:t>
                  </w:r>
                </w:p>
                <w:p>
                  <w:pPr>
                    <w:keepNext w:val="0"/>
                    <w:keepLines w:val="0"/>
                    <w:pageBreakBefore w:val="0"/>
                    <w:widowControl/>
                    <w:kinsoku/>
                    <w:wordWrap/>
                    <w:overflowPunct/>
                    <w:topLinePunct w:val="0"/>
                    <w:autoSpaceDE/>
                    <w:autoSpaceDN/>
                    <w:bidi w:val="0"/>
                    <w:snapToGrid w:val="0"/>
                    <w:spacing w:before="0" w:after="0" w:line="240" w:lineRule="auto"/>
                    <w:ind w:left="0" w:leftChars="0"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9.项目不属于煤电、钢铁、建材、石化、化工等“两高”项目；</w:t>
                  </w:r>
                </w:p>
                <w:p>
                  <w:pPr>
                    <w:keepNext w:val="0"/>
                    <w:keepLines w:val="0"/>
                    <w:pageBreakBefore w:val="0"/>
                    <w:kinsoku/>
                    <w:wordWrap/>
                    <w:overflowPunct/>
                    <w:topLinePunct w:val="0"/>
                    <w:autoSpaceDE/>
                    <w:autoSpaceDN/>
                    <w:bidi w:val="0"/>
                    <w:spacing w:line="240" w:lineRule="auto"/>
                    <w:ind w:left="0" w:leftChars="0" w:right="0" w:firstLine="0" w:firstLine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0"/>
                      <w:sz w:val="21"/>
                      <w:szCs w:val="21"/>
                      <w:lang w:val="en-US" w:eastAsia="zh-CN" w:bidi="ar-SA"/>
                    </w:rPr>
                    <w:t>10.项目用地不涉及永久基本农田、防风固沙林、农田保护林。</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397" w:hRule="atLeast"/>
              </w:trPr>
              <w:tc>
                <w:tcPr>
                  <w:tcW w:w="55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污染物排放管控</w:t>
                  </w:r>
                </w:p>
              </w:tc>
              <w:tc>
                <w:tcPr>
                  <w:tcW w:w="8932" w:type="dxa"/>
                  <w:gridSpan w:val="6"/>
                  <w:vAlign w:val="center"/>
                </w:tcPr>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工业类新（改、扩）建项目新增主要污染物（水污染物化学需氧量、氨氮和大气污染物二氧化硫、氮氧化物）排放总量指标应符合区域环境质量和总量控制要求，立足于通过“以新带老”、削减存量，努力实现区域、企业自身总量平衡。总量指标来源、审核和监督管理按照“榕环保综〔2017〕90号”等相关文件执行。</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2.新、改、扩建涉VOCs排放项目，应从源头加强控制，使用低（无）VOCs含量的原辅材料，实施新建项目VOCs排放区域内1.2及以上倍量替代。</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3.严格控制新建、改建、扩建钢铁、水泥、平板玻璃、有色金属冶炼、化工等工业项目。新</w:t>
                  </w:r>
                  <w:r>
                    <w:rPr>
                      <w:rFonts w:hint="default" w:ascii="Times New Roman" w:hAnsi="Times New Roman" w:eastAsia="宋体" w:cs="Times New Roman"/>
                      <w:color w:val="auto"/>
                      <w:sz w:val="21"/>
                      <w:szCs w:val="21"/>
                    </w:rPr>
                    <w:t>改扩建钢铁、火电项目应执行超低排放限值，有色项目应当执行大气污染物特别排放限值。重点控制区新建化工、石化应当执行大气污染物特别排放限值。</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4.氟化工、印染、电镀等行业企业实行水污染物特别排放限值。</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5.新、改、扩建重点行业</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建设项目要遵循重点重金属污染物排放“等量替代”原则，总量来源原则上应是同一重点行业内的削减量，当同一重点行业无法满足时可从其他重点行业调剂。</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6.每小时35（含）—65蒸吨燃煤锅炉和位于县级及以上城市建成区内保留的燃煤、燃油、燃生物质锅炉，原则上2024年底前必须全面实现超低排放。</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7.水泥行业新改扩建项目严格对照超低排放、能效标杆水平建设实施；现有项目超低排放改造应按文件（闽环规〔2023〕2号）的时限要求分步推进，2025年底前全面完成</w:t>
                  </w:r>
                  <w:r>
                    <w:rPr>
                      <w:rFonts w:hint="default" w:ascii="Times New Roman" w:hAnsi="Times New Roman" w:eastAsia="宋体" w:cs="Times New Roman"/>
                      <w:color w:val="auto"/>
                      <w:sz w:val="21"/>
                      <w:szCs w:val="21"/>
                      <w:vertAlign w:val="superscript"/>
                    </w:rPr>
                    <w:t>［3］［4］</w:t>
                  </w:r>
                  <w:r>
                    <w:rPr>
                      <w:rFonts w:hint="default" w:ascii="Times New Roman" w:hAnsi="Times New Roman" w:eastAsia="宋体" w:cs="Times New Roman"/>
                      <w:color w:val="auto"/>
                      <w:sz w:val="21"/>
                      <w:szCs w:val="21"/>
                    </w:rPr>
                    <w:t>。</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化工园区新建项目实施“禁限控”化学物质管控措施，项目在开展环境影响评价时应严格落实相关要求，严格涉新污染物建设项目源头防控和准入管理。以印染、皮革、农药、医药、涂料等行业为重点，推进有毒有害化学物质替代。严格落实废药品、废农药以及抗生素生产过程中产生的废母液、废反应基和废培养基等废物的收集利用处置要求。</w:t>
                  </w:r>
                </w:p>
              </w:tc>
              <w:tc>
                <w:tcPr>
                  <w:tcW w:w="2165"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cs="Times New Roman"/>
                      <w:color w:val="auto"/>
                      <w:sz w:val="21"/>
                      <w:szCs w:val="21"/>
                      <w:lang w:val="en-US" w:eastAsia="zh-CN"/>
                    </w:rPr>
                    <w:t>水和大气不涉及新增排放总量指标。</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2.项目不涉及VOCs排放；</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w:t>
                  </w:r>
                  <w:r>
                    <w:rPr>
                      <w:rFonts w:hint="eastAsia" w:ascii="Times New Roman" w:hAnsi="Times New Roman" w:eastAsia="宋体" w:cs="Times New Roman"/>
                      <w:color w:val="auto"/>
                      <w:sz w:val="21"/>
                      <w:szCs w:val="21"/>
                      <w:lang w:val="en-US" w:eastAsia="zh-CN"/>
                    </w:rPr>
                    <w:t>不属于</w:t>
                  </w:r>
                  <w:r>
                    <w:rPr>
                      <w:rFonts w:hint="eastAsia" w:ascii="Times New Roman" w:hAnsi="Times New Roman" w:cs="Times New Roman"/>
                      <w:color w:val="auto"/>
                      <w:sz w:val="21"/>
                      <w:szCs w:val="21"/>
                      <w:lang w:val="en-US" w:eastAsia="zh-CN"/>
                    </w:rPr>
                    <w:t>严格控制的</w:t>
                  </w:r>
                  <w:r>
                    <w:rPr>
                      <w:rFonts w:hint="eastAsia" w:ascii="Times New Roman" w:hAnsi="Times New Roman" w:eastAsia="宋体" w:cs="Times New Roman"/>
                      <w:color w:val="auto"/>
                      <w:sz w:val="21"/>
                      <w:szCs w:val="21"/>
                      <w:lang w:val="en-US" w:eastAsia="zh-CN"/>
                    </w:rPr>
                    <w:t>钢铁、水泥、平板玻璃、有色金属冶炼、化工等工业项目；</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4.项目不属于氟化工、印染、电镀等行业企业；</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5.项目不属于重点行业，不涉及重点重金属污染物排放；</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6.项目不涉及燃煤、燃油、燃生物质锅炉</w:t>
                  </w:r>
                  <w:r>
                    <w:rPr>
                      <w:rFonts w:hint="eastAsia" w:cs="Times New Roman"/>
                      <w:color w:val="auto"/>
                      <w:kern w:val="0"/>
                      <w:sz w:val="21"/>
                      <w:szCs w:val="21"/>
                      <w:lang w:val="en-US" w:eastAsia="zh-CN" w:bidi="ar-SA"/>
                    </w:rPr>
                    <w:t>的</w:t>
                  </w:r>
                  <w:r>
                    <w:rPr>
                      <w:rFonts w:hint="eastAsia" w:ascii="Times New Roman" w:hAnsi="Times New Roman" w:eastAsia="宋体" w:cs="Times New Roman"/>
                      <w:color w:val="auto"/>
                      <w:kern w:val="0"/>
                      <w:sz w:val="21"/>
                      <w:szCs w:val="21"/>
                      <w:lang w:val="en-US" w:eastAsia="zh-CN" w:bidi="ar-SA"/>
                    </w:rPr>
                    <w:t>使用；</w:t>
                  </w:r>
                </w:p>
                <w:p>
                  <w:pPr>
                    <w:keepNext w:val="0"/>
                    <w:keepLines w:val="0"/>
                    <w:pageBreakBefore w:val="0"/>
                    <w:kinsoku/>
                    <w:wordWrap/>
                    <w:overflowPunct/>
                    <w:topLinePunct w:val="0"/>
                    <w:autoSpaceDE/>
                    <w:autoSpaceDN/>
                    <w:bidi w:val="0"/>
                    <w:spacing w:line="240" w:lineRule="auto"/>
                    <w:ind w:right="0" w:firstLine="0" w:firstLine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7.项目主要从事混凝</w:t>
                  </w:r>
                  <w:r>
                    <w:rPr>
                      <w:rFonts w:hint="eastAsia" w:cs="Times New Roman"/>
                      <w:color w:val="auto"/>
                      <w:sz w:val="21"/>
                      <w:szCs w:val="21"/>
                      <w:lang w:val="en-US" w:eastAsia="zh-CN"/>
                    </w:rPr>
                    <w:t>预制件和商品搅拌混凝土</w:t>
                  </w:r>
                  <w:r>
                    <w:rPr>
                      <w:rFonts w:hint="eastAsia" w:ascii="Times New Roman" w:hAnsi="Times New Roman" w:eastAsia="宋体" w:cs="Times New Roman"/>
                      <w:color w:val="auto"/>
                      <w:sz w:val="21"/>
                      <w:szCs w:val="21"/>
                      <w:lang w:val="en-US" w:eastAsia="zh-CN"/>
                    </w:rPr>
                    <w:t>生产，所用水泥为外购，</w:t>
                  </w:r>
                  <w:r>
                    <w:rPr>
                      <w:rFonts w:hint="eastAsia" w:ascii="Times New Roman" w:hAnsi="Times New Roman" w:cs="Times New Roman"/>
                      <w:color w:val="auto"/>
                      <w:sz w:val="21"/>
                      <w:szCs w:val="21"/>
                      <w:lang w:val="en-US" w:eastAsia="zh-CN"/>
                    </w:rPr>
                    <w:t>不涉及水泥生产，不需执行超低排放要求的水泥行业</w:t>
                  </w:r>
                  <w:r>
                    <w:rPr>
                      <w:rFonts w:hint="eastAsia" w:ascii="Times New Roman" w:hAnsi="Times New Roman" w:eastAsia="宋体" w:cs="Times New Roman"/>
                      <w:color w:val="auto"/>
                      <w:sz w:val="21"/>
                      <w:szCs w:val="21"/>
                      <w:lang w:val="en-US" w:eastAsia="zh-CN"/>
                    </w:rPr>
                    <w:t>；</w:t>
                  </w:r>
                </w:p>
                <w:p>
                  <w:pPr>
                    <w:keepNext w:val="0"/>
                    <w:keepLines w:val="0"/>
                    <w:pageBreakBefore w:val="0"/>
                    <w:widowControl/>
                    <w:kinsoku/>
                    <w:wordWrap/>
                    <w:overflowPunct/>
                    <w:topLinePunct w:val="0"/>
                    <w:autoSpaceDE/>
                    <w:autoSpaceDN/>
                    <w:bidi w:val="0"/>
                    <w:snapToGrid w:val="0"/>
                    <w:spacing w:before="0" w:after="0" w:line="240" w:lineRule="auto"/>
                    <w:ind w:right="0"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8.项目不属于化工项目，选址不位于化工园区，不属于印染、皮革、农药、医药、涂料等行业。</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949" w:hRule="atLeast"/>
              </w:trPr>
              <w:tc>
                <w:tcPr>
                  <w:tcW w:w="55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环境风险防控</w:t>
                  </w:r>
                </w:p>
              </w:tc>
              <w:tc>
                <w:tcPr>
                  <w:tcW w:w="8932" w:type="dxa"/>
                  <w:gridSpan w:val="6"/>
                  <w:vAlign w:val="center"/>
                </w:tcPr>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center"/>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无</w:t>
                  </w:r>
                </w:p>
              </w:tc>
              <w:tc>
                <w:tcPr>
                  <w:tcW w:w="2165" w:type="dxa"/>
                  <w:gridSpan w:val="4"/>
                  <w:vAlign w:val="center"/>
                </w:tcPr>
                <w:p>
                  <w:pPr>
                    <w:keepNext w:val="0"/>
                    <w:keepLines w:val="0"/>
                    <w:pageBreakBefore w:val="0"/>
                    <w:widowControl/>
                    <w:kinsoku/>
                    <w:wordWrap/>
                    <w:overflowPunct/>
                    <w:topLinePunct w:val="0"/>
                    <w:autoSpaceDE/>
                    <w:autoSpaceDN/>
                    <w:bidi w:val="0"/>
                    <w:snapToGrid w:val="0"/>
                    <w:spacing w:before="0" w:after="0" w:line="240" w:lineRule="auto"/>
                    <w:ind w:right="0"/>
                    <w:jc w:val="center"/>
                    <w:textAlignment w:val="auto"/>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gridAfter w:val="2"/>
                <w:wAfter w:w="15" w:type="dxa"/>
                <w:trHeight w:val="397" w:hRule="atLeast"/>
              </w:trPr>
              <w:tc>
                <w:tcPr>
                  <w:tcW w:w="558" w:type="dxa"/>
                  <w:vMerge w:val="continue"/>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center"/>
                    <w:textAlignment w:val="auto"/>
                    <w:outlineLvl w:val="9"/>
                    <w:rPr>
                      <w:rFonts w:hint="default" w:ascii="Times New Roman" w:hAnsi="Times New Roman" w:eastAsia="宋体" w:cs="Times New Roman"/>
                      <w:color w:val="auto"/>
                      <w:sz w:val="21"/>
                      <w:szCs w:val="21"/>
                    </w:rPr>
                  </w:pPr>
                </w:p>
              </w:tc>
              <w:tc>
                <w:tcPr>
                  <w:tcW w:w="581"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资源开发效率要求</w:t>
                  </w:r>
                </w:p>
              </w:tc>
              <w:tc>
                <w:tcPr>
                  <w:tcW w:w="8932" w:type="dxa"/>
                  <w:gridSpan w:val="6"/>
                  <w:vAlign w:val="center"/>
                </w:tcPr>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到2024年底，全市范围内每小时10蒸吨及以下燃煤锅炉全面淘汰；到2025年底，全市范围内每小时35蒸吨以下燃煤锅炉通过集中供热、清洁能源替代、深度治理等方式全面实现转型、升级、退出，县级及以上城市建成区在用锅炉（燃煤、燃油、燃生物质）全面改用电能等清洁能源或治理达到超低排放水平；禁止新建每小时35蒸吨以下燃煤锅炉，以及每小时10蒸吨及以下燃生物质和其他使用高污染燃料的锅炉。集中供热管网覆盖范围内禁止新建、扩建分散燃煤、燃油等供热锅炉。</w:t>
                  </w:r>
                </w:p>
                <w:p>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Chars="0" w:right="0" w:rightChars="0"/>
                    <w:jc w:val="left"/>
                    <w:textAlignment w:val="auto"/>
                    <w:outlineLvl w:val="9"/>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2.按照“提气、转电、控煤”的发展思路，推动陶瓷行业进一步优化用能结构，实现能源消费清洁低碳化</w:t>
                  </w:r>
                </w:p>
              </w:tc>
              <w:tc>
                <w:tcPr>
                  <w:tcW w:w="2165"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1.项目</w:t>
                  </w:r>
                  <w:r>
                    <w:rPr>
                      <w:rFonts w:hint="eastAsia" w:ascii="Times New Roman" w:hAnsi="Times New Roman" w:cs="Times New Roman"/>
                      <w:color w:val="auto"/>
                      <w:sz w:val="21"/>
                      <w:szCs w:val="21"/>
                      <w:lang w:val="en-US" w:eastAsia="zh-CN"/>
                    </w:rPr>
                    <w:t>不位于集中供热管网覆盖区域，</w:t>
                  </w:r>
                  <w:r>
                    <w:rPr>
                      <w:rFonts w:hint="eastAsia" w:ascii="Times New Roman" w:hAnsi="Times New Roman" w:eastAsia="宋体" w:cs="Times New Roman"/>
                      <w:color w:val="auto"/>
                      <w:sz w:val="21"/>
                      <w:szCs w:val="21"/>
                      <w:lang w:val="en-US" w:eastAsia="zh-CN"/>
                    </w:rPr>
                    <w:t>不涉及燃煤、燃油、燃生物质等高污染燃料锅炉的使用；</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2.项目不属于陶瓷行业</w:t>
                  </w:r>
                </w:p>
              </w:tc>
              <w:tc>
                <w:tcPr>
                  <w:tcW w:w="563" w:type="dxa"/>
                  <w:gridSpan w:val="4"/>
                  <w:vAlign w:val="center"/>
                </w:tcPr>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340" w:lineRule="exact"/>
                    <w:ind w:right="0" w:firstLine="0" w:firstLineChars="0"/>
                    <w:jc w:val="center"/>
                    <w:textAlignment w:val="auto"/>
                    <w:outlineLvl w:val="9"/>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Ex>
              <w:trPr>
                <w:trHeight w:val="397" w:hRule="atLeast"/>
              </w:trPr>
              <w:tc>
                <w:tcPr>
                  <w:tcW w:w="12814" w:type="dxa"/>
                  <w:gridSpan w:val="19"/>
                  <w:vAlign w:val="center"/>
                </w:tcPr>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b w:val="0"/>
                      <w:bCs w:val="0"/>
                      <w:color w:val="auto"/>
                      <w:sz w:val="21"/>
                      <w:szCs w:val="21"/>
                    </w:rPr>
                  </w:pPr>
                  <w:r>
                    <w:rPr>
                      <w:rFonts w:hint="eastAsia" w:ascii="Times New Roman" w:hAnsi="Times New Roman" w:eastAsia="宋体" w:cs="Times New Roman"/>
                      <w:b w:val="0"/>
                      <w:bCs w:val="0"/>
                      <w:color w:val="auto"/>
                      <w:sz w:val="21"/>
                      <w:szCs w:val="21"/>
                      <w:lang w:val="en-US" w:eastAsia="zh-CN"/>
                    </w:rPr>
                    <w:t>备注：</w:t>
                  </w:r>
                  <w:r>
                    <w:rPr>
                      <w:rFonts w:hint="default" w:ascii="Times New Roman" w:hAnsi="Times New Roman" w:eastAsia="宋体" w:cs="Times New Roman"/>
                      <w:b w:val="0"/>
                      <w:bCs w:val="0"/>
                      <w:color w:val="auto"/>
                      <w:sz w:val="21"/>
                      <w:szCs w:val="21"/>
                      <w:lang w:val="en-US" w:eastAsia="zh-CN"/>
                    </w:rPr>
                    <w:t xml:space="preserve">［1］重点重金属污染物：包括铅、汞、镉、铬、砷、铊和锑，对其中铅、汞、镉、铬和砷五种重点重金属污染物排放量实施总量控制。 </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2］重点行业：包括涉重有色金属矿采选业（铜、铅锌、镍钴、锡、锑和汞矿采选），涉重有色金属冶炼业（铜、铅锌、镍钴、锡、锑和汞冶炼），铅蓄电池制造业，电镀行业，化学原料及化学制品制造业（电石法（聚）氯乙烯制造、铬盐制造、以工业固体废物为原料的锌无机化合物工业），皮革鞣制加工业等6个行业。 </w:t>
                  </w:r>
                </w:p>
                <w:p>
                  <w:pPr>
                    <w:pStyle w:val="10"/>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630" w:firstLineChars="300"/>
                    <w:jc w:val="left"/>
                    <w:textAlignment w:val="auto"/>
                    <w:outlineLvl w:val="9"/>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lang w:val="en-US" w:eastAsia="zh-CN"/>
                    </w:rPr>
                    <w:t xml:space="preserve">［3］水泥行业超低排放实施范围：包括水泥熟料生产企业和独立水泥粉磨站（含生产特种水泥、协同处置固废的水泥企业）。 </w:t>
                  </w:r>
                </w:p>
                <w:p>
                  <w:pPr>
                    <w:keepNext w:val="0"/>
                    <w:keepLines w:val="0"/>
                    <w:pageBreakBefore w:val="0"/>
                    <w:widowControl w:val="0"/>
                    <w:pBdr>
                      <w:top w:val="none" w:color="auto" w:sz="0" w:space="1"/>
                      <w:left w:val="none" w:color="auto" w:sz="0" w:space="4"/>
                      <w:bottom w:val="none" w:color="auto" w:sz="0" w:space="1"/>
                      <w:right w:val="none" w:color="auto" w:sz="0" w:space="4"/>
                    </w:pBdr>
                    <w:kinsoku/>
                    <w:wordWrap/>
                    <w:overflowPunct/>
                    <w:topLinePunct w:val="0"/>
                    <w:autoSpaceDE/>
                    <w:autoSpaceDN/>
                    <w:bidi w:val="0"/>
                    <w:adjustRightInd w:val="0"/>
                    <w:snapToGrid w:val="0"/>
                    <w:spacing w:line="240" w:lineRule="auto"/>
                    <w:ind w:right="0" w:firstLine="0" w:firstLineChars="0"/>
                    <w:jc w:val="left"/>
                    <w:textAlignment w:val="auto"/>
                    <w:outlineLvl w:val="9"/>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 xml:space="preserve">      </w:t>
                  </w:r>
                  <w:r>
                    <w:rPr>
                      <w:rFonts w:hint="default" w:ascii="Times New Roman" w:hAnsi="Times New Roman" w:eastAsia="宋体" w:cs="Times New Roman"/>
                      <w:b w:val="0"/>
                      <w:bCs w:val="0"/>
                      <w:color w:val="auto"/>
                      <w:sz w:val="21"/>
                      <w:szCs w:val="21"/>
                      <w:lang w:val="en-US" w:eastAsia="zh-CN"/>
                    </w:rPr>
                    <w:t>［4］水泥企业超低排放：是指所有生产环节（破碎、粉磨、配料、熟料煅烧、烘干、协同处置等，以及原料、燃料和产品储存运输）的大气污染物有组织、无组织排放及运输过程达到超低排放要求。</w:t>
                  </w:r>
                </w:p>
                <w:p>
                  <w:pPr>
                    <w:spacing w:before="120" w:beforeLines="50"/>
                    <w:jc w:val="center"/>
                    <w:rPr>
                      <w:rFonts w:hint="eastAsia"/>
                      <w:color w:val="auto"/>
                      <w:lang w:val="en-US" w:eastAsia="zh-CN"/>
                    </w:rPr>
                  </w:pPr>
                  <w:r>
                    <w:rPr>
                      <w:rFonts w:hint="default"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3 </w:t>
                  </w:r>
                  <w:r>
                    <w:rPr>
                      <w:rFonts w:hint="eastAsia" w:ascii="Times New Roman" w:hAnsi="Times New Roman" w:eastAsia="宋体" w:cs="Times New Roman"/>
                      <w:b/>
                      <w:bCs/>
                      <w:color w:val="auto"/>
                      <w:sz w:val="21"/>
                      <w:szCs w:val="21"/>
                      <w:lang w:val="en-US" w:eastAsia="zh-CN"/>
                    </w:rPr>
                    <w:t>与环境管控单元准入要求符合性分析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3"/>
                <w:wAfter w:w="21" w:type="dxa"/>
                <w:trHeight w:val="397" w:hRule="atLeast"/>
              </w:trPr>
              <w:tc>
                <w:tcPr>
                  <w:tcW w:w="1082" w:type="dxa"/>
                  <w:gridSpan w:val="2"/>
                  <w:tcBorders>
                    <w:top w:val="single" w:color="auto" w:sz="12" w:space="0"/>
                    <w:left w:val="nil"/>
                    <w:bottom w:val="single" w:color="auto" w:sz="4" w:space="0"/>
                    <w:right w:val="single" w:color="auto" w:sz="4" w:space="0"/>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w:t>
                  </w:r>
                </w:p>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单元编码</w:t>
                  </w:r>
                </w:p>
              </w:tc>
              <w:tc>
                <w:tcPr>
                  <w:tcW w:w="953" w:type="dxa"/>
                  <w:gridSpan w:val="2"/>
                  <w:tcBorders>
                    <w:top w:val="single" w:color="auto" w:sz="12" w:space="0"/>
                    <w:left w:val="single" w:color="auto" w:sz="4" w:space="0"/>
                    <w:bottom w:val="single" w:color="auto" w:sz="4" w:space="0"/>
                    <w:right w:val="single" w:color="auto" w:sz="4" w:space="0"/>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环境管控单元名称</w:t>
                  </w:r>
                </w:p>
              </w:tc>
              <w:tc>
                <w:tcPr>
                  <w:tcW w:w="687" w:type="dxa"/>
                  <w:tcBorders>
                    <w:top w:val="single" w:color="auto" w:sz="12" w:space="0"/>
                    <w:left w:val="single" w:color="auto" w:sz="4" w:space="0"/>
                    <w:bottom w:val="single" w:color="auto" w:sz="4" w:space="0"/>
                    <w:right w:val="single" w:color="auto" w:sz="4" w:space="0"/>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管控单元分类</w:t>
                  </w:r>
                </w:p>
              </w:tc>
              <w:tc>
                <w:tcPr>
                  <w:tcW w:w="5624" w:type="dxa"/>
                  <w:gridSpan w:val="3"/>
                  <w:tcBorders>
                    <w:top w:val="single" w:color="auto" w:sz="12" w:space="0"/>
                    <w:left w:val="single" w:color="auto" w:sz="4" w:space="0"/>
                    <w:bottom w:val="single" w:color="auto" w:sz="4" w:space="0"/>
                    <w:right w:val="single" w:color="auto" w:sz="4" w:space="0"/>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管控要求</w:t>
                  </w:r>
                </w:p>
              </w:tc>
              <w:tc>
                <w:tcPr>
                  <w:tcW w:w="3623" w:type="dxa"/>
                  <w:gridSpan w:val="4"/>
                  <w:tcBorders>
                    <w:top w:val="single" w:color="auto" w:sz="12" w:space="0"/>
                    <w:left w:val="single" w:color="auto" w:sz="4" w:space="0"/>
                    <w:bottom w:val="single" w:color="auto" w:sz="4" w:space="0"/>
                    <w:right w:val="single" w:color="auto" w:sz="4" w:space="0"/>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本项目</w:t>
                  </w:r>
                </w:p>
              </w:tc>
              <w:tc>
                <w:tcPr>
                  <w:tcW w:w="824" w:type="dxa"/>
                  <w:gridSpan w:val="4"/>
                  <w:tcBorders>
                    <w:top w:val="single" w:color="auto" w:sz="12" w:space="0"/>
                    <w:left w:val="single" w:color="auto" w:sz="4" w:space="0"/>
                    <w:bottom w:val="single" w:color="auto" w:sz="4" w:space="0"/>
                    <w:right w:val="nil"/>
                    <w:tl2br w:val="nil"/>
                    <w:tr2bl w:val="nil"/>
                  </w:tcBorders>
                  <w:vAlign w:val="center"/>
                </w:tcPr>
                <w:p>
                  <w:pPr>
                    <w:pStyle w:val="33"/>
                    <w:spacing w:beforeLines="0" w:afterLines="0" w:line="240" w:lineRule="auto"/>
                    <w:rPr>
                      <w:rFonts w:hint="default" w:ascii="宋体" w:eastAsia="宋体"/>
                      <w:color w:val="auto"/>
                      <w:sz w:val="21"/>
                      <w:szCs w:val="24"/>
                    </w:rPr>
                  </w:pPr>
                  <w:r>
                    <w:rPr>
                      <w:rFonts w:hint="default" w:ascii="宋体" w:eastAsia="宋体"/>
                      <w:color w:val="auto"/>
                      <w:sz w:val="21"/>
                      <w:szCs w:val="24"/>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4"/>
                <w:wAfter w:w="22" w:type="dxa"/>
                <w:trHeight w:val="95" w:hRule="atLeast"/>
              </w:trPr>
              <w:tc>
                <w:tcPr>
                  <w:tcW w:w="1082" w:type="dxa"/>
                  <w:gridSpan w:val="2"/>
                  <w:tcBorders>
                    <w:top w:val="single" w:color="auto" w:sz="4" w:space="0"/>
                    <w:left w:val="nil"/>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ZH35018120008</w:t>
                  </w:r>
                </w:p>
              </w:tc>
              <w:tc>
                <w:tcPr>
                  <w:tcW w:w="953" w:type="dxa"/>
                  <w:gridSpan w:val="2"/>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福清市重点管控单元1</w:t>
                  </w:r>
                </w:p>
              </w:tc>
              <w:tc>
                <w:tcPr>
                  <w:tcW w:w="687"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重点管控单元</w:t>
                  </w:r>
                </w:p>
              </w:tc>
              <w:tc>
                <w:tcPr>
                  <w:tcW w:w="749"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空间布局约束</w:t>
                  </w:r>
                </w:p>
              </w:tc>
              <w:tc>
                <w:tcPr>
                  <w:tcW w:w="4874"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1、</w:t>
                  </w:r>
                  <w:r>
                    <w:rPr>
                      <w:rFonts w:hint="default"/>
                      <w:color w:val="auto"/>
                    </w:rPr>
                    <w:t>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eastAsia"/>
                      <w:color w:val="auto"/>
                      <w:lang w:val="en-US" w:eastAsia="zh-CN"/>
                    </w:rPr>
                    <w:t>2、</w:t>
                  </w:r>
                  <w:r>
                    <w:rPr>
                      <w:rFonts w:hint="default"/>
                      <w:color w:val="auto"/>
                    </w:rPr>
                    <w:t>严格控制包装印刷、工业涂装、制鞋等高VOCs排放的项目建设，相关新建项目必须进入工业园区。</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color w:val="auto"/>
                    </w:rPr>
                  </w:pPr>
                  <w:r>
                    <w:rPr>
                      <w:rFonts w:hint="default"/>
                      <w:color w:val="auto"/>
                    </w:rPr>
                    <w:t>3.禁止开发利用未经评估和无害化处理的列入建设用地污染地块名录及开发利用负面清单的土地。</w:t>
                  </w:r>
                </w:p>
              </w:tc>
              <w:tc>
                <w:tcPr>
                  <w:tcW w:w="3623"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1.本项目不属于危险化学品生产企业，也不属于有色金属、印染、原料药制造、化工等污染较重的企业；</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color w:val="auto"/>
                    </w:rPr>
                  </w:pPr>
                  <w:r>
                    <w:rPr>
                      <w:rFonts w:hint="default"/>
                      <w:color w:val="auto"/>
                    </w:rPr>
                    <w:t>2.项目</w:t>
                  </w:r>
                  <w:r>
                    <w:rPr>
                      <w:rFonts w:hint="eastAsia"/>
                      <w:color w:val="auto"/>
                      <w:lang w:val="en-US" w:eastAsia="zh-CN"/>
                    </w:rPr>
                    <w:t>不属于</w:t>
                  </w:r>
                  <w:r>
                    <w:rPr>
                      <w:rFonts w:hint="default"/>
                      <w:color w:val="auto"/>
                    </w:rPr>
                    <w:t>包装印刷、工业涂装、制鞋等高VOCs排放的项目，不涉及VOCs排放；</w:t>
                  </w:r>
                </w:p>
                <w:p>
                  <w:pPr>
                    <w:pStyle w:val="28"/>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eastAsia="宋体"/>
                      <w:color w:val="auto"/>
                      <w:lang w:eastAsia="zh-CN"/>
                    </w:rPr>
                  </w:pPr>
                  <w:r>
                    <w:rPr>
                      <w:rFonts w:hint="default"/>
                      <w:color w:val="auto"/>
                    </w:rPr>
                    <w:t>3.本项目用地未被列入福建省建设用地污染地块名录及开发利用负面清单</w:t>
                  </w:r>
                  <w:r>
                    <w:rPr>
                      <w:rFonts w:hint="eastAsia"/>
                      <w:color w:val="auto"/>
                      <w:lang w:eastAsia="zh-CN"/>
                    </w:rPr>
                    <w:t>。</w:t>
                  </w:r>
                </w:p>
              </w:tc>
              <w:tc>
                <w:tcPr>
                  <w:tcW w:w="824" w:type="dxa"/>
                  <w:gridSpan w:val="4"/>
                  <w:tcBorders>
                    <w:top w:val="single" w:color="auto" w:sz="4" w:space="0"/>
                    <w:left w:val="single" w:color="auto" w:sz="4" w:space="0"/>
                    <w:bottom w:val="single" w:color="auto" w:sz="4" w:space="0"/>
                    <w:right w:val="nil"/>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4"/>
                <w:wAfter w:w="22" w:type="dxa"/>
                <w:trHeight w:val="1388" w:hRule="atLeast"/>
              </w:trPr>
              <w:tc>
                <w:tcPr>
                  <w:tcW w:w="1082" w:type="dxa"/>
                  <w:gridSpan w:val="2"/>
                  <w:vMerge w:val="restart"/>
                  <w:tcBorders>
                    <w:top w:val="single" w:color="auto" w:sz="4" w:space="0"/>
                    <w:left w:val="nil"/>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p>
              </w:tc>
              <w:tc>
                <w:tcPr>
                  <w:tcW w:w="953" w:type="dxa"/>
                  <w:gridSpan w:val="2"/>
                  <w:vMerge w:val="restart"/>
                  <w:tcBorders>
                    <w:top w:val="single" w:color="auto" w:sz="4" w:space="0"/>
                    <w:left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749"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污染物排放管控</w:t>
                  </w:r>
                </w:p>
              </w:tc>
              <w:tc>
                <w:tcPr>
                  <w:tcW w:w="4874"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落实新增二氧化硫、氮氧化物和VOCs排放总量控制要求</w:t>
                  </w:r>
                </w:p>
              </w:tc>
              <w:tc>
                <w:tcPr>
                  <w:tcW w:w="3623"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color w:val="auto"/>
                      <w:lang w:eastAsia="zh-CN"/>
                    </w:rPr>
                  </w:pPr>
                  <w:r>
                    <w:rPr>
                      <w:rFonts w:hint="default"/>
                      <w:color w:val="auto"/>
                    </w:rPr>
                    <w:t>项目不涉及二氧化硫、氮氧化物、VOCs排放</w:t>
                  </w:r>
                  <w:r>
                    <w:rPr>
                      <w:rFonts w:hint="eastAsia"/>
                      <w:color w:val="auto"/>
                      <w:lang w:eastAsia="zh-CN"/>
                    </w:rPr>
                    <w:t>。</w:t>
                  </w:r>
                </w:p>
              </w:tc>
              <w:tc>
                <w:tcPr>
                  <w:tcW w:w="824" w:type="dxa"/>
                  <w:gridSpan w:val="4"/>
                  <w:tcBorders>
                    <w:top w:val="single" w:color="auto" w:sz="4" w:space="0"/>
                    <w:left w:val="single" w:color="auto" w:sz="4" w:space="0"/>
                    <w:bottom w:val="single" w:color="auto" w:sz="4" w:space="0"/>
                    <w:right w:val="nil"/>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4"/>
                <w:wAfter w:w="22" w:type="dxa"/>
                <w:trHeight w:val="2011" w:hRule="atLeast"/>
              </w:trPr>
              <w:tc>
                <w:tcPr>
                  <w:tcW w:w="1082" w:type="dxa"/>
                  <w:gridSpan w:val="2"/>
                  <w:vMerge w:val="continue"/>
                  <w:tcBorders>
                    <w:top w:val="single" w:color="auto" w:sz="4" w:space="0"/>
                    <w:left w:val="nil"/>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953" w:type="dxa"/>
                  <w:gridSpan w:val="2"/>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7"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749"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环境风险</w:t>
                  </w:r>
                </w:p>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防控</w:t>
                  </w:r>
                </w:p>
              </w:tc>
              <w:tc>
                <w:tcPr>
                  <w:tcW w:w="4874" w:type="dxa"/>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3623" w:type="dxa"/>
                  <w:gridSpan w:val="4"/>
                  <w:tcBorders>
                    <w:top w:val="single" w:color="auto" w:sz="4" w:space="0"/>
                    <w:left w:val="single" w:color="auto" w:sz="4" w:space="0"/>
                    <w:bottom w:val="single" w:color="auto" w:sz="4"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项目为新建项目</w:t>
                  </w:r>
                  <w:r>
                    <w:rPr>
                      <w:rFonts w:hint="eastAsia"/>
                      <w:color w:val="auto"/>
                      <w:lang w:eastAsia="zh-CN"/>
                    </w:rPr>
                    <w:t>且</w:t>
                  </w:r>
                  <w:r>
                    <w:rPr>
                      <w:rFonts w:hint="default"/>
                      <w:color w:val="auto"/>
                    </w:rPr>
                    <w:t>不属于化学原料和化学制品制造业、有色金属冶炼和压延加工业等具有潜在土壤污染环境风险的企业。</w:t>
                  </w:r>
                </w:p>
              </w:tc>
              <w:tc>
                <w:tcPr>
                  <w:tcW w:w="824" w:type="dxa"/>
                  <w:gridSpan w:val="4"/>
                  <w:tcBorders>
                    <w:top w:val="single" w:color="auto" w:sz="4" w:space="0"/>
                    <w:left w:val="single" w:color="auto" w:sz="4" w:space="0"/>
                    <w:bottom w:val="single" w:color="auto" w:sz="4" w:space="0"/>
                    <w:right w:val="nil"/>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4"/>
                <w:wAfter w:w="22" w:type="dxa"/>
                <w:trHeight w:val="397" w:hRule="atLeast"/>
              </w:trPr>
              <w:tc>
                <w:tcPr>
                  <w:tcW w:w="1082" w:type="dxa"/>
                  <w:gridSpan w:val="2"/>
                  <w:vMerge w:val="continue"/>
                  <w:tcBorders>
                    <w:top w:val="single" w:color="auto" w:sz="4" w:space="0"/>
                    <w:left w:val="nil"/>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953" w:type="dxa"/>
                  <w:gridSpan w:val="2"/>
                  <w:vMerge w:val="continue"/>
                  <w:tcBorders>
                    <w:top w:val="single" w:color="auto" w:sz="4" w:space="0"/>
                    <w:left w:val="single" w:color="auto" w:sz="4" w:space="0"/>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687" w:type="dxa"/>
                  <w:vMerge w:val="continue"/>
                  <w:tcBorders>
                    <w:top w:val="single" w:color="auto" w:sz="4" w:space="0"/>
                    <w:left w:val="single" w:color="auto" w:sz="4" w:space="0"/>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p>
              </w:tc>
              <w:tc>
                <w:tcPr>
                  <w:tcW w:w="749" w:type="dxa"/>
                  <w:tcBorders>
                    <w:top w:val="single" w:color="auto" w:sz="4" w:space="0"/>
                    <w:left w:val="single" w:color="auto" w:sz="4" w:space="0"/>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资源开发效率要求</w:t>
                  </w:r>
                </w:p>
              </w:tc>
              <w:tc>
                <w:tcPr>
                  <w:tcW w:w="4874" w:type="dxa"/>
                  <w:tcBorders>
                    <w:top w:val="single" w:color="auto" w:sz="4" w:space="0"/>
                    <w:left w:val="single" w:color="auto" w:sz="4" w:space="0"/>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高污染燃料禁燃区内禁止燃用高污染燃料，禁止新建、扩建燃用高污染燃料的设施。已建的燃用高污染燃料设施，限期改用电、天然气、液化石油气等清洁能源。</w:t>
                  </w:r>
                </w:p>
              </w:tc>
              <w:tc>
                <w:tcPr>
                  <w:tcW w:w="3623" w:type="dxa"/>
                  <w:gridSpan w:val="4"/>
                  <w:tcBorders>
                    <w:top w:val="single" w:color="auto" w:sz="4" w:space="0"/>
                    <w:left w:val="single" w:color="auto" w:sz="4" w:space="0"/>
                    <w:bottom w:val="single" w:color="auto" w:sz="12" w:space="0"/>
                    <w:right w:val="single" w:color="auto" w:sz="4" w:space="0"/>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olor w:val="auto"/>
                    </w:rPr>
                  </w:pPr>
                  <w:r>
                    <w:rPr>
                      <w:rFonts w:hint="default"/>
                      <w:color w:val="auto"/>
                    </w:rPr>
                    <w:t>项目建成后不使用燃用高污染燃料，主要能源形式为电力，为清洁能源。</w:t>
                  </w:r>
                </w:p>
              </w:tc>
              <w:tc>
                <w:tcPr>
                  <w:tcW w:w="824" w:type="dxa"/>
                  <w:gridSpan w:val="4"/>
                  <w:tcBorders>
                    <w:top w:val="single" w:color="auto" w:sz="4" w:space="0"/>
                    <w:left w:val="single" w:color="auto" w:sz="4" w:space="0"/>
                    <w:bottom w:val="single" w:color="auto" w:sz="12" w:space="0"/>
                    <w:right w:val="nil"/>
                    <w:tl2br w:val="nil"/>
                    <w:tr2bl w:val="nil"/>
                  </w:tcBorders>
                  <w:vAlign w:val="center"/>
                </w:tcPr>
                <w:p>
                  <w:pPr>
                    <w:pStyle w:val="28"/>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lang w:val="en-US" w:eastAsia="zh-CN"/>
                    </w:rPr>
                  </w:pPr>
                  <w:r>
                    <w:rPr>
                      <w:rFonts w:hint="eastAsia"/>
                      <w:color w:val="auto"/>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0" w:firstLineChars="200"/>
              <w:textAlignment w:val="auto"/>
              <w:rPr>
                <w:rFonts w:hint="eastAsia"/>
                <w:color w:val="auto"/>
                <w:sz w:val="24"/>
                <w:szCs w:val="24"/>
              </w:rPr>
            </w:pPr>
            <w:r>
              <w:rPr>
                <w:rFonts w:hint="default" w:ascii="Times New Roman" w:hAnsi="Times New Roman" w:eastAsia="宋体" w:cs="Times New Roman"/>
                <w:color w:val="auto"/>
                <w:kern w:val="2"/>
                <w:sz w:val="24"/>
                <w:szCs w:val="24"/>
                <w:lang w:val="en-US" w:eastAsia="zh-CN" w:bidi="ar-SA"/>
              </w:rPr>
              <w:t>综上所述，项目建设符合</w:t>
            </w:r>
            <w:r>
              <w:rPr>
                <w:rFonts w:hint="eastAsia"/>
                <w:color w:val="auto"/>
                <w:sz w:val="24"/>
                <w:szCs w:val="24"/>
              </w:rPr>
              <w:t>区域总体管控要求，符合环境管控单元准入要求，符合福州市生态环境分区管控要求。</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20" w:firstLineChars="200"/>
              <w:textAlignment w:val="auto"/>
              <w:rPr>
                <w:rFonts w:hint="default" w:ascii="Times New Roman" w:hAnsi="Times New Roman" w:eastAsia="宋体" w:cs="Times New Roman"/>
                <w:color w:val="auto"/>
                <w:kern w:val="2"/>
                <w:sz w:val="21"/>
                <w:szCs w:val="24"/>
                <w:lang w:val="en-US" w:eastAsia="zh-CN" w:bidi="ar-SA"/>
              </w:rPr>
            </w:pPr>
          </w:p>
        </w:tc>
      </w:tr>
    </w:tbl>
    <w:p>
      <w:pPr>
        <w:jc w:val="both"/>
        <w:outlineLvl w:val="9"/>
        <w:rPr>
          <w:rFonts w:hint="default" w:ascii="Times New Roman" w:hAnsi="Times New Roman" w:eastAsia="宋体" w:cs="Times New Roman"/>
          <w:snapToGrid w:val="0"/>
          <w:color w:val="auto"/>
          <w:sz w:val="30"/>
          <w:szCs w:val="30"/>
        </w:rPr>
        <w:sectPr>
          <w:pgSz w:w="16838" w:h="11906" w:orient="landscape"/>
          <w:pgMar w:top="1531" w:right="1701" w:bottom="1531" w:left="1701" w:header="851" w:footer="1077"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3"/>
        <w:gridCol w:w="8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28" w:hRule="atLeast"/>
        </w:trPr>
        <w:tc>
          <w:tcPr>
            <w:tcW w:w="803" w:type="dxa"/>
            <w:vAlign w:val="top"/>
          </w:tcPr>
          <w:p>
            <w:pPr>
              <w:widowControl/>
              <w:spacing w:before="100" w:beforeAutospacing="1" w:after="100" w:afterAutospacing="1"/>
              <w:jc w:val="both"/>
              <w:outlineLvl w:val="9"/>
              <w:rPr>
                <w:rFonts w:hint="default" w:ascii="Times New Roman" w:hAnsi="Times New Roman" w:eastAsia="宋体" w:cs="Times New Roman"/>
                <w:snapToGrid w:val="0"/>
                <w:color w:val="auto"/>
                <w:kern w:val="0"/>
                <w:sz w:val="30"/>
                <w:szCs w:val="30"/>
                <w:vertAlign w:val="baseline"/>
                <w:lang w:val="en-US" w:eastAsia="zh-CN" w:bidi="ar-SA"/>
              </w:rPr>
            </w:pPr>
          </w:p>
        </w:tc>
        <w:tc>
          <w:tcPr>
            <w:tcW w:w="8257"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1"/>
                <w:szCs w:val="21"/>
                <w:lang w:val="en-US" w:eastAsia="zh-CN"/>
              </w:rPr>
            </w:pPr>
            <w:r>
              <w:rPr>
                <w:rFonts w:hint="eastAsia"/>
                <w:b/>
                <w:bCs/>
                <w:color w:val="auto"/>
                <w:lang w:val="en-US" w:eastAsia="zh-CN"/>
              </w:rPr>
              <w:t>6、与绿色预拌混凝土搅拌站建设符合性分析</w:t>
            </w:r>
          </w:p>
          <w:p>
            <w:pPr>
              <w:pStyle w:val="17"/>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line="360" w:lineRule="auto"/>
              <w:ind w:firstLine="420" w:firstLineChars="200"/>
              <w:jc w:val="left"/>
              <w:textAlignment w:val="auto"/>
              <w:outlineLvl w:val="9"/>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1"/>
                <w:szCs w:val="21"/>
                <w:lang w:val="en-US" w:eastAsia="zh-CN" w:bidi="ar-SA"/>
              </w:rPr>
              <w:t>本项目涉及预拌混凝土工艺，建设有预拌混凝土搅拌</w:t>
            </w:r>
            <w:r>
              <w:rPr>
                <w:rFonts w:hint="eastAsia" w:cs="Times New Roman"/>
                <w:color w:val="auto"/>
                <w:kern w:val="2"/>
                <w:sz w:val="21"/>
                <w:szCs w:val="21"/>
                <w:lang w:val="en-US" w:eastAsia="zh-CN" w:bidi="ar-SA"/>
              </w:rPr>
              <w:t>楼</w:t>
            </w:r>
            <w:r>
              <w:rPr>
                <w:rFonts w:hint="eastAsia" w:ascii="Times New Roman" w:hAnsi="Times New Roman" w:eastAsia="宋体" w:cs="Times New Roman"/>
                <w:color w:val="auto"/>
                <w:kern w:val="2"/>
                <w:sz w:val="21"/>
                <w:szCs w:val="21"/>
                <w:lang w:val="en-US" w:eastAsia="zh-CN" w:bidi="ar-SA"/>
              </w:rPr>
              <w:t>。根据下表分析可知，本项目基本符合《预拌混凝土绿色生产及管理技术规程》（JGJ/T328-2014）、《福州市城乡建设局关于加强绿色预拌混凝土搅拌站建设的通知》（榕建筑</w:t>
            </w:r>
            <w:r>
              <w:rPr>
                <w:rFonts w:hint="eastAsia" w:cs="Times New Roman"/>
                <w:color w:val="auto"/>
                <w:kern w:val="2"/>
                <w:sz w:val="21"/>
                <w:szCs w:val="21"/>
                <w:lang w:val="en-US" w:eastAsia="zh-CN" w:bidi="ar-SA"/>
              </w:rPr>
              <w:t>〔2019〕151号</w:t>
            </w:r>
            <w:r>
              <w:rPr>
                <w:rFonts w:hint="eastAsia" w:ascii="Times New Roman" w:hAnsi="Times New Roman" w:eastAsia="宋体" w:cs="Times New Roman"/>
                <w:color w:val="auto"/>
                <w:kern w:val="2"/>
                <w:sz w:val="21"/>
                <w:szCs w:val="21"/>
                <w:lang w:val="en-US" w:eastAsia="zh-CN" w:bidi="ar-SA"/>
              </w:rPr>
              <w:t>）中相关生产环保要求，属绿色生产。</w:t>
            </w:r>
          </w:p>
          <w:p>
            <w:pPr>
              <w:pStyle w:val="33"/>
              <w:bidi w:val="0"/>
              <w:rPr>
                <w:rFonts w:hint="eastAsia"/>
                <w:color w:val="auto"/>
              </w:rPr>
            </w:pPr>
            <w:r>
              <w:rPr>
                <w:rFonts w:hint="eastAsia"/>
                <w:color w:val="auto"/>
              </w:rPr>
              <w:t>表</w:t>
            </w:r>
            <w:r>
              <w:rPr>
                <w:rFonts w:hint="eastAsia"/>
                <w:color w:val="auto"/>
                <w:lang w:val="en-US" w:eastAsia="zh-CN"/>
              </w:rPr>
              <w:t xml:space="preserve">1-4 </w:t>
            </w:r>
            <w:r>
              <w:rPr>
                <w:rFonts w:hint="eastAsia"/>
                <w:color w:val="auto"/>
              </w:rPr>
              <w:t>与《预拌混凝土绿色生产及管理技术规程》（JGJ/T328-2014）要求符合性分析</w:t>
            </w:r>
          </w:p>
          <w:tbl>
            <w:tblPr>
              <w:tblStyle w:val="24"/>
              <w:tblW w:w="80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8"/>
              <w:gridCol w:w="729"/>
              <w:gridCol w:w="2763"/>
              <w:gridCol w:w="3236"/>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Align w:val="center"/>
                </w:tcPr>
                <w:p>
                  <w:pPr>
                    <w:pStyle w:val="28"/>
                    <w:bidi w:val="0"/>
                    <w:rPr>
                      <w:b/>
                      <w:bCs/>
                      <w:color w:val="auto"/>
                    </w:rPr>
                  </w:pPr>
                  <w:r>
                    <w:rPr>
                      <w:rFonts w:hint="eastAsia"/>
                      <w:b/>
                      <w:bCs/>
                      <w:color w:val="auto"/>
                    </w:rPr>
                    <w:t>项目</w:t>
                  </w:r>
                </w:p>
              </w:tc>
              <w:tc>
                <w:tcPr>
                  <w:tcW w:w="2763" w:type="dxa"/>
                  <w:vAlign w:val="center"/>
                </w:tcPr>
                <w:p>
                  <w:pPr>
                    <w:pStyle w:val="28"/>
                    <w:bidi w:val="0"/>
                    <w:rPr>
                      <w:rFonts w:hint="eastAsia"/>
                      <w:b/>
                      <w:bCs/>
                      <w:color w:val="auto"/>
                      <w:lang w:eastAsia="zh-CN"/>
                    </w:rPr>
                  </w:pPr>
                  <w:r>
                    <w:rPr>
                      <w:b/>
                      <w:bCs/>
                      <w:color w:val="auto"/>
                    </w:rPr>
                    <w:t>预拌混凝土绿色生产及管理技术规程</w:t>
                  </w:r>
                  <w:r>
                    <w:rPr>
                      <w:rFonts w:hint="eastAsia"/>
                      <w:b/>
                      <w:bCs/>
                      <w:color w:val="auto"/>
                      <w:lang w:eastAsia="zh-CN"/>
                    </w:rPr>
                    <w:t>（摘录）</w:t>
                  </w:r>
                </w:p>
              </w:tc>
              <w:tc>
                <w:tcPr>
                  <w:tcW w:w="3236" w:type="dxa"/>
                  <w:vAlign w:val="center"/>
                </w:tcPr>
                <w:p>
                  <w:pPr>
                    <w:pStyle w:val="28"/>
                    <w:bidi w:val="0"/>
                    <w:rPr>
                      <w:b/>
                      <w:bCs/>
                      <w:color w:val="auto"/>
                    </w:rPr>
                  </w:pPr>
                  <w:r>
                    <w:rPr>
                      <w:rFonts w:hint="eastAsia"/>
                      <w:b/>
                      <w:bCs/>
                      <w:color w:val="auto"/>
                    </w:rPr>
                    <w:t>项目情况</w:t>
                  </w:r>
                </w:p>
              </w:tc>
              <w:tc>
                <w:tcPr>
                  <w:tcW w:w="862" w:type="dxa"/>
                  <w:vAlign w:val="center"/>
                </w:tcPr>
                <w:p>
                  <w:pPr>
                    <w:pStyle w:val="28"/>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Merge w:val="restart"/>
                  <w:vAlign w:val="center"/>
                </w:tcPr>
                <w:p>
                  <w:pPr>
                    <w:pStyle w:val="28"/>
                    <w:bidi w:val="0"/>
                    <w:rPr>
                      <w:color w:val="auto"/>
                    </w:rPr>
                  </w:pPr>
                  <w:r>
                    <w:rPr>
                      <w:rFonts w:hint="eastAsia"/>
                      <w:color w:val="auto"/>
                    </w:rPr>
                    <w:t>厂区要求</w:t>
                  </w:r>
                </w:p>
              </w:tc>
              <w:tc>
                <w:tcPr>
                  <w:tcW w:w="2763" w:type="dxa"/>
                  <w:vAlign w:val="center"/>
                </w:tcPr>
                <w:p>
                  <w:pPr>
                    <w:pStyle w:val="28"/>
                    <w:bidi w:val="0"/>
                    <w:rPr>
                      <w:color w:val="auto"/>
                    </w:rPr>
                  </w:pPr>
                  <w:r>
                    <w:rPr>
                      <w:color w:val="auto"/>
                    </w:rPr>
                    <w:t>厂区内的生产区、办公区和生活区宜分区布置</w:t>
                  </w:r>
                </w:p>
              </w:tc>
              <w:tc>
                <w:tcPr>
                  <w:tcW w:w="3236" w:type="dxa"/>
                  <w:vAlign w:val="center"/>
                </w:tcPr>
                <w:p>
                  <w:pPr>
                    <w:pStyle w:val="28"/>
                    <w:bidi w:val="0"/>
                    <w:rPr>
                      <w:rFonts w:hint="eastAsia"/>
                      <w:color w:val="auto"/>
                      <w:lang w:eastAsia="zh-CN"/>
                    </w:rPr>
                  </w:pPr>
                  <w:r>
                    <w:rPr>
                      <w:color w:val="auto"/>
                    </w:rPr>
                    <w:t>厂区内的生产区</w:t>
                  </w:r>
                  <w:r>
                    <w:rPr>
                      <w:rFonts w:hint="eastAsia"/>
                      <w:color w:val="auto"/>
                    </w:rPr>
                    <w:t>、</w:t>
                  </w:r>
                  <w:r>
                    <w:rPr>
                      <w:rFonts w:hint="eastAsia"/>
                      <w:color w:val="auto"/>
                      <w:lang w:eastAsia="zh-CN"/>
                    </w:rPr>
                    <w:t>办公</w:t>
                  </w:r>
                  <w:r>
                    <w:rPr>
                      <w:rFonts w:hint="eastAsia"/>
                      <w:color w:val="auto"/>
                    </w:rPr>
                    <w:t>生活区分区合理布置</w:t>
                  </w:r>
                  <w:r>
                    <w:rPr>
                      <w:rFonts w:hint="eastAsia"/>
                      <w:color w:val="auto"/>
                      <w:lang w:eastAsia="zh-CN"/>
                    </w:rPr>
                    <w:t>，降低生产区对办公生活区的影响</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025"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color w:val="auto"/>
                    </w:rPr>
                    <w:t>厂区内道路应硬化，功能应满足生产和运输要求；未硬化的空地应进行绿化或采取其他防止扬尘措施</w:t>
                  </w:r>
                  <w:r>
                    <w:rPr>
                      <w:rFonts w:hint="eastAsia"/>
                      <w:color w:val="auto"/>
                      <w:lang w:eastAsia="zh-CN"/>
                    </w:rPr>
                    <w:t>且</w:t>
                  </w:r>
                  <w:r>
                    <w:rPr>
                      <w:color w:val="auto"/>
                    </w:rPr>
                    <w:t>应保持卫生清洁</w:t>
                  </w:r>
                </w:p>
              </w:tc>
              <w:tc>
                <w:tcPr>
                  <w:tcW w:w="3236" w:type="dxa"/>
                  <w:vAlign w:val="center"/>
                </w:tcPr>
                <w:p>
                  <w:pPr>
                    <w:pStyle w:val="28"/>
                    <w:bidi w:val="0"/>
                    <w:rPr>
                      <w:rFonts w:hint="eastAsia"/>
                      <w:color w:val="auto"/>
                      <w:lang w:eastAsia="zh-CN"/>
                    </w:rPr>
                  </w:pPr>
                  <w:r>
                    <w:rPr>
                      <w:rFonts w:hint="eastAsia"/>
                      <w:color w:val="auto"/>
                    </w:rPr>
                    <w:t>厂区</w:t>
                  </w:r>
                  <w:r>
                    <w:rPr>
                      <w:rFonts w:hint="eastAsia"/>
                      <w:color w:val="auto"/>
                      <w:lang w:eastAsia="zh-CN"/>
                    </w:rPr>
                    <w:t>内道路</w:t>
                  </w:r>
                  <w:r>
                    <w:rPr>
                      <w:color w:val="auto"/>
                    </w:rPr>
                    <w:t>进行硬化处理，并保持卫生清洁</w:t>
                  </w:r>
                  <w:r>
                    <w:rPr>
                      <w:rFonts w:hint="eastAsia"/>
                      <w:color w:val="auto"/>
                    </w:rPr>
                    <w:t>，定期人工洒水抑尘和</w:t>
                  </w:r>
                  <w:r>
                    <w:rPr>
                      <w:rFonts w:hint="eastAsia"/>
                      <w:color w:val="auto"/>
                      <w:lang w:eastAsia="zh-CN"/>
                    </w:rPr>
                    <w:t>清扫</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color w:val="auto"/>
                    </w:rPr>
                    <w:t>生产区内应设置生产废弃物存放处，生产类废弃物应分类存放、集中处理</w:t>
                  </w:r>
                </w:p>
              </w:tc>
              <w:tc>
                <w:tcPr>
                  <w:tcW w:w="3236" w:type="dxa"/>
                  <w:vAlign w:val="center"/>
                </w:tcPr>
                <w:p>
                  <w:pPr>
                    <w:pStyle w:val="28"/>
                    <w:bidi w:val="0"/>
                    <w:rPr>
                      <w:rFonts w:hint="eastAsia"/>
                      <w:color w:val="auto"/>
                      <w:lang w:eastAsia="zh-CN"/>
                    </w:rPr>
                  </w:pPr>
                  <w:r>
                    <w:rPr>
                      <w:color w:val="auto"/>
                    </w:rPr>
                    <w:t>厂区设有一般固废暂存</w:t>
                  </w:r>
                  <w:r>
                    <w:rPr>
                      <w:rFonts w:hint="eastAsia"/>
                      <w:color w:val="auto"/>
                    </w:rPr>
                    <w:t>间、危险废物贮存间，将固体废物分类收集、</w:t>
                  </w:r>
                  <w:r>
                    <w:rPr>
                      <w:rFonts w:hint="eastAsia"/>
                      <w:color w:val="auto"/>
                      <w:lang w:eastAsia="zh-CN"/>
                    </w:rPr>
                    <w:t>集中妥善处理处置</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color w:val="auto"/>
                    </w:rPr>
                    <w:t>厂区内应配备生产废水处置系统，宜建立雨水收集系统并有效利用</w:t>
                  </w:r>
                </w:p>
              </w:tc>
              <w:tc>
                <w:tcPr>
                  <w:tcW w:w="3236" w:type="dxa"/>
                  <w:vAlign w:val="center"/>
                </w:tcPr>
                <w:p>
                  <w:pPr>
                    <w:pStyle w:val="28"/>
                    <w:bidi w:val="0"/>
                    <w:rPr>
                      <w:rFonts w:hint="eastAsia"/>
                      <w:color w:val="auto"/>
                      <w:lang w:eastAsia="zh-CN"/>
                    </w:rPr>
                  </w:pPr>
                  <w:r>
                    <w:rPr>
                      <w:rFonts w:hint="eastAsia"/>
                      <w:color w:val="auto"/>
                    </w:rPr>
                    <w:t>厂内配置生产废水处理系统，并修建</w:t>
                  </w:r>
                  <w:r>
                    <w:rPr>
                      <w:rFonts w:hint="eastAsia"/>
                      <w:color w:val="auto"/>
                      <w:lang w:eastAsia="zh-CN"/>
                    </w:rPr>
                    <w:t>导流沟槽</w:t>
                  </w:r>
                  <w:r>
                    <w:rPr>
                      <w:rFonts w:hint="eastAsia"/>
                      <w:color w:val="auto"/>
                    </w:rPr>
                    <w:t>和雨水收集池收集</w:t>
                  </w:r>
                  <w:r>
                    <w:rPr>
                      <w:rFonts w:hint="eastAsia"/>
                      <w:color w:val="auto"/>
                      <w:lang w:eastAsia="zh-CN"/>
                    </w:rPr>
                    <w:t>生产区初期</w:t>
                  </w:r>
                  <w:r>
                    <w:rPr>
                      <w:rFonts w:hint="eastAsia"/>
                      <w:color w:val="auto"/>
                    </w:rPr>
                    <w:t>雨水</w:t>
                  </w:r>
                  <w:r>
                    <w:rPr>
                      <w:rFonts w:hint="eastAsia"/>
                      <w:color w:val="auto"/>
                      <w:lang w:eastAsia="zh-CN"/>
                    </w:rPr>
                    <w:t>，经处理后的生产废水和初期雨水，全部回用，不外排</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177" w:type="dxa"/>
                  <w:gridSpan w:val="2"/>
                  <w:vMerge w:val="restart"/>
                  <w:vAlign w:val="center"/>
                </w:tcPr>
                <w:p>
                  <w:pPr>
                    <w:pStyle w:val="28"/>
                    <w:bidi w:val="0"/>
                    <w:rPr>
                      <w:color w:val="auto"/>
                    </w:rPr>
                  </w:pPr>
                  <w:r>
                    <w:rPr>
                      <w:rFonts w:hint="eastAsia"/>
                      <w:color w:val="auto"/>
                    </w:rPr>
                    <w:t>设备设施</w:t>
                  </w:r>
                </w:p>
              </w:tc>
              <w:tc>
                <w:tcPr>
                  <w:tcW w:w="2763" w:type="dxa"/>
                  <w:vAlign w:val="center"/>
                </w:tcPr>
                <w:p>
                  <w:pPr>
                    <w:pStyle w:val="28"/>
                    <w:bidi w:val="0"/>
                    <w:rPr>
                      <w:color w:val="auto"/>
                    </w:rPr>
                  </w:pPr>
                  <w:r>
                    <w:rPr>
                      <w:rFonts w:hint="eastAsia"/>
                      <w:color w:val="auto"/>
                      <w:lang w:val="en-US" w:eastAsia="zh-CN"/>
                    </w:rPr>
                    <w:t>搅拌站（楼）</w:t>
                  </w:r>
                  <w:r>
                    <w:rPr>
                      <w:color w:val="auto"/>
                    </w:rPr>
                    <w:t>宜采用整体封闭方式</w:t>
                  </w:r>
                </w:p>
              </w:tc>
              <w:tc>
                <w:tcPr>
                  <w:tcW w:w="3236" w:type="dxa"/>
                  <w:vAlign w:val="center"/>
                </w:tcPr>
                <w:p>
                  <w:pPr>
                    <w:pStyle w:val="28"/>
                    <w:bidi w:val="0"/>
                    <w:rPr>
                      <w:color w:val="auto"/>
                    </w:rPr>
                  </w:pPr>
                  <w:r>
                    <w:rPr>
                      <w:color w:val="auto"/>
                    </w:rPr>
                    <w:t>项目搅拌</w:t>
                  </w:r>
                  <w:r>
                    <w:rPr>
                      <w:rFonts w:hint="eastAsia"/>
                      <w:color w:val="auto"/>
                      <w:lang w:val="en-US" w:eastAsia="zh-CN"/>
                    </w:rPr>
                    <w:t>楼为整体封闭式设置</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827"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rFonts w:hint="eastAsia"/>
                      <w:color w:val="auto"/>
                      <w:lang w:val="en-US" w:eastAsia="zh-CN"/>
                    </w:rPr>
                    <w:t>搅拌站（楼）</w:t>
                  </w:r>
                  <w:r>
                    <w:rPr>
                      <w:color w:val="auto"/>
                    </w:rPr>
                    <w:t>应安装除尘装置，并应保持正常使用</w:t>
                  </w:r>
                </w:p>
              </w:tc>
              <w:tc>
                <w:tcPr>
                  <w:tcW w:w="3236" w:type="dxa"/>
                  <w:vAlign w:val="center"/>
                </w:tcPr>
                <w:p>
                  <w:pPr>
                    <w:pStyle w:val="28"/>
                    <w:bidi w:val="0"/>
                    <w:rPr>
                      <w:color w:val="auto"/>
                    </w:rPr>
                  </w:pPr>
                  <w:r>
                    <w:rPr>
                      <w:color w:val="auto"/>
                    </w:rPr>
                    <w:t>项目</w:t>
                  </w:r>
                  <w:r>
                    <w:rPr>
                      <w:rFonts w:hint="eastAsia"/>
                      <w:color w:val="auto"/>
                      <w:lang w:eastAsia="zh-CN"/>
                    </w:rPr>
                    <w:t>搅拌</w:t>
                  </w:r>
                  <w:r>
                    <w:rPr>
                      <w:rFonts w:hint="eastAsia"/>
                      <w:color w:val="auto"/>
                      <w:lang w:val="en-US" w:eastAsia="zh-CN"/>
                    </w:rPr>
                    <w:t>楼</w:t>
                  </w:r>
                  <w:r>
                    <w:rPr>
                      <w:rFonts w:hint="eastAsia"/>
                      <w:color w:val="auto"/>
                      <w:lang w:eastAsia="zh-CN"/>
                    </w:rPr>
                    <w:t>整体封闭，搅拌机加水并密闭搅拌，配套喷淋装置除尘，</w:t>
                  </w:r>
                  <w:r>
                    <w:rPr>
                      <w:rFonts w:hint="eastAsia"/>
                      <w:color w:val="auto"/>
                    </w:rPr>
                    <w:t>并保持其正常运行</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rFonts w:hint="default"/>
                      <w:color w:val="auto"/>
                      <w:lang w:val="en-US" w:eastAsia="zh-CN"/>
                    </w:rPr>
                  </w:pPr>
                  <w:r>
                    <w:rPr>
                      <w:rFonts w:hint="eastAsia"/>
                      <w:color w:val="auto"/>
                      <w:lang w:val="en-US" w:eastAsia="zh-CN"/>
                    </w:rPr>
                    <w:t>搅拌站（楼）的搅拌层和称量层宜设置水冲洗装置，冲洗产生的废水宜通过专用管道进入生产废水处置系统</w:t>
                  </w:r>
                </w:p>
              </w:tc>
              <w:tc>
                <w:tcPr>
                  <w:tcW w:w="3236" w:type="dxa"/>
                  <w:vAlign w:val="center"/>
                </w:tcPr>
                <w:p>
                  <w:pPr>
                    <w:pStyle w:val="28"/>
                    <w:bidi w:val="0"/>
                    <w:rPr>
                      <w:rFonts w:hint="eastAsia"/>
                      <w:color w:val="auto"/>
                      <w:lang w:eastAsia="zh-CN"/>
                    </w:rPr>
                  </w:pPr>
                  <w:r>
                    <w:rPr>
                      <w:rFonts w:hint="eastAsia"/>
                      <w:color w:val="auto"/>
                      <w:lang w:eastAsia="zh-CN"/>
                    </w:rPr>
                    <w:t>项目对搅拌</w:t>
                  </w:r>
                  <w:r>
                    <w:rPr>
                      <w:rFonts w:hint="eastAsia"/>
                      <w:color w:val="auto"/>
                      <w:lang w:val="en-US" w:eastAsia="zh-CN"/>
                    </w:rPr>
                    <w:t>楼各层</w:t>
                  </w:r>
                  <w:r>
                    <w:rPr>
                      <w:rFonts w:hint="eastAsia"/>
                      <w:color w:val="auto"/>
                      <w:lang w:eastAsia="zh-CN"/>
                    </w:rPr>
                    <w:t>设置水冲洗装置进行冲洗，产生的冲洗废水通过专用管道进入生产废水处理系统处理后，全部回用，不外排。</w:t>
                  </w:r>
                </w:p>
              </w:tc>
              <w:tc>
                <w:tcPr>
                  <w:tcW w:w="862" w:type="dxa"/>
                  <w:vAlign w:val="center"/>
                </w:tcPr>
                <w:p>
                  <w:pPr>
                    <w:pStyle w:val="28"/>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color w:val="auto"/>
                    </w:rPr>
                    <w:t>骨料堆场应硬化地面并确保排水通畅、粗细骨料应分隔堆放；骨料堆场宜建成封闭式堆场，宜安装喷淋抑尘装置</w:t>
                  </w:r>
                </w:p>
              </w:tc>
              <w:tc>
                <w:tcPr>
                  <w:tcW w:w="3236" w:type="dxa"/>
                  <w:vAlign w:val="center"/>
                </w:tcPr>
                <w:p>
                  <w:pPr>
                    <w:pStyle w:val="28"/>
                    <w:bidi w:val="0"/>
                    <w:rPr>
                      <w:color w:val="auto"/>
                    </w:rPr>
                  </w:pPr>
                  <w:r>
                    <w:rPr>
                      <w:rFonts w:hint="eastAsia"/>
                      <w:color w:val="auto"/>
                      <w:lang w:val="en-US" w:eastAsia="zh-CN"/>
                    </w:rPr>
                    <w:t>项目骨料砂石设置在物料库储存，为封闭式堆场（仅保留物料进出口面敞开）</w:t>
                  </w:r>
                  <w:r>
                    <w:rPr>
                      <w:rFonts w:hint="eastAsia"/>
                      <w:color w:val="auto"/>
                    </w:rPr>
                    <w:t>，</w:t>
                  </w:r>
                  <w:r>
                    <w:rPr>
                      <w:color w:val="auto"/>
                    </w:rPr>
                    <w:t>地面硬化、排水通畅，</w:t>
                  </w:r>
                  <w:r>
                    <w:rPr>
                      <w:rFonts w:hint="eastAsia"/>
                      <w:color w:val="auto"/>
                      <w:lang w:eastAsia="zh-CN"/>
                    </w:rPr>
                    <w:t>各原料</w:t>
                  </w:r>
                  <w:r>
                    <w:rPr>
                      <w:color w:val="auto"/>
                    </w:rPr>
                    <w:t>分</w:t>
                  </w:r>
                  <w:r>
                    <w:rPr>
                      <w:rFonts w:hint="eastAsia"/>
                      <w:color w:val="auto"/>
                      <w:lang w:eastAsia="zh-CN"/>
                    </w:rPr>
                    <w:t>仓</w:t>
                  </w:r>
                  <w:r>
                    <w:rPr>
                      <w:color w:val="auto"/>
                    </w:rPr>
                    <w:t>堆放</w:t>
                  </w:r>
                  <w:r>
                    <w:rPr>
                      <w:rFonts w:hint="eastAsia"/>
                      <w:color w:val="auto"/>
                    </w:rPr>
                    <w:t>，并</w:t>
                  </w:r>
                  <w:r>
                    <w:rPr>
                      <w:color w:val="auto"/>
                    </w:rPr>
                    <w:t>安装</w:t>
                  </w:r>
                  <w:r>
                    <w:rPr>
                      <w:rFonts w:hint="eastAsia"/>
                      <w:color w:val="auto"/>
                      <w:lang w:val="en-US" w:eastAsia="zh-CN"/>
                    </w:rPr>
                    <w:t>喷淋装置抑尘。</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70" w:hRule="atLeast"/>
              </w:trPr>
              <w:tc>
                <w:tcPr>
                  <w:tcW w:w="1177" w:type="dxa"/>
                  <w:gridSpan w:val="2"/>
                  <w:vMerge w:val="continue"/>
                  <w:vAlign w:val="center"/>
                </w:tcPr>
                <w:p>
                  <w:pPr>
                    <w:pStyle w:val="28"/>
                    <w:bidi w:val="0"/>
                    <w:rPr>
                      <w:color w:val="auto"/>
                    </w:rPr>
                  </w:pPr>
                </w:p>
              </w:tc>
              <w:tc>
                <w:tcPr>
                  <w:tcW w:w="2763" w:type="dxa"/>
                  <w:vAlign w:val="center"/>
                </w:tcPr>
                <w:p>
                  <w:pPr>
                    <w:pStyle w:val="28"/>
                    <w:bidi w:val="0"/>
                    <w:rPr>
                      <w:color w:val="auto"/>
                    </w:rPr>
                  </w:pPr>
                  <w:r>
                    <w:rPr>
                      <w:color w:val="auto"/>
                    </w:rPr>
                    <w:t>预拌混凝土生产企业应配备运输车辆清洗装置，冲洗产生的废水应通过专用管道进入生产废水处置系统</w:t>
                  </w:r>
                </w:p>
              </w:tc>
              <w:tc>
                <w:tcPr>
                  <w:tcW w:w="3236" w:type="dxa"/>
                  <w:vAlign w:val="center"/>
                </w:tcPr>
                <w:p>
                  <w:pPr>
                    <w:pStyle w:val="28"/>
                    <w:bidi w:val="0"/>
                    <w:rPr>
                      <w:rFonts w:hint="eastAsia"/>
                      <w:color w:val="auto"/>
                      <w:lang w:val="en-US" w:eastAsia="zh-CN"/>
                    </w:rPr>
                  </w:pPr>
                  <w:r>
                    <w:rPr>
                      <w:color w:val="auto"/>
                    </w:rPr>
                    <w:t>厂区设有洗车台，</w:t>
                  </w:r>
                  <w:r>
                    <w:rPr>
                      <w:rFonts w:hint="eastAsia"/>
                      <w:color w:val="auto"/>
                      <w:lang w:eastAsia="zh-CN"/>
                    </w:rPr>
                    <w:t>洗车废水</w:t>
                  </w:r>
                  <w:r>
                    <w:rPr>
                      <w:rFonts w:hint="eastAsia"/>
                      <w:color w:val="auto"/>
                    </w:rPr>
                    <w:t>经收集后进入</w:t>
                  </w:r>
                  <w:r>
                    <w:rPr>
                      <w:rFonts w:hint="eastAsia"/>
                      <w:color w:val="auto"/>
                      <w:lang w:eastAsia="zh-CN"/>
                    </w:rPr>
                    <w:t>洗车废水沉淀池处理后回用于洗车，不外排。</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48" w:type="dxa"/>
                  <w:vMerge w:val="restart"/>
                  <w:vAlign w:val="center"/>
                </w:tcPr>
                <w:p>
                  <w:pPr>
                    <w:pStyle w:val="28"/>
                    <w:bidi w:val="0"/>
                    <w:rPr>
                      <w:color w:val="auto"/>
                    </w:rPr>
                  </w:pPr>
                  <w:r>
                    <w:rPr>
                      <w:rFonts w:hint="eastAsia"/>
                      <w:color w:val="auto"/>
                    </w:rPr>
                    <w:t>控制要求</w:t>
                  </w:r>
                </w:p>
              </w:tc>
              <w:tc>
                <w:tcPr>
                  <w:tcW w:w="729" w:type="dxa"/>
                  <w:vAlign w:val="center"/>
                </w:tcPr>
                <w:p>
                  <w:pPr>
                    <w:pStyle w:val="28"/>
                    <w:bidi w:val="0"/>
                    <w:rPr>
                      <w:rFonts w:hint="eastAsia"/>
                      <w:color w:val="auto"/>
                      <w:lang w:val="en-US" w:eastAsia="zh-CN"/>
                    </w:rPr>
                  </w:pPr>
                  <w:r>
                    <w:rPr>
                      <w:rFonts w:hint="eastAsia"/>
                      <w:color w:val="auto"/>
                      <w:lang w:val="en-US" w:eastAsia="zh-CN"/>
                    </w:rPr>
                    <w:t>原材料</w:t>
                  </w:r>
                </w:p>
              </w:tc>
              <w:tc>
                <w:tcPr>
                  <w:tcW w:w="2763" w:type="dxa"/>
                  <w:vAlign w:val="center"/>
                </w:tcPr>
                <w:p>
                  <w:pPr>
                    <w:pStyle w:val="28"/>
                    <w:bidi w:val="0"/>
                    <w:rPr>
                      <w:color w:val="auto"/>
                    </w:rPr>
                  </w:pPr>
                  <w:r>
                    <w:rPr>
                      <w:color w:val="auto"/>
                    </w:rPr>
                    <w:t>原材料的运输、装卸和存放应采取降低噪声和粉尘的措施</w:t>
                  </w:r>
                </w:p>
              </w:tc>
              <w:tc>
                <w:tcPr>
                  <w:tcW w:w="3236" w:type="dxa"/>
                  <w:vAlign w:val="center"/>
                </w:tcPr>
                <w:p>
                  <w:pPr>
                    <w:pStyle w:val="28"/>
                    <w:bidi w:val="0"/>
                    <w:rPr>
                      <w:color w:val="auto"/>
                    </w:rPr>
                  </w:pP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rPr>
                    <w:t>设置洗车台</w:t>
                  </w:r>
                  <w:r>
                    <w:rPr>
                      <w:color w:val="auto"/>
                    </w:rPr>
                    <w:t>对</w:t>
                  </w:r>
                  <w:r>
                    <w:rPr>
                      <w:rFonts w:hint="eastAsia"/>
                      <w:color w:val="auto"/>
                    </w:rPr>
                    <w:t>运输车辆进行冲洗</w:t>
                  </w:r>
                  <w:r>
                    <w:rPr>
                      <w:color w:val="auto"/>
                    </w:rPr>
                    <w:t>；</w:t>
                  </w:r>
                  <w:r>
                    <w:rPr>
                      <w:rFonts w:hint="eastAsia"/>
                      <w:color w:val="auto"/>
                      <w:lang w:val="en-US" w:eastAsia="zh-CN"/>
                    </w:rPr>
                    <w:t>砂石物料库为封闭式（仅保留物料进出口敞开）并配套喷淋装置</w:t>
                  </w:r>
                  <w:r>
                    <w:rPr>
                      <w:color w:val="auto"/>
                    </w:rPr>
                    <w:t>；</w:t>
                  </w:r>
                  <w:r>
                    <w:rPr>
                      <w:rFonts w:hint="eastAsia"/>
                      <w:color w:val="auto"/>
                      <w:lang w:eastAsia="zh-CN"/>
                    </w:rPr>
                    <w:t>粉料仓</w:t>
                  </w:r>
                  <w:r>
                    <w:rPr>
                      <w:rFonts w:hint="eastAsia"/>
                      <w:color w:val="auto"/>
                      <w:lang w:val="en-US" w:eastAsia="zh-CN"/>
                    </w:rPr>
                    <w:t>顶部</w:t>
                  </w:r>
                  <w:r>
                    <w:rPr>
                      <w:color w:val="auto"/>
                    </w:rPr>
                    <w:t>各</w:t>
                  </w:r>
                  <w:r>
                    <w:rPr>
                      <w:rFonts w:hint="eastAsia"/>
                      <w:color w:val="auto"/>
                      <w:lang w:val="en-US" w:eastAsia="zh-CN"/>
                    </w:rPr>
                    <w:t>自带</w:t>
                  </w:r>
                  <w:r>
                    <w:rPr>
                      <w:color w:val="auto"/>
                    </w:rPr>
                    <w:t>1台</w:t>
                  </w:r>
                  <w:r>
                    <w:rPr>
                      <w:rFonts w:hint="eastAsia"/>
                      <w:color w:val="auto"/>
                    </w:rPr>
                    <w:t>袋式除尘器</w:t>
                  </w:r>
                  <w:r>
                    <w:rPr>
                      <w:rFonts w:hint="eastAsia"/>
                      <w:color w:val="auto"/>
                      <w:lang w:eastAsia="zh-CN"/>
                    </w:rPr>
                    <w:t>除尘</w:t>
                  </w:r>
                  <w:r>
                    <w:rPr>
                      <w:rFonts w:hint="eastAsia"/>
                      <w:color w:val="auto"/>
                    </w:rPr>
                    <w:t>；车辆在厂区运输时低速禁鸣，相关设备采取基础减振措施。</w:t>
                  </w:r>
                </w:p>
              </w:tc>
              <w:tc>
                <w:tcPr>
                  <w:tcW w:w="862" w:type="dxa"/>
                  <w:vAlign w:val="center"/>
                </w:tcPr>
                <w:p>
                  <w:pPr>
                    <w:pStyle w:val="28"/>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48" w:type="dxa"/>
                  <w:vMerge w:val="continue"/>
                  <w:vAlign w:val="center"/>
                </w:tcPr>
                <w:p>
                  <w:pPr>
                    <w:pStyle w:val="28"/>
                    <w:bidi w:val="0"/>
                    <w:rPr>
                      <w:color w:val="auto"/>
                    </w:rPr>
                  </w:pPr>
                </w:p>
              </w:tc>
              <w:tc>
                <w:tcPr>
                  <w:tcW w:w="729" w:type="dxa"/>
                  <w:vAlign w:val="center"/>
                </w:tcPr>
                <w:p>
                  <w:pPr>
                    <w:pStyle w:val="28"/>
                    <w:bidi w:val="0"/>
                    <w:rPr>
                      <w:color w:val="auto"/>
                    </w:rPr>
                  </w:pPr>
                  <w:r>
                    <w:rPr>
                      <w:rFonts w:hint="eastAsia"/>
                      <w:color w:val="auto"/>
                    </w:rPr>
                    <w:t>生产废水和废浆</w:t>
                  </w:r>
                </w:p>
              </w:tc>
              <w:tc>
                <w:tcPr>
                  <w:tcW w:w="2763" w:type="dxa"/>
                  <w:vAlign w:val="center"/>
                </w:tcPr>
                <w:p>
                  <w:pPr>
                    <w:pStyle w:val="28"/>
                    <w:bidi w:val="0"/>
                    <w:rPr>
                      <w:color w:val="auto"/>
                    </w:rPr>
                  </w:pPr>
                  <w:r>
                    <w:rPr>
                      <w:color w:val="auto"/>
                    </w:rPr>
                    <w:t>预拌混凝土绿色生产应配备完善的生产废水处置系统，排水沟系统应覆盖连通搅拌站装车层、骨料堆场、砂石分离机和车辆清洗场等区域，并于多级沉淀池连接</w:t>
                  </w:r>
                </w:p>
              </w:tc>
              <w:tc>
                <w:tcPr>
                  <w:tcW w:w="3236" w:type="dxa"/>
                  <w:vAlign w:val="center"/>
                </w:tcPr>
                <w:p>
                  <w:pPr>
                    <w:pStyle w:val="28"/>
                    <w:bidi w:val="0"/>
                    <w:rPr>
                      <w:rFonts w:hint="eastAsia"/>
                      <w:color w:val="auto"/>
                      <w:lang w:eastAsia="zh-CN"/>
                    </w:rPr>
                  </w:pPr>
                  <w:r>
                    <w:rPr>
                      <w:rFonts w:hint="eastAsia"/>
                      <w:color w:val="auto"/>
                    </w:rPr>
                    <w:t>项目</w:t>
                  </w:r>
                  <w:r>
                    <w:rPr>
                      <w:color w:val="auto"/>
                    </w:rPr>
                    <w:t>厂区排水沟</w:t>
                  </w:r>
                  <w:r>
                    <w:rPr>
                      <w:rFonts w:hint="eastAsia"/>
                      <w:color w:val="auto"/>
                      <w:lang w:eastAsia="zh-CN"/>
                    </w:rPr>
                    <w:t>系统</w:t>
                  </w:r>
                  <w:r>
                    <w:rPr>
                      <w:rFonts w:hint="eastAsia"/>
                      <w:color w:val="auto"/>
                    </w:rPr>
                    <w:t>按要求</w:t>
                  </w:r>
                  <w:r>
                    <w:rPr>
                      <w:color w:val="auto"/>
                    </w:rPr>
                    <w:t>覆盖整个生产区域，</w:t>
                  </w:r>
                  <w:r>
                    <w:rPr>
                      <w:rFonts w:hint="eastAsia"/>
                      <w:color w:val="auto"/>
                    </w:rPr>
                    <w:t>包含搅拌</w:t>
                  </w:r>
                  <w:r>
                    <w:rPr>
                      <w:rFonts w:hint="eastAsia"/>
                      <w:color w:val="auto"/>
                      <w:lang w:val="en-US" w:eastAsia="zh-CN"/>
                    </w:rPr>
                    <w:t>楼</w:t>
                  </w:r>
                  <w:r>
                    <w:rPr>
                      <w:rFonts w:hint="eastAsia"/>
                      <w:color w:val="auto"/>
                    </w:rPr>
                    <w:t>装车层、</w:t>
                  </w:r>
                  <w:r>
                    <w:rPr>
                      <w:rFonts w:hint="eastAsia"/>
                      <w:color w:val="auto"/>
                      <w:lang w:val="en-US" w:eastAsia="zh-CN"/>
                    </w:rPr>
                    <w:t>砂石料堆场、砂石分离机</w:t>
                  </w:r>
                  <w:r>
                    <w:rPr>
                      <w:rFonts w:hint="eastAsia"/>
                      <w:color w:val="auto"/>
                    </w:rPr>
                    <w:t>和</w:t>
                  </w:r>
                  <w:r>
                    <w:rPr>
                      <w:rFonts w:hint="eastAsia"/>
                      <w:color w:val="auto"/>
                      <w:lang w:eastAsia="zh-CN"/>
                    </w:rPr>
                    <w:t>洗车台</w:t>
                  </w:r>
                  <w:r>
                    <w:rPr>
                      <w:rFonts w:hint="eastAsia"/>
                      <w:color w:val="auto"/>
                    </w:rPr>
                    <w:t>等区域</w:t>
                  </w:r>
                  <w:r>
                    <w:rPr>
                      <w:color w:val="auto"/>
                    </w:rPr>
                    <w:t>，</w:t>
                  </w:r>
                  <w:r>
                    <w:rPr>
                      <w:rFonts w:hint="eastAsia"/>
                      <w:color w:val="auto"/>
                      <w:lang w:eastAsia="zh-CN"/>
                    </w:rPr>
                    <w:t>并与相应</w:t>
                  </w:r>
                  <w:r>
                    <w:rPr>
                      <w:rFonts w:hint="eastAsia"/>
                      <w:color w:val="auto"/>
                      <w:lang w:val="en-US" w:eastAsia="zh-CN"/>
                    </w:rPr>
                    <w:t>废水处理系统</w:t>
                  </w:r>
                  <w:r>
                    <w:rPr>
                      <w:rFonts w:hint="eastAsia"/>
                      <w:color w:val="auto"/>
                    </w:rPr>
                    <w:t>相连</w:t>
                  </w:r>
                  <w:r>
                    <w:rPr>
                      <w:rFonts w:hint="eastAsia"/>
                      <w:color w:val="auto"/>
                      <w:lang w:eastAsia="zh-CN"/>
                    </w:rPr>
                    <w:t>。</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48" w:type="dxa"/>
                  <w:vMerge w:val="continue"/>
                  <w:vAlign w:val="center"/>
                </w:tcPr>
                <w:p>
                  <w:pPr>
                    <w:pStyle w:val="28"/>
                    <w:bidi w:val="0"/>
                    <w:rPr>
                      <w:color w:val="auto"/>
                    </w:rPr>
                  </w:pPr>
                </w:p>
              </w:tc>
              <w:tc>
                <w:tcPr>
                  <w:tcW w:w="729" w:type="dxa"/>
                  <w:vAlign w:val="center"/>
                </w:tcPr>
                <w:p>
                  <w:pPr>
                    <w:pStyle w:val="28"/>
                    <w:bidi w:val="0"/>
                    <w:rPr>
                      <w:rFonts w:hint="eastAsia"/>
                      <w:color w:val="auto"/>
                      <w:lang w:val="en-US" w:eastAsia="zh-CN"/>
                    </w:rPr>
                  </w:pPr>
                  <w:r>
                    <w:rPr>
                      <w:rFonts w:hint="eastAsia"/>
                      <w:color w:val="auto"/>
                      <w:lang w:val="en-US" w:eastAsia="zh-CN"/>
                    </w:rPr>
                    <w:t>噪声</w:t>
                  </w:r>
                </w:p>
              </w:tc>
              <w:tc>
                <w:tcPr>
                  <w:tcW w:w="2763" w:type="dxa"/>
                  <w:vAlign w:val="center"/>
                </w:tcPr>
                <w:p>
                  <w:pPr>
                    <w:pStyle w:val="28"/>
                    <w:bidi w:val="0"/>
                    <w:rPr>
                      <w:color w:val="auto"/>
                    </w:rPr>
                  </w:pPr>
                  <w:r>
                    <w:rPr>
                      <w:color w:val="auto"/>
                    </w:rPr>
                    <w:t>对产生噪声的主要设备设施应进行降噪处理</w:t>
                  </w:r>
                </w:p>
              </w:tc>
              <w:tc>
                <w:tcPr>
                  <w:tcW w:w="3236" w:type="dxa"/>
                  <w:vAlign w:val="center"/>
                </w:tcPr>
                <w:p>
                  <w:pPr>
                    <w:pStyle w:val="28"/>
                    <w:bidi w:val="0"/>
                    <w:rPr>
                      <w:rFonts w:hint="eastAsia" w:eastAsia="宋体"/>
                      <w:color w:val="auto"/>
                      <w:lang w:eastAsia="zh-CN"/>
                    </w:rPr>
                  </w:pPr>
                  <w:r>
                    <w:rPr>
                      <w:rFonts w:hint="eastAsia"/>
                      <w:color w:val="auto"/>
                      <w:lang w:eastAsia="zh-CN"/>
                    </w:rPr>
                    <w:t>项目将</w:t>
                  </w:r>
                  <w:r>
                    <w:rPr>
                      <w:color w:val="auto"/>
                    </w:rPr>
                    <w:t>主要生产设备放置于</w:t>
                  </w:r>
                  <w:r>
                    <w:rPr>
                      <w:rFonts w:hint="eastAsia"/>
                      <w:color w:val="auto"/>
                      <w:lang w:eastAsia="zh-CN"/>
                    </w:rPr>
                    <w:t>车间</w:t>
                  </w:r>
                  <w:r>
                    <w:rPr>
                      <w:color w:val="auto"/>
                    </w:rPr>
                    <w:t>内，对厂区高噪声设备采用隔声、消声、吸声、减振等有效措施，以有效降低车间噪声</w:t>
                  </w:r>
                  <w:r>
                    <w:rPr>
                      <w:rFonts w:hint="eastAsia"/>
                      <w:color w:val="auto"/>
                      <w:lang w:eastAsia="zh-CN"/>
                    </w:rPr>
                    <w:t>。</w:t>
                  </w:r>
                </w:p>
              </w:tc>
              <w:tc>
                <w:tcPr>
                  <w:tcW w:w="862" w:type="dxa"/>
                  <w:vAlign w:val="center"/>
                </w:tcPr>
                <w:p>
                  <w:pPr>
                    <w:pStyle w:val="28"/>
                    <w:bidi w:val="0"/>
                    <w:rPr>
                      <w:rFonts w:hint="eastAsia"/>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48" w:type="dxa"/>
                  <w:vMerge w:val="continue"/>
                  <w:vAlign w:val="center"/>
                </w:tcPr>
                <w:p>
                  <w:pPr>
                    <w:pStyle w:val="28"/>
                    <w:bidi w:val="0"/>
                    <w:rPr>
                      <w:color w:val="auto"/>
                    </w:rPr>
                  </w:pPr>
                </w:p>
              </w:tc>
              <w:tc>
                <w:tcPr>
                  <w:tcW w:w="729" w:type="dxa"/>
                  <w:vMerge w:val="restart"/>
                  <w:vAlign w:val="center"/>
                </w:tcPr>
                <w:p>
                  <w:pPr>
                    <w:pStyle w:val="28"/>
                    <w:bidi w:val="0"/>
                    <w:rPr>
                      <w:rFonts w:hint="eastAsia"/>
                      <w:color w:val="auto"/>
                      <w:lang w:val="en-US" w:eastAsia="zh-CN"/>
                    </w:rPr>
                  </w:pPr>
                  <w:r>
                    <w:rPr>
                      <w:rFonts w:hint="eastAsia"/>
                      <w:color w:val="auto"/>
                      <w:lang w:val="en-US" w:eastAsia="zh-CN"/>
                    </w:rPr>
                    <w:t>粉尘</w:t>
                  </w:r>
                </w:p>
              </w:tc>
              <w:tc>
                <w:tcPr>
                  <w:tcW w:w="2763" w:type="dxa"/>
                  <w:vAlign w:val="center"/>
                </w:tcPr>
                <w:p>
                  <w:pPr>
                    <w:pStyle w:val="28"/>
                    <w:bidi w:val="0"/>
                    <w:rPr>
                      <w:color w:val="auto"/>
                    </w:rPr>
                  </w:pPr>
                  <w:r>
                    <w:rPr>
                      <w:color w:val="auto"/>
                    </w:rPr>
                    <w:t>对产生粉尘排放的设备设施或场所进行封闭处理或安装除尘装置</w:t>
                  </w:r>
                </w:p>
              </w:tc>
              <w:tc>
                <w:tcPr>
                  <w:tcW w:w="3236" w:type="dxa"/>
                  <w:vAlign w:val="center"/>
                </w:tcPr>
                <w:p>
                  <w:pPr>
                    <w:pStyle w:val="28"/>
                    <w:bidi w:val="0"/>
                    <w:rPr>
                      <w:rFonts w:hint="eastAsia"/>
                      <w:color w:val="auto"/>
                      <w:lang w:eastAsia="zh-CN"/>
                    </w:rPr>
                  </w:pPr>
                  <w:r>
                    <w:rPr>
                      <w:rFonts w:hint="eastAsia"/>
                      <w:color w:val="auto"/>
                    </w:rPr>
                    <w:t>项目厂内物料输送采用密闭皮带和管道，</w:t>
                  </w:r>
                  <w:r>
                    <w:rPr>
                      <w:color w:val="auto"/>
                    </w:rPr>
                    <w:t>粉料仓</w:t>
                  </w:r>
                  <w:r>
                    <w:rPr>
                      <w:rFonts w:hint="eastAsia"/>
                      <w:color w:val="auto"/>
                    </w:rPr>
                    <w:t>密闭</w:t>
                  </w:r>
                  <w:r>
                    <w:rPr>
                      <w:rFonts w:hint="eastAsia"/>
                      <w:color w:val="auto"/>
                      <w:lang w:eastAsia="zh-CN"/>
                    </w:rPr>
                    <w:t>并</w:t>
                  </w:r>
                  <w:r>
                    <w:rPr>
                      <w:color w:val="auto"/>
                    </w:rPr>
                    <w:t>配置</w:t>
                  </w:r>
                  <w:r>
                    <w:rPr>
                      <w:rFonts w:hint="eastAsia"/>
                      <w:color w:val="auto"/>
                    </w:rPr>
                    <w:t>袋式除尘器进行除尘</w:t>
                  </w:r>
                  <w:r>
                    <w:rPr>
                      <w:color w:val="auto"/>
                    </w:rPr>
                    <w:t>；</w:t>
                  </w:r>
                  <w:r>
                    <w:rPr>
                      <w:rFonts w:hint="eastAsia"/>
                      <w:color w:val="auto"/>
                      <w:lang w:eastAsia="zh-CN"/>
                    </w:rPr>
                    <w:t>搅拌</w:t>
                  </w:r>
                  <w:r>
                    <w:rPr>
                      <w:rFonts w:hint="eastAsia"/>
                      <w:color w:val="auto"/>
                      <w:lang w:val="en-US" w:eastAsia="zh-CN"/>
                    </w:rPr>
                    <w:t>楼</w:t>
                  </w:r>
                  <w:r>
                    <w:rPr>
                      <w:rFonts w:hint="eastAsia"/>
                      <w:color w:val="auto"/>
                      <w:lang w:eastAsia="zh-CN"/>
                    </w:rPr>
                    <w:t>、</w:t>
                  </w:r>
                  <w:r>
                    <w:rPr>
                      <w:rFonts w:hint="eastAsia"/>
                      <w:color w:val="auto"/>
                      <w:lang w:val="en-US" w:eastAsia="zh-CN"/>
                    </w:rPr>
                    <w:t>砂石物料库</w:t>
                  </w:r>
                  <w:r>
                    <w:rPr>
                      <w:rFonts w:hint="eastAsia"/>
                      <w:color w:val="auto"/>
                      <w:lang w:eastAsia="zh-CN"/>
                    </w:rPr>
                    <w:t>封闭设置</w:t>
                  </w:r>
                  <w:r>
                    <w:rPr>
                      <w:rFonts w:hint="eastAsia"/>
                      <w:color w:val="auto"/>
                    </w:rPr>
                    <w:t>并</w:t>
                  </w:r>
                  <w:r>
                    <w:rPr>
                      <w:color w:val="auto"/>
                    </w:rPr>
                    <w:t>设有喷</w:t>
                  </w:r>
                  <w:r>
                    <w:rPr>
                      <w:rFonts w:hint="eastAsia"/>
                      <w:color w:val="auto"/>
                    </w:rPr>
                    <w:t>淋</w:t>
                  </w:r>
                  <w:r>
                    <w:rPr>
                      <w:color w:val="auto"/>
                    </w:rPr>
                    <w:t>降尘系统</w:t>
                  </w:r>
                  <w:r>
                    <w:rPr>
                      <w:rFonts w:hint="eastAsia"/>
                      <w:color w:val="auto"/>
                    </w:rPr>
                    <w:t>；</w:t>
                  </w:r>
                  <w:r>
                    <w:rPr>
                      <w:color w:val="auto"/>
                    </w:rPr>
                    <w:t>厂区</w:t>
                  </w:r>
                  <w:r>
                    <w:rPr>
                      <w:rFonts w:hint="eastAsia"/>
                      <w:color w:val="auto"/>
                    </w:rPr>
                    <w:t>道路定期人工洒水抑尘和</w:t>
                  </w:r>
                  <w:r>
                    <w:rPr>
                      <w:rFonts w:hint="eastAsia"/>
                      <w:color w:val="auto"/>
                      <w:lang w:eastAsia="zh-CN"/>
                    </w:rPr>
                    <w:t>清扫</w:t>
                  </w:r>
                  <w:r>
                    <w:rPr>
                      <w:color w:val="auto"/>
                    </w:rPr>
                    <w:t>，</w:t>
                  </w:r>
                  <w:r>
                    <w:rPr>
                      <w:rFonts w:hint="eastAsia"/>
                      <w:color w:val="auto"/>
                      <w:lang w:eastAsia="zh-CN"/>
                    </w:rPr>
                    <w:t>并</w:t>
                  </w:r>
                  <w:r>
                    <w:rPr>
                      <w:rFonts w:hint="eastAsia"/>
                      <w:color w:val="auto"/>
                    </w:rPr>
                    <w:t>设置洗车台</w:t>
                  </w:r>
                  <w:r>
                    <w:rPr>
                      <w:color w:val="auto"/>
                    </w:rPr>
                    <w:t>对</w:t>
                  </w:r>
                  <w:r>
                    <w:rPr>
                      <w:rFonts w:hint="eastAsia"/>
                      <w:color w:val="auto"/>
                    </w:rPr>
                    <w:t>运输车辆</w:t>
                  </w:r>
                  <w:r>
                    <w:rPr>
                      <w:color w:val="auto"/>
                    </w:rPr>
                    <w:t>轮进行</w:t>
                  </w:r>
                  <w:r>
                    <w:rPr>
                      <w:rFonts w:hint="eastAsia"/>
                      <w:color w:val="auto"/>
                    </w:rPr>
                    <w:t>冲洗</w:t>
                  </w:r>
                  <w:r>
                    <w:rPr>
                      <w:rFonts w:hint="eastAsia"/>
                      <w:color w:val="auto"/>
                      <w:lang w:eastAsia="zh-CN"/>
                    </w:rPr>
                    <w:t>。</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448" w:type="dxa"/>
                  <w:vMerge w:val="continue"/>
                  <w:vAlign w:val="center"/>
                </w:tcPr>
                <w:p>
                  <w:pPr>
                    <w:pStyle w:val="28"/>
                    <w:bidi w:val="0"/>
                    <w:rPr>
                      <w:color w:val="auto"/>
                    </w:rPr>
                  </w:pPr>
                </w:p>
              </w:tc>
              <w:tc>
                <w:tcPr>
                  <w:tcW w:w="729" w:type="dxa"/>
                  <w:vMerge w:val="continue"/>
                  <w:vAlign w:val="center"/>
                </w:tcPr>
                <w:p>
                  <w:pPr>
                    <w:pStyle w:val="28"/>
                    <w:bidi w:val="0"/>
                    <w:rPr>
                      <w:color w:val="auto"/>
                    </w:rPr>
                  </w:pPr>
                </w:p>
              </w:tc>
              <w:tc>
                <w:tcPr>
                  <w:tcW w:w="2763" w:type="dxa"/>
                  <w:vAlign w:val="center"/>
                </w:tcPr>
                <w:p>
                  <w:pPr>
                    <w:pStyle w:val="28"/>
                    <w:bidi w:val="0"/>
                    <w:rPr>
                      <w:color w:val="auto"/>
                    </w:rPr>
                  </w:pPr>
                  <w:r>
                    <w:rPr>
                      <w:rFonts w:hint="eastAsia"/>
                      <w:color w:val="auto"/>
                    </w:rPr>
                    <w:t>利用喷淋装置进行预湿处理</w:t>
                  </w:r>
                </w:p>
              </w:tc>
              <w:tc>
                <w:tcPr>
                  <w:tcW w:w="3236" w:type="dxa"/>
                  <w:vAlign w:val="center"/>
                </w:tcPr>
                <w:p>
                  <w:pPr>
                    <w:pStyle w:val="28"/>
                    <w:bidi w:val="0"/>
                    <w:rPr>
                      <w:color w:val="auto"/>
                    </w:rPr>
                  </w:pPr>
                  <w:r>
                    <w:rPr>
                      <w:color w:val="auto"/>
                    </w:rPr>
                    <w:t>项目</w:t>
                  </w:r>
                  <w:r>
                    <w:rPr>
                      <w:rFonts w:hint="eastAsia"/>
                      <w:color w:val="auto"/>
                      <w:lang w:val="en-US" w:eastAsia="zh-CN"/>
                    </w:rPr>
                    <w:t>砂石</w:t>
                  </w:r>
                  <w:r>
                    <w:rPr>
                      <w:color w:val="auto"/>
                    </w:rPr>
                    <w:t>在输送</w:t>
                  </w:r>
                  <w:r>
                    <w:rPr>
                      <w:rFonts w:hint="eastAsia"/>
                      <w:color w:val="auto"/>
                      <w:lang w:val="en-US" w:eastAsia="zh-CN"/>
                    </w:rPr>
                    <w:t>及</w:t>
                  </w:r>
                  <w:r>
                    <w:rPr>
                      <w:rFonts w:hint="eastAsia"/>
                      <w:color w:val="auto"/>
                      <w:lang w:eastAsia="zh-CN"/>
                    </w:rPr>
                    <w:t>堆存</w:t>
                  </w:r>
                  <w:r>
                    <w:rPr>
                      <w:rFonts w:hint="eastAsia"/>
                      <w:color w:val="auto"/>
                      <w:lang w:val="en-US" w:eastAsia="zh-CN"/>
                    </w:rPr>
                    <w:t>期间喷淋</w:t>
                  </w:r>
                  <w:r>
                    <w:rPr>
                      <w:color w:val="auto"/>
                    </w:rPr>
                    <w:t>预湿</w:t>
                  </w:r>
                  <w:r>
                    <w:rPr>
                      <w:rFonts w:hint="eastAsia"/>
                      <w:color w:val="auto"/>
                    </w:rPr>
                    <w:t>。</w:t>
                  </w:r>
                </w:p>
              </w:tc>
              <w:tc>
                <w:tcPr>
                  <w:tcW w:w="862" w:type="dxa"/>
                  <w:vAlign w:val="center"/>
                </w:tcPr>
                <w:p>
                  <w:pPr>
                    <w:pStyle w:val="28"/>
                    <w:bidi w:val="0"/>
                    <w:rPr>
                      <w:rFonts w:hint="eastAsia"/>
                      <w:color w:val="auto"/>
                    </w:rPr>
                  </w:pPr>
                  <w:r>
                    <w:rPr>
                      <w:rFonts w:hint="eastAsia"/>
                      <w:color w:val="auto"/>
                    </w:rPr>
                    <w:t>符合</w:t>
                  </w:r>
                </w:p>
              </w:tc>
            </w:tr>
          </w:tbl>
          <w:p>
            <w:pPr>
              <w:pStyle w:val="33"/>
              <w:bidi w:val="0"/>
              <w:rPr>
                <w:rFonts w:hint="eastAsia"/>
                <w:color w:val="auto"/>
              </w:rPr>
            </w:pPr>
            <w:r>
              <w:rPr>
                <w:rFonts w:hint="eastAsia"/>
                <w:color w:val="auto"/>
              </w:rPr>
              <w:t>表</w:t>
            </w:r>
            <w:r>
              <w:rPr>
                <w:rFonts w:hint="eastAsia"/>
                <w:color w:val="auto"/>
                <w:lang w:val="en-US" w:eastAsia="zh-CN"/>
              </w:rPr>
              <w:t xml:space="preserve">1-5 </w:t>
            </w:r>
            <w:r>
              <w:rPr>
                <w:rFonts w:hint="eastAsia"/>
                <w:color w:val="auto"/>
              </w:rPr>
              <w:t>项目与《福州市城乡建设局关于加强绿色预拌混凝土搅拌站建设的通知》</w:t>
            </w:r>
          </w:p>
          <w:p>
            <w:pPr>
              <w:pStyle w:val="33"/>
              <w:bidi w:val="0"/>
              <w:rPr>
                <w:rFonts w:hint="eastAsia"/>
                <w:color w:val="auto"/>
              </w:rPr>
            </w:pPr>
            <w:r>
              <w:rPr>
                <w:rFonts w:hint="eastAsia"/>
                <w:color w:val="auto"/>
              </w:rPr>
              <w:t>（榕建筑</w:t>
            </w:r>
            <w:r>
              <w:rPr>
                <w:rFonts w:hint="eastAsia"/>
                <w:color w:val="auto"/>
                <w:lang w:eastAsia="zh-CN"/>
              </w:rPr>
              <w:t>〔2019〕151号</w:t>
            </w:r>
            <w:r>
              <w:rPr>
                <w:rFonts w:hint="eastAsia"/>
                <w:color w:val="auto"/>
              </w:rPr>
              <w:t>）</w:t>
            </w:r>
            <w:r>
              <w:rPr>
                <w:rFonts w:hint="eastAsia"/>
                <w:color w:val="auto"/>
                <w:lang w:eastAsia="zh-CN"/>
              </w:rPr>
              <w:t>中生产环保</w:t>
            </w:r>
            <w:r>
              <w:rPr>
                <w:rFonts w:hint="eastAsia"/>
                <w:color w:val="auto"/>
              </w:rPr>
              <w:t>要求符合性分析</w:t>
            </w:r>
          </w:p>
          <w:tbl>
            <w:tblPr>
              <w:tblStyle w:val="24"/>
              <w:tblW w:w="803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3"/>
              <w:gridCol w:w="3178"/>
              <w:gridCol w:w="3245"/>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3" w:type="dxa"/>
                  <w:vAlign w:val="center"/>
                </w:tcPr>
                <w:p>
                  <w:pPr>
                    <w:pStyle w:val="28"/>
                    <w:bidi w:val="0"/>
                    <w:rPr>
                      <w:b/>
                      <w:bCs/>
                      <w:color w:val="auto"/>
                    </w:rPr>
                  </w:pPr>
                  <w:r>
                    <w:rPr>
                      <w:rFonts w:hint="eastAsia"/>
                      <w:b/>
                      <w:bCs/>
                      <w:color w:val="auto"/>
                    </w:rPr>
                    <w:t>项目</w:t>
                  </w:r>
                </w:p>
              </w:tc>
              <w:tc>
                <w:tcPr>
                  <w:tcW w:w="3178" w:type="dxa"/>
                  <w:vAlign w:val="center"/>
                </w:tcPr>
                <w:p>
                  <w:pPr>
                    <w:pStyle w:val="28"/>
                    <w:bidi w:val="0"/>
                    <w:rPr>
                      <w:rFonts w:hint="eastAsia"/>
                      <w:b/>
                      <w:bCs/>
                      <w:color w:val="auto"/>
                      <w:lang w:eastAsia="zh-CN"/>
                    </w:rPr>
                  </w:pPr>
                  <w:r>
                    <w:rPr>
                      <w:rFonts w:hint="eastAsia"/>
                      <w:b/>
                      <w:bCs/>
                      <w:color w:val="auto"/>
                    </w:rPr>
                    <w:t>榕建筑</w:t>
                  </w:r>
                  <w:r>
                    <w:rPr>
                      <w:rFonts w:hint="eastAsia"/>
                      <w:b/>
                      <w:bCs/>
                      <w:color w:val="auto"/>
                      <w:lang w:eastAsia="zh-CN"/>
                    </w:rPr>
                    <w:t>〔2019〕151号生产环保要求（摘录）</w:t>
                  </w:r>
                </w:p>
              </w:tc>
              <w:tc>
                <w:tcPr>
                  <w:tcW w:w="3245" w:type="dxa"/>
                  <w:vAlign w:val="center"/>
                </w:tcPr>
                <w:p>
                  <w:pPr>
                    <w:pStyle w:val="28"/>
                    <w:bidi w:val="0"/>
                    <w:rPr>
                      <w:b/>
                      <w:bCs/>
                      <w:color w:val="auto"/>
                    </w:rPr>
                  </w:pPr>
                  <w:r>
                    <w:rPr>
                      <w:rFonts w:hint="eastAsia"/>
                      <w:b/>
                      <w:bCs/>
                      <w:color w:val="auto"/>
                    </w:rPr>
                    <w:t>项目情况</w:t>
                  </w:r>
                </w:p>
              </w:tc>
              <w:tc>
                <w:tcPr>
                  <w:tcW w:w="862" w:type="dxa"/>
                  <w:vAlign w:val="center"/>
                </w:tcPr>
                <w:p>
                  <w:pPr>
                    <w:pStyle w:val="28"/>
                    <w:bidi w:val="0"/>
                    <w:rPr>
                      <w:b/>
                      <w:bCs/>
                      <w:color w:val="auto"/>
                    </w:rPr>
                  </w:pPr>
                  <w:r>
                    <w:rPr>
                      <w:rFonts w:hint="eastAsia"/>
                      <w:b/>
                      <w:bCs/>
                      <w:color w:val="auto"/>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3" w:type="dxa"/>
                  <w:vMerge w:val="restart"/>
                  <w:vAlign w:val="center"/>
                </w:tcPr>
                <w:p>
                  <w:pPr>
                    <w:pStyle w:val="28"/>
                    <w:bidi w:val="0"/>
                    <w:rPr>
                      <w:rFonts w:hint="eastAsia"/>
                      <w:color w:val="auto"/>
                      <w:lang w:eastAsia="zh-CN"/>
                    </w:rPr>
                  </w:pPr>
                  <w:r>
                    <w:rPr>
                      <w:rFonts w:hint="eastAsia"/>
                      <w:color w:val="auto"/>
                      <w:lang w:eastAsia="zh-CN"/>
                    </w:rPr>
                    <w:t>噪声</w:t>
                  </w:r>
                </w:p>
                <w:p>
                  <w:pPr>
                    <w:pStyle w:val="28"/>
                    <w:bidi w:val="0"/>
                    <w:rPr>
                      <w:rFonts w:hint="eastAsia"/>
                      <w:color w:val="auto"/>
                      <w:lang w:eastAsia="zh-CN"/>
                    </w:rPr>
                  </w:pPr>
                  <w:r>
                    <w:rPr>
                      <w:rFonts w:hint="eastAsia"/>
                      <w:color w:val="auto"/>
                      <w:lang w:eastAsia="zh-CN"/>
                    </w:rPr>
                    <w:t>防治</w:t>
                  </w:r>
                </w:p>
              </w:tc>
              <w:tc>
                <w:tcPr>
                  <w:tcW w:w="3178" w:type="dxa"/>
                  <w:vAlign w:val="center"/>
                </w:tcPr>
                <w:p>
                  <w:pPr>
                    <w:pStyle w:val="28"/>
                    <w:bidi w:val="0"/>
                    <w:rPr>
                      <w:rFonts w:hint="default"/>
                      <w:color w:val="auto"/>
                      <w:lang w:val="en-US" w:eastAsia="zh-CN"/>
                    </w:rPr>
                  </w:pPr>
                  <w:r>
                    <w:rPr>
                      <w:rFonts w:hint="eastAsia"/>
                      <w:color w:val="auto"/>
                      <w:lang w:eastAsia="zh-CN"/>
                    </w:rPr>
                    <w:t>每日22点至次日7点，车辆进出场禁止鸣喇叭、厂区内禁止使用ERP叫号系统</w:t>
                  </w:r>
                </w:p>
              </w:tc>
              <w:tc>
                <w:tcPr>
                  <w:tcW w:w="3245" w:type="dxa"/>
                  <w:vAlign w:val="center"/>
                </w:tcPr>
                <w:p>
                  <w:pPr>
                    <w:pStyle w:val="28"/>
                    <w:bidi w:val="0"/>
                    <w:rPr>
                      <w:rFonts w:hint="eastAsia"/>
                      <w:color w:val="auto"/>
                      <w:lang w:eastAsia="zh-CN"/>
                    </w:rPr>
                  </w:pPr>
                  <w:r>
                    <w:rPr>
                      <w:rFonts w:hint="eastAsia"/>
                      <w:color w:val="auto"/>
                      <w:lang w:eastAsia="zh-CN"/>
                    </w:rPr>
                    <w:t>项目不涉及夜间生产，车辆不在每日22点至次日7点进出场运输</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753" w:type="dxa"/>
                  <w:vMerge w:val="continue"/>
                  <w:vAlign w:val="center"/>
                </w:tcPr>
                <w:p>
                  <w:pPr>
                    <w:pStyle w:val="28"/>
                    <w:bidi w:val="0"/>
                    <w:rPr>
                      <w:color w:val="auto"/>
                    </w:rPr>
                  </w:pPr>
                </w:p>
              </w:tc>
              <w:tc>
                <w:tcPr>
                  <w:tcW w:w="3178" w:type="dxa"/>
                  <w:vAlign w:val="center"/>
                </w:tcPr>
                <w:p>
                  <w:pPr>
                    <w:pStyle w:val="28"/>
                    <w:bidi w:val="0"/>
                    <w:rPr>
                      <w:color w:val="auto"/>
                    </w:rPr>
                  </w:pPr>
                  <w:r>
                    <w:rPr>
                      <w:rFonts w:hint="eastAsia"/>
                      <w:color w:val="auto"/>
                    </w:rPr>
                    <w:t>禁止使用活塞式空气压缩机</w:t>
                  </w:r>
                  <w:r>
                    <w:rPr>
                      <w:rFonts w:hint="eastAsia"/>
                      <w:color w:val="auto"/>
                      <w:lang w:eastAsia="zh-CN"/>
                    </w:rPr>
                    <w:t>，</w:t>
                  </w:r>
                  <w:r>
                    <w:rPr>
                      <w:rFonts w:hint="eastAsia"/>
                      <w:color w:val="auto"/>
                    </w:rPr>
                    <w:t>推广低噪音螺杆式空气压缩机</w:t>
                  </w:r>
                </w:p>
              </w:tc>
              <w:tc>
                <w:tcPr>
                  <w:tcW w:w="3245" w:type="dxa"/>
                  <w:vAlign w:val="center"/>
                </w:tcPr>
                <w:p>
                  <w:pPr>
                    <w:pStyle w:val="28"/>
                    <w:bidi w:val="0"/>
                    <w:rPr>
                      <w:rFonts w:hint="eastAsia"/>
                      <w:color w:val="auto"/>
                      <w:lang w:eastAsia="zh-CN"/>
                    </w:rPr>
                  </w:pPr>
                  <w:r>
                    <w:rPr>
                      <w:rFonts w:hint="eastAsia"/>
                      <w:color w:val="auto"/>
                      <w:lang w:eastAsia="zh-CN"/>
                    </w:rPr>
                    <w:t>项目使用低噪声空气压缩机。</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70" w:hRule="atLeast"/>
              </w:trPr>
              <w:tc>
                <w:tcPr>
                  <w:tcW w:w="753" w:type="dxa"/>
                  <w:vMerge w:val="restart"/>
                  <w:vAlign w:val="center"/>
                </w:tcPr>
                <w:p>
                  <w:pPr>
                    <w:pStyle w:val="28"/>
                    <w:bidi w:val="0"/>
                    <w:rPr>
                      <w:rFonts w:hint="eastAsia"/>
                      <w:color w:val="auto"/>
                      <w:lang w:eastAsia="zh-CN"/>
                    </w:rPr>
                  </w:pPr>
                  <w:r>
                    <w:rPr>
                      <w:rFonts w:hint="eastAsia"/>
                      <w:color w:val="auto"/>
                      <w:lang w:eastAsia="zh-CN"/>
                    </w:rPr>
                    <w:t>扬尘</w:t>
                  </w:r>
                </w:p>
                <w:p>
                  <w:pPr>
                    <w:pStyle w:val="28"/>
                    <w:bidi w:val="0"/>
                    <w:rPr>
                      <w:rFonts w:hint="eastAsia"/>
                      <w:color w:val="auto"/>
                      <w:lang w:eastAsia="zh-CN"/>
                    </w:rPr>
                  </w:pPr>
                  <w:r>
                    <w:rPr>
                      <w:rFonts w:hint="eastAsia"/>
                      <w:color w:val="auto"/>
                      <w:lang w:eastAsia="zh-CN"/>
                    </w:rPr>
                    <w:t>防治</w:t>
                  </w:r>
                </w:p>
              </w:tc>
              <w:tc>
                <w:tcPr>
                  <w:tcW w:w="3178" w:type="dxa"/>
                  <w:vAlign w:val="center"/>
                </w:tcPr>
                <w:p>
                  <w:pPr>
                    <w:pStyle w:val="28"/>
                    <w:bidi w:val="0"/>
                    <w:rPr>
                      <w:color w:val="auto"/>
                    </w:rPr>
                  </w:pPr>
                  <w:r>
                    <w:rPr>
                      <w:rFonts w:hint="eastAsia"/>
                      <w:color w:val="auto"/>
                    </w:rPr>
                    <w:t>我市所有预拌混凝土搅拌站的主楼、骨料仓和传送装置均应采用钢结构封闭。</w:t>
                  </w:r>
                </w:p>
              </w:tc>
              <w:tc>
                <w:tcPr>
                  <w:tcW w:w="3245" w:type="dxa"/>
                  <w:vAlign w:val="center"/>
                </w:tcPr>
                <w:p>
                  <w:pPr>
                    <w:pStyle w:val="28"/>
                    <w:bidi w:val="0"/>
                    <w:rPr>
                      <w:rFonts w:hint="default"/>
                      <w:color w:val="auto"/>
                      <w:lang w:val="en-US" w:eastAsia="zh-CN"/>
                    </w:rPr>
                  </w:pPr>
                  <w:r>
                    <w:rPr>
                      <w:rFonts w:hint="eastAsia"/>
                      <w:color w:val="auto"/>
                      <w:lang w:eastAsia="zh-CN"/>
                    </w:rPr>
                    <w:t>项目搅拌楼、</w:t>
                  </w:r>
                  <w:r>
                    <w:rPr>
                      <w:rFonts w:hint="eastAsia"/>
                      <w:color w:val="auto"/>
                      <w:lang w:val="en-US" w:eastAsia="zh-CN"/>
                    </w:rPr>
                    <w:t>物料库</w:t>
                  </w:r>
                  <w:r>
                    <w:rPr>
                      <w:rFonts w:hint="eastAsia"/>
                      <w:color w:val="auto"/>
                      <w:lang w:eastAsia="zh-CN"/>
                    </w:rPr>
                    <w:t>、</w:t>
                  </w:r>
                  <w:r>
                    <w:rPr>
                      <w:rFonts w:hint="eastAsia"/>
                      <w:color w:val="auto"/>
                      <w:lang w:val="en-US" w:eastAsia="zh-CN"/>
                    </w:rPr>
                    <w:t>砼结构件浇筑车间</w:t>
                  </w:r>
                  <w:r>
                    <w:rPr>
                      <w:rFonts w:hint="eastAsia"/>
                      <w:color w:val="auto"/>
                      <w:lang w:eastAsia="zh-CN"/>
                    </w:rPr>
                    <w:t>采取钢结构封闭设置，</w:t>
                  </w:r>
                  <w:r>
                    <w:rPr>
                      <w:rFonts w:hint="eastAsia"/>
                      <w:color w:val="auto"/>
                      <w:lang w:val="en-US" w:eastAsia="zh-CN"/>
                    </w:rPr>
                    <w:t>物料输送</w:t>
                  </w:r>
                  <w:r>
                    <w:rPr>
                      <w:rFonts w:hint="eastAsia"/>
                      <w:color w:val="auto"/>
                      <w:lang w:eastAsia="zh-CN"/>
                    </w:rPr>
                    <w:t>装置</w:t>
                  </w:r>
                  <w:r>
                    <w:rPr>
                      <w:rFonts w:hint="eastAsia"/>
                      <w:color w:val="auto"/>
                      <w:lang w:val="en-US" w:eastAsia="zh-CN"/>
                    </w:rPr>
                    <w:t>采用钢结构封闭</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3" w:type="dxa"/>
                  <w:vMerge w:val="continue"/>
                  <w:vAlign w:val="center"/>
                </w:tcPr>
                <w:p>
                  <w:pPr>
                    <w:pStyle w:val="28"/>
                    <w:bidi w:val="0"/>
                    <w:rPr>
                      <w:color w:val="auto"/>
                    </w:rPr>
                  </w:pPr>
                </w:p>
              </w:tc>
              <w:tc>
                <w:tcPr>
                  <w:tcW w:w="3178" w:type="dxa"/>
                  <w:vAlign w:val="center"/>
                </w:tcPr>
                <w:p>
                  <w:pPr>
                    <w:pStyle w:val="28"/>
                    <w:bidi w:val="0"/>
                    <w:rPr>
                      <w:color w:val="auto"/>
                    </w:rPr>
                  </w:pPr>
                  <w:r>
                    <w:rPr>
                      <w:rFonts w:hint="eastAsia"/>
                      <w:color w:val="auto"/>
                    </w:rPr>
                    <w:t>搅拌站主楼、原料罐应设置降尘除尘装置</w:t>
                  </w:r>
                  <w:r>
                    <w:rPr>
                      <w:rFonts w:hint="eastAsia"/>
                      <w:color w:val="auto"/>
                      <w:lang w:eastAsia="zh-CN"/>
                    </w:rPr>
                    <w:t>，</w:t>
                  </w:r>
                  <w:r>
                    <w:rPr>
                      <w:rFonts w:hint="eastAsia"/>
                      <w:color w:val="auto"/>
                    </w:rPr>
                    <w:t>骨料仓、厂区围墙应安装有喷淋、喷雾设备</w:t>
                  </w:r>
                  <w:r>
                    <w:rPr>
                      <w:rFonts w:hint="eastAsia"/>
                      <w:color w:val="auto"/>
                      <w:lang w:eastAsia="zh-CN"/>
                    </w:rPr>
                    <w:t>，</w:t>
                  </w:r>
                  <w:r>
                    <w:rPr>
                      <w:rFonts w:hint="eastAsia"/>
                      <w:color w:val="auto"/>
                    </w:rPr>
                    <w:t>以有效降低粉尘污染</w:t>
                  </w:r>
                </w:p>
              </w:tc>
              <w:tc>
                <w:tcPr>
                  <w:tcW w:w="3245" w:type="dxa"/>
                  <w:vAlign w:val="center"/>
                </w:tcPr>
                <w:p>
                  <w:pPr>
                    <w:pStyle w:val="28"/>
                    <w:bidi w:val="0"/>
                    <w:rPr>
                      <w:rFonts w:hint="eastAsia"/>
                      <w:color w:val="auto"/>
                      <w:lang w:eastAsia="zh-CN"/>
                    </w:rPr>
                  </w:pPr>
                  <w:r>
                    <w:rPr>
                      <w:rFonts w:hint="eastAsia"/>
                      <w:color w:val="auto"/>
                      <w:lang w:eastAsia="zh-CN"/>
                    </w:rPr>
                    <w:t>项目搅拌楼、</w:t>
                  </w:r>
                  <w:r>
                    <w:rPr>
                      <w:rFonts w:hint="eastAsia"/>
                      <w:color w:val="auto"/>
                      <w:lang w:val="en-US" w:eastAsia="zh-CN"/>
                    </w:rPr>
                    <w:t>物料库、砼结构件浇筑车间</w:t>
                  </w:r>
                  <w:r>
                    <w:rPr>
                      <w:rFonts w:hint="eastAsia"/>
                      <w:color w:val="auto"/>
                      <w:lang w:eastAsia="zh-CN"/>
                    </w:rPr>
                    <w:t>设置喷淋降尘装置，水泥及矿粉仓配套</w:t>
                  </w:r>
                  <w:r>
                    <w:rPr>
                      <w:rFonts w:hint="eastAsia"/>
                      <w:color w:val="auto"/>
                    </w:rPr>
                    <w:t>袋式除尘器</w:t>
                  </w:r>
                  <w:r>
                    <w:rPr>
                      <w:rFonts w:hint="eastAsia"/>
                      <w:color w:val="auto"/>
                      <w:lang w:eastAsia="zh-CN"/>
                    </w:rPr>
                    <w:t>，厂区靠近生产及原料堆场侧的</w:t>
                  </w:r>
                  <w:r>
                    <w:rPr>
                      <w:rFonts w:hint="eastAsia"/>
                      <w:color w:val="auto"/>
                      <w:lang w:val="en-US" w:eastAsia="zh-CN"/>
                    </w:rPr>
                    <w:t>北</w:t>
                  </w:r>
                  <w:r>
                    <w:rPr>
                      <w:rFonts w:hint="eastAsia"/>
                      <w:color w:val="auto"/>
                      <w:lang w:eastAsia="zh-CN"/>
                    </w:rPr>
                    <w:t>侧及东</w:t>
                  </w:r>
                  <w:r>
                    <w:rPr>
                      <w:rFonts w:hint="eastAsia"/>
                      <w:color w:val="auto"/>
                      <w:lang w:val="en-US" w:eastAsia="zh-CN"/>
                    </w:rPr>
                    <w:t>北</w:t>
                  </w:r>
                  <w:r>
                    <w:rPr>
                      <w:rFonts w:hint="eastAsia"/>
                      <w:color w:val="auto"/>
                      <w:lang w:eastAsia="zh-CN"/>
                    </w:rPr>
                    <w:t>侧围墙安装喷淋设备，降低粉尘污染</w:t>
                  </w:r>
                </w:p>
              </w:tc>
              <w:tc>
                <w:tcPr>
                  <w:tcW w:w="862" w:type="dxa"/>
                  <w:vAlign w:val="center"/>
                </w:tcPr>
                <w:p>
                  <w:pPr>
                    <w:pStyle w:val="28"/>
                    <w:bidi w:val="0"/>
                    <w:rPr>
                      <w:color w:val="auto"/>
                    </w:rPr>
                  </w:pPr>
                  <w:r>
                    <w:rPr>
                      <w:rFonts w:hint="eastAsia"/>
                      <w:color w:val="auto"/>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53" w:type="dxa"/>
                  <w:vMerge w:val="continue"/>
                  <w:vAlign w:val="center"/>
                </w:tcPr>
                <w:p>
                  <w:pPr>
                    <w:pStyle w:val="28"/>
                    <w:bidi w:val="0"/>
                    <w:rPr>
                      <w:color w:val="auto"/>
                    </w:rPr>
                  </w:pPr>
                </w:p>
              </w:tc>
              <w:tc>
                <w:tcPr>
                  <w:tcW w:w="3178" w:type="dxa"/>
                  <w:vAlign w:val="center"/>
                </w:tcPr>
                <w:p>
                  <w:pPr>
                    <w:pStyle w:val="28"/>
                    <w:bidi w:val="0"/>
                    <w:rPr>
                      <w:rFonts w:hint="eastAsia"/>
                      <w:color w:val="auto"/>
                    </w:rPr>
                  </w:pPr>
                  <w:r>
                    <w:rPr>
                      <w:rFonts w:hint="eastAsia"/>
                      <w:color w:val="auto"/>
                    </w:rPr>
                    <w:t>预拌混凝土搅拌站应配套洗车台</w:t>
                  </w:r>
                  <w:r>
                    <w:rPr>
                      <w:rFonts w:hint="eastAsia"/>
                      <w:color w:val="auto"/>
                      <w:lang w:eastAsia="zh-CN"/>
                    </w:rPr>
                    <w:t>，</w:t>
                  </w:r>
                  <w:r>
                    <w:rPr>
                      <w:rFonts w:hint="eastAsia"/>
                      <w:color w:val="auto"/>
                    </w:rPr>
                    <w:t>用于冲洗运输车</w:t>
                  </w:r>
                  <w:r>
                    <w:rPr>
                      <w:rFonts w:hint="eastAsia"/>
                      <w:color w:val="auto"/>
                      <w:lang w:eastAsia="zh-CN"/>
                    </w:rPr>
                    <w:t>，</w:t>
                  </w:r>
                  <w:r>
                    <w:rPr>
                      <w:rFonts w:hint="eastAsia"/>
                      <w:color w:val="auto"/>
                    </w:rPr>
                    <w:t>做到净车出厂</w:t>
                  </w:r>
                  <w:r>
                    <w:rPr>
                      <w:rFonts w:hint="eastAsia"/>
                      <w:color w:val="auto"/>
                      <w:lang w:eastAsia="zh-CN"/>
                    </w:rPr>
                    <w:t>，</w:t>
                  </w:r>
                  <w:r>
                    <w:rPr>
                      <w:rFonts w:hint="eastAsia"/>
                      <w:color w:val="auto"/>
                    </w:rPr>
                    <w:t>严禁运输车驶离生产厂区时车轮带泥上路。</w:t>
                  </w:r>
                </w:p>
              </w:tc>
              <w:tc>
                <w:tcPr>
                  <w:tcW w:w="3245" w:type="dxa"/>
                  <w:vAlign w:val="center"/>
                </w:tcPr>
                <w:p>
                  <w:pPr>
                    <w:pStyle w:val="28"/>
                    <w:bidi w:val="0"/>
                    <w:rPr>
                      <w:rFonts w:hint="eastAsia"/>
                      <w:color w:val="auto"/>
                      <w:lang w:eastAsia="zh-CN"/>
                    </w:rPr>
                  </w:pPr>
                  <w:r>
                    <w:rPr>
                      <w:rFonts w:hint="eastAsia"/>
                      <w:color w:val="auto"/>
                      <w:lang w:eastAsia="zh-CN"/>
                    </w:rPr>
                    <w:t>项目配套洗车台，用于冲洗运输车，做到净车出厂</w:t>
                  </w:r>
                </w:p>
              </w:tc>
              <w:tc>
                <w:tcPr>
                  <w:tcW w:w="862" w:type="dxa"/>
                  <w:vAlign w:val="center"/>
                </w:tcPr>
                <w:p>
                  <w:pPr>
                    <w:pStyle w:val="28"/>
                    <w:bidi w:val="0"/>
                    <w:rPr>
                      <w:rFonts w:hint="eastAsia"/>
                      <w:color w:val="auto"/>
                      <w:lang w:eastAsia="zh-CN"/>
                    </w:rPr>
                  </w:pPr>
                  <w:r>
                    <w:rPr>
                      <w:rFonts w:hint="eastAsia"/>
                      <w:color w:val="auto"/>
                      <w:lang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753" w:type="dxa"/>
                  <w:vAlign w:val="center"/>
                </w:tcPr>
                <w:p>
                  <w:pPr>
                    <w:pStyle w:val="28"/>
                    <w:bidi w:val="0"/>
                    <w:rPr>
                      <w:rFonts w:hint="eastAsia"/>
                      <w:color w:val="auto"/>
                      <w:lang w:eastAsia="zh-CN"/>
                    </w:rPr>
                  </w:pPr>
                  <w:r>
                    <w:rPr>
                      <w:rFonts w:hint="eastAsia"/>
                      <w:color w:val="auto"/>
                      <w:lang w:eastAsia="zh-CN"/>
                    </w:rPr>
                    <w:t>废水</w:t>
                  </w:r>
                </w:p>
                <w:p>
                  <w:pPr>
                    <w:pStyle w:val="28"/>
                    <w:bidi w:val="0"/>
                    <w:rPr>
                      <w:rFonts w:hint="eastAsia"/>
                      <w:color w:val="auto"/>
                      <w:lang w:eastAsia="zh-CN"/>
                    </w:rPr>
                  </w:pPr>
                  <w:r>
                    <w:rPr>
                      <w:rFonts w:hint="eastAsia"/>
                      <w:color w:val="auto"/>
                      <w:lang w:eastAsia="zh-CN"/>
                    </w:rPr>
                    <w:t>排放</w:t>
                  </w:r>
                </w:p>
              </w:tc>
              <w:tc>
                <w:tcPr>
                  <w:tcW w:w="3178" w:type="dxa"/>
                  <w:vAlign w:val="center"/>
                </w:tcPr>
                <w:p>
                  <w:pPr>
                    <w:pStyle w:val="28"/>
                    <w:bidi w:val="0"/>
                    <w:rPr>
                      <w:rFonts w:hint="eastAsia"/>
                      <w:color w:val="auto"/>
                      <w:lang w:eastAsia="zh-CN"/>
                    </w:rPr>
                  </w:pPr>
                  <w:r>
                    <w:rPr>
                      <w:rFonts w:hint="eastAsia"/>
                      <w:color w:val="auto"/>
                      <w:lang w:eastAsia="zh-CN"/>
                    </w:rPr>
                    <w:t>厂区内的生产用水应设有循环使用系统，确保污水不外排，定期收集沉淀的泥浆废料，循环利用</w:t>
                  </w:r>
                </w:p>
              </w:tc>
              <w:tc>
                <w:tcPr>
                  <w:tcW w:w="3245" w:type="dxa"/>
                  <w:vAlign w:val="center"/>
                </w:tcPr>
                <w:p>
                  <w:pPr>
                    <w:pStyle w:val="28"/>
                    <w:bidi w:val="0"/>
                    <w:rPr>
                      <w:rFonts w:hint="eastAsia"/>
                      <w:color w:val="auto"/>
                      <w:lang w:eastAsia="zh-CN"/>
                    </w:rPr>
                  </w:pPr>
                  <w:r>
                    <w:rPr>
                      <w:rFonts w:hint="eastAsia"/>
                      <w:color w:val="auto"/>
                      <w:lang w:eastAsia="zh-CN"/>
                    </w:rPr>
                    <w:t>项目设置生产废水处理系统，对生产废水收集处理后全部回用，不外排。沉淀泥渣回用于生产。</w:t>
                  </w:r>
                </w:p>
              </w:tc>
              <w:tc>
                <w:tcPr>
                  <w:tcW w:w="862" w:type="dxa"/>
                  <w:vAlign w:val="center"/>
                </w:tcPr>
                <w:p>
                  <w:pPr>
                    <w:pStyle w:val="28"/>
                    <w:bidi w:val="0"/>
                    <w:rPr>
                      <w:color w:val="auto"/>
                    </w:rPr>
                  </w:pPr>
                  <w:r>
                    <w:rPr>
                      <w:rFonts w:hint="eastAsia"/>
                      <w:color w:val="auto"/>
                    </w:rPr>
                    <w:t>符合</w:t>
                  </w:r>
                </w:p>
              </w:tc>
            </w:tr>
          </w:tbl>
          <w:p>
            <w:pPr>
              <w:bidi w:val="0"/>
              <w:rPr>
                <w:rFonts w:hint="eastAsia"/>
                <w:b/>
                <w:bCs/>
                <w:lang w:val="en-US" w:eastAsia="zh-CN"/>
              </w:rPr>
            </w:pPr>
            <w:r>
              <w:rPr>
                <w:rFonts w:hint="eastAsia"/>
                <w:b/>
                <w:bCs/>
                <w:lang w:val="en-US" w:eastAsia="zh-CN"/>
              </w:rPr>
              <w:t>7、与《福建省机制砂行业企业规范》（闽工信联法规【2021】92号）符合性分析</w:t>
            </w:r>
          </w:p>
          <w:p>
            <w:pPr>
              <w:pStyle w:val="33"/>
              <w:bidi w:val="0"/>
              <w:rPr>
                <w:rFonts w:hint="eastAsia"/>
                <w:lang w:val="en-US" w:eastAsia="zh-CN"/>
              </w:rPr>
            </w:pPr>
            <w:r>
              <w:rPr>
                <w:rFonts w:hint="eastAsia"/>
                <w:lang w:val="en-US" w:eastAsia="zh-CN"/>
              </w:rPr>
              <w:t>表1-6 与《福建省机制砂行业企业规范》（闽工信联法规【2021】92号）符合性分析表</w:t>
            </w:r>
          </w:p>
          <w:tbl>
            <w:tblPr>
              <w:tblStyle w:val="25"/>
              <w:tblW w:w="803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0"/>
              <w:gridCol w:w="3369"/>
              <w:gridCol w:w="2890"/>
              <w:gridCol w:w="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tcBorders>
                    <w:tl2br w:val="nil"/>
                    <w:tr2bl w:val="nil"/>
                  </w:tcBorders>
                  <w:vAlign w:val="center"/>
                </w:tcPr>
                <w:p>
                  <w:pPr>
                    <w:pStyle w:val="28"/>
                    <w:jc w:val="center"/>
                    <w:rPr>
                      <w:rFonts w:hint="default"/>
                      <w:vertAlign w:val="baseline"/>
                      <w:lang w:val="en-US" w:eastAsia="zh-CN"/>
                    </w:rPr>
                  </w:pPr>
                  <w:r>
                    <w:rPr>
                      <w:rFonts w:hint="eastAsia"/>
                      <w:vertAlign w:val="baseline"/>
                      <w:lang w:val="en-US" w:eastAsia="zh-CN"/>
                    </w:rPr>
                    <w:t>“规范”要求</w:t>
                  </w:r>
                </w:p>
              </w:tc>
              <w:tc>
                <w:tcPr>
                  <w:tcW w:w="3369" w:type="dxa"/>
                  <w:tcBorders>
                    <w:tl2br w:val="nil"/>
                    <w:tr2bl w:val="nil"/>
                  </w:tcBorders>
                  <w:vAlign w:val="center"/>
                </w:tcPr>
                <w:p>
                  <w:pPr>
                    <w:pStyle w:val="28"/>
                    <w:jc w:val="center"/>
                    <w:rPr>
                      <w:rFonts w:hint="default"/>
                      <w:vertAlign w:val="baseline"/>
                      <w:lang w:val="en-US" w:eastAsia="zh-CN"/>
                    </w:rPr>
                  </w:pPr>
                  <w:r>
                    <w:rPr>
                      <w:rFonts w:hint="eastAsia"/>
                      <w:vertAlign w:val="baseline"/>
                      <w:lang w:val="en-US" w:eastAsia="zh-CN"/>
                    </w:rPr>
                    <w:t>细则</w:t>
                  </w:r>
                </w:p>
              </w:tc>
              <w:tc>
                <w:tcPr>
                  <w:tcW w:w="2890" w:type="dxa"/>
                  <w:tcBorders>
                    <w:tl2br w:val="nil"/>
                    <w:tr2bl w:val="nil"/>
                  </w:tcBorders>
                  <w:vAlign w:val="center"/>
                </w:tcPr>
                <w:p>
                  <w:pPr>
                    <w:pStyle w:val="28"/>
                    <w:jc w:val="center"/>
                    <w:rPr>
                      <w:rFonts w:hint="default"/>
                      <w:vertAlign w:val="baseline"/>
                      <w:lang w:val="en-US" w:eastAsia="zh-CN"/>
                    </w:rPr>
                  </w:pPr>
                  <w:r>
                    <w:rPr>
                      <w:rFonts w:hint="eastAsia"/>
                      <w:vertAlign w:val="baseline"/>
                      <w:lang w:val="en-US" w:eastAsia="zh-CN"/>
                    </w:rPr>
                    <w:t>本项目</w:t>
                  </w:r>
                </w:p>
              </w:tc>
              <w:tc>
                <w:tcPr>
                  <w:tcW w:w="862" w:type="dxa"/>
                  <w:tcBorders>
                    <w:tl2br w:val="nil"/>
                    <w:tr2bl w:val="nil"/>
                  </w:tcBorders>
                  <w:vAlign w:val="center"/>
                </w:tcPr>
                <w:p>
                  <w:pPr>
                    <w:pStyle w:val="28"/>
                    <w:jc w:val="center"/>
                    <w:rPr>
                      <w:rFonts w:hint="default"/>
                      <w:vertAlign w:val="baseline"/>
                      <w:lang w:val="en-US" w:eastAsia="zh-CN"/>
                    </w:rPr>
                  </w:pPr>
                  <w:r>
                    <w:rPr>
                      <w:rFonts w:hint="eastAsia"/>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restart"/>
                  <w:tcBorders>
                    <w:tl2br w:val="nil"/>
                    <w:tr2bl w:val="nil"/>
                  </w:tcBorders>
                  <w:vAlign w:val="center"/>
                </w:tcPr>
                <w:p>
                  <w:pPr>
                    <w:pStyle w:val="28"/>
                    <w:bidi w:val="0"/>
                    <w:jc w:val="center"/>
                    <w:rPr>
                      <w:rFonts w:hint="default"/>
                      <w:lang w:val="en-US" w:eastAsia="zh-CN"/>
                    </w:rPr>
                  </w:pPr>
                  <w:r>
                    <w:rPr>
                      <w:rFonts w:hint="default"/>
                      <w:lang w:val="en-US" w:eastAsia="zh-CN"/>
                    </w:rPr>
                    <w:t>生态环境保护</w:t>
                  </w: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（十六）机制砂项目的建设应当依法办理环评审批手续，项目实施应当采取严格的环境保护措施，制定相关环境保护管理体系文件和环境突发事件应急预案等。</w:t>
                  </w:r>
                </w:p>
              </w:tc>
              <w:tc>
                <w:tcPr>
                  <w:tcW w:w="2890" w:type="dxa"/>
                  <w:tcBorders>
                    <w:tl2br w:val="nil"/>
                    <w:tr2bl w:val="nil"/>
                  </w:tcBorders>
                  <w:vAlign w:val="center"/>
                </w:tcPr>
                <w:p>
                  <w:pPr>
                    <w:pStyle w:val="28"/>
                    <w:bidi w:val="0"/>
                    <w:jc w:val="center"/>
                    <w:rPr>
                      <w:rFonts w:hint="default"/>
                      <w:lang w:val="en-US" w:eastAsia="zh-CN"/>
                    </w:rPr>
                  </w:pPr>
                  <w:r>
                    <w:rPr>
                      <w:rFonts w:hint="eastAsia"/>
                      <w:lang w:val="en-US" w:eastAsia="zh-CN"/>
                    </w:rPr>
                    <w:t>本项目为新建项目，正依照相关规定办理环评手续，同时对后续的生产过程拟制定相应的环境保护管理体系文件和环境突发事件应急预案</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continue"/>
                  <w:tcBorders>
                    <w:tl2br w:val="nil"/>
                    <w:tr2bl w:val="nil"/>
                  </w:tcBorders>
                  <w:vAlign w:val="center"/>
                </w:tcPr>
                <w:p>
                  <w:pPr>
                    <w:pStyle w:val="28"/>
                    <w:bidi w:val="0"/>
                    <w:jc w:val="center"/>
                    <w:rPr>
                      <w:rFonts w:hint="default"/>
                      <w:lang w:val="en-US" w:eastAsia="zh-CN"/>
                    </w:rPr>
                  </w:pP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（十七）机制砂企业湿法生产线应配置水处理循环系统，循环用水。生产厂区污水排放符合《污水综合排放标准》（GB8978）要求。</w:t>
                  </w:r>
                </w:p>
              </w:tc>
              <w:tc>
                <w:tcPr>
                  <w:tcW w:w="2890" w:type="dxa"/>
                  <w:tcBorders>
                    <w:tl2br w:val="nil"/>
                    <w:tr2bl w:val="nil"/>
                  </w:tcBorders>
                  <w:vAlign w:val="center"/>
                </w:tcPr>
                <w:p>
                  <w:pPr>
                    <w:pStyle w:val="28"/>
                    <w:bidi w:val="0"/>
                    <w:jc w:val="center"/>
                    <w:rPr>
                      <w:rFonts w:hint="default"/>
                      <w:lang w:val="en-US" w:eastAsia="zh-CN"/>
                    </w:rPr>
                  </w:pPr>
                  <w:r>
                    <w:rPr>
                      <w:rFonts w:hint="eastAsia"/>
                      <w:lang w:val="en-US" w:eastAsia="zh-CN"/>
                    </w:rPr>
                    <w:t>本项目采用湿法制砂，已规划配套生产废水循环系统，不进行外排。企业生产过程中不产生生产废水。</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continue"/>
                  <w:tcBorders>
                    <w:tl2br w:val="nil"/>
                    <w:tr2bl w:val="nil"/>
                  </w:tcBorders>
                  <w:vAlign w:val="center"/>
                </w:tcPr>
                <w:p>
                  <w:pPr>
                    <w:pStyle w:val="28"/>
                    <w:bidi w:val="0"/>
                    <w:jc w:val="center"/>
                    <w:rPr>
                      <w:rFonts w:hint="default"/>
                      <w:lang w:val="en-US" w:eastAsia="zh-CN"/>
                    </w:rPr>
                  </w:pP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（十八）机制砂企业生产线应配有收尘系统，粉尘污染防治应符合下列规定：</w:t>
                  </w:r>
                </w:p>
                <w:p>
                  <w:pPr>
                    <w:pStyle w:val="28"/>
                    <w:bidi w:val="0"/>
                    <w:jc w:val="center"/>
                    <w:rPr>
                      <w:rFonts w:hint="default"/>
                      <w:lang w:val="en-US" w:eastAsia="zh-CN"/>
                    </w:rPr>
                  </w:pPr>
                  <w:r>
                    <w:rPr>
                      <w:rFonts w:hint="default"/>
                      <w:lang w:val="en-US" w:eastAsia="zh-CN"/>
                    </w:rPr>
                    <w:t>1.机制砂工厂应对破碎、筛分及输送等生产环节采取封闭措施；破碎和筛分等工序、原料堆场、成品库（仓）等区域实现厂房全封闭，不得露天作业。</w:t>
                  </w:r>
                </w:p>
                <w:p>
                  <w:pPr>
                    <w:pStyle w:val="28"/>
                    <w:bidi w:val="0"/>
                    <w:jc w:val="center"/>
                    <w:rPr>
                      <w:rFonts w:hint="default"/>
                      <w:lang w:val="en-US" w:eastAsia="zh-CN"/>
                    </w:rPr>
                  </w:pPr>
                  <w:r>
                    <w:rPr>
                      <w:rFonts w:hint="default"/>
                      <w:lang w:val="en-US" w:eastAsia="zh-CN"/>
                    </w:rPr>
                    <w:t>2.机制砂工厂原料、产品应当封闭堆放或采取有效覆盖措施，应对破碎、筛分及输送转运站等扬尘点设置除尘、抑尘、收尘装置，粉尘排放浓度应符合《大气污染物综合排放标准》（GB16297）的有关规定，并满足厂区所在地区的环保要求。3.对无组织排放的扬尘场所，应采取喷雾、洒水、封闭等防尘措施。</w:t>
                  </w:r>
                </w:p>
              </w:tc>
              <w:tc>
                <w:tcPr>
                  <w:tcW w:w="2890" w:type="dxa"/>
                  <w:tcBorders>
                    <w:tl2br w:val="nil"/>
                    <w:tr2bl w:val="nil"/>
                  </w:tcBorders>
                  <w:vAlign w:val="center"/>
                </w:tcPr>
                <w:p>
                  <w:pPr>
                    <w:pStyle w:val="28"/>
                    <w:bidi w:val="0"/>
                    <w:jc w:val="center"/>
                    <w:rPr>
                      <w:rFonts w:hint="eastAsia"/>
                      <w:lang w:val="en-US" w:eastAsia="zh-CN"/>
                    </w:rPr>
                  </w:pPr>
                  <w:r>
                    <w:rPr>
                      <w:rFonts w:hint="eastAsia"/>
                      <w:lang w:val="en-US" w:eastAsia="zh-CN"/>
                    </w:rPr>
                    <w:t>1.本项目机制砂产线对应破碎、筛分采用封闭式机械，输送环节采用传送带上方加装垂帘密闭，同时与机制砂相关的全部产线均放置于密闭厂房内，内部采用喷淋降尘，防止粉尘外逸。</w:t>
                  </w:r>
                </w:p>
                <w:p>
                  <w:pPr>
                    <w:pStyle w:val="28"/>
                    <w:bidi w:val="0"/>
                    <w:jc w:val="center"/>
                    <w:rPr>
                      <w:rFonts w:hint="eastAsia"/>
                      <w:lang w:val="en-US" w:eastAsia="zh-CN"/>
                    </w:rPr>
                  </w:pPr>
                  <w:r>
                    <w:rPr>
                      <w:rFonts w:hint="eastAsia"/>
                      <w:lang w:val="en-US" w:eastAsia="zh-CN"/>
                    </w:rPr>
                    <w:t>2.本项目机制砂产线原料于产品均位于密闭式厂房内，并设置喷淋装置进行抑尘，经计算，粉尘排放浓度可以符合有关要求。</w:t>
                  </w:r>
                </w:p>
                <w:p>
                  <w:pPr>
                    <w:pStyle w:val="28"/>
                    <w:bidi w:val="0"/>
                    <w:jc w:val="center"/>
                    <w:rPr>
                      <w:rFonts w:hint="default"/>
                      <w:lang w:val="en-US" w:eastAsia="zh-CN"/>
                    </w:rPr>
                  </w:pPr>
                  <w:r>
                    <w:rPr>
                      <w:rFonts w:hint="eastAsia"/>
                      <w:lang w:val="en-US" w:eastAsia="zh-CN"/>
                    </w:rPr>
                    <w:t>3.本项目拟</w:t>
                  </w:r>
                  <w:r>
                    <w:rPr>
                      <w:rFonts w:hint="default"/>
                      <w:lang w:val="en-US" w:eastAsia="zh-CN"/>
                    </w:rPr>
                    <w:t>对无组织排放的扬尘场所，应采取喷雾、洒水、封闭等防尘措施。</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continue"/>
                  <w:tcBorders>
                    <w:tl2br w:val="nil"/>
                    <w:tr2bl w:val="nil"/>
                  </w:tcBorders>
                  <w:vAlign w:val="center"/>
                </w:tcPr>
                <w:p>
                  <w:pPr>
                    <w:pStyle w:val="28"/>
                    <w:bidi w:val="0"/>
                    <w:jc w:val="center"/>
                    <w:rPr>
                      <w:rFonts w:hint="default"/>
                      <w:lang w:val="en-US" w:eastAsia="zh-CN"/>
                    </w:rPr>
                  </w:pP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（十九）机制砂生产线须配置隔声、消声、减振、隔振等降噪措施，工厂噪音应符合《工业企业厂界环境噪声排放标准》（GB12348）。</w:t>
                  </w:r>
                </w:p>
              </w:tc>
              <w:tc>
                <w:tcPr>
                  <w:tcW w:w="2890" w:type="dxa"/>
                  <w:tcBorders>
                    <w:tl2br w:val="nil"/>
                    <w:tr2bl w:val="nil"/>
                  </w:tcBorders>
                  <w:vAlign w:val="center"/>
                </w:tcPr>
                <w:p>
                  <w:pPr>
                    <w:pStyle w:val="28"/>
                    <w:bidi w:val="0"/>
                    <w:jc w:val="center"/>
                    <w:rPr>
                      <w:rFonts w:hint="default"/>
                      <w:lang w:val="en-US" w:eastAsia="zh-CN"/>
                    </w:rPr>
                  </w:pPr>
                  <w:r>
                    <w:rPr>
                      <w:rFonts w:hint="eastAsia"/>
                      <w:lang w:val="en-US" w:eastAsia="zh-CN"/>
                    </w:rPr>
                    <w:t>本项目机制砂产线的设备均配置有减震降噪的措施，密闭厂房也可减少噪声的向外传播。经计算，厂界噪声可符合</w:t>
                  </w:r>
                  <w:r>
                    <w:rPr>
                      <w:rFonts w:hint="default"/>
                      <w:lang w:val="en-US" w:eastAsia="zh-CN"/>
                    </w:rPr>
                    <w:t>《工业企业厂界环境噪声排放标准》（GB12348）</w:t>
                  </w:r>
                  <w:r>
                    <w:rPr>
                      <w:rFonts w:hint="eastAsia"/>
                      <w:lang w:val="en-US" w:eastAsia="zh-CN"/>
                    </w:rPr>
                    <w:t>相关规定</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continue"/>
                  <w:tcBorders>
                    <w:tl2br w:val="nil"/>
                    <w:tr2bl w:val="nil"/>
                  </w:tcBorders>
                  <w:vAlign w:val="center"/>
                </w:tcPr>
                <w:p>
                  <w:pPr>
                    <w:pStyle w:val="28"/>
                    <w:bidi w:val="0"/>
                    <w:jc w:val="center"/>
                    <w:rPr>
                      <w:rFonts w:hint="default"/>
                      <w:lang w:val="en-US" w:eastAsia="zh-CN"/>
                    </w:rPr>
                  </w:pP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（二十）机制砂生产产生的未综合利用的固废应按有关规范集中处置；产生的废油、废油桶等危险废物必须交由具备相应资质的单位进行处理。</w:t>
                  </w:r>
                </w:p>
              </w:tc>
              <w:tc>
                <w:tcPr>
                  <w:tcW w:w="2890" w:type="dxa"/>
                  <w:tcBorders>
                    <w:tl2br w:val="nil"/>
                    <w:tr2bl w:val="nil"/>
                  </w:tcBorders>
                  <w:vAlign w:val="center"/>
                </w:tcPr>
                <w:p>
                  <w:pPr>
                    <w:pStyle w:val="28"/>
                    <w:bidi w:val="0"/>
                    <w:jc w:val="center"/>
                    <w:rPr>
                      <w:rFonts w:hint="default"/>
                      <w:lang w:val="en-US" w:eastAsia="zh-CN"/>
                    </w:rPr>
                  </w:pPr>
                  <w:r>
                    <w:rPr>
                      <w:rFonts w:hint="eastAsia"/>
                      <w:lang w:val="en-US" w:eastAsia="zh-CN"/>
                    </w:rPr>
                    <w:t>本项目拟对未综合利用危固废进行临时存放，后续委托具有专门资质的企业进行处理</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910" w:type="dxa"/>
                  <w:vMerge w:val="continue"/>
                  <w:tcBorders>
                    <w:tl2br w:val="nil"/>
                    <w:tr2bl w:val="nil"/>
                  </w:tcBorders>
                  <w:vAlign w:val="center"/>
                </w:tcPr>
                <w:p>
                  <w:pPr>
                    <w:pStyle w:val="28"/>
                    <w:bidi w:val="0"/>
                    <w:jc w:val="center"/>
                    <w:rPr>
                      <w:rFonts w:hint="default"/>
                      <w:lang w:val="en-US" w:eastAsia="zh-CN"/>
                    </w:rPr>
                  </w:pPr>
                </w:p>
              </w:tc>
              <w:tc>
                <w:tcPr>
                  <w:tcW w:w="3369" w:type="dxa"/>
                  <w:tcBorders>
                    <w:tl2br w:val="nil"/>
                    <w:tr2bl w:val="nil"/>
                  </w:tcBorders>
                  <w:vAlign w:val="center"/>
                </w:tcPr>
                <w:p>
                  <w:pPr>
                    <w:pStyle w:val="28"/>
                    <w:bidi w:val="0"/>
                    <w:jc w:val="center"/>
                    <w:rPr>
                      <w:rFonts w:hint="default"/>
                      <w:lang w:val="en-US" w:eastAsia="zh-CN"/>
                    </w:rPr>
                  </w:pPr>
                  <w:r>
                    <w:rPr>
                      <w:rFonts w:hint="default"/>
                      <w:lang w:val="en-US" w:eastAsia="zh-CN"/>
                    </w:rPr>
                    <w:t>（二十一）机制砂企业两年内未发生重大或者特别重大环境污染事件和生态破坏事件。</w:t>
                  </w:r>
                </w:p>
              </w:tc>
              <w:tc>
                <w:tcPr>
                  <w:tcW w:w="2890" w:type="dxa"/>
                  <w:tcBorders>
                    <w:tl2br w:val="nil"/>
                    <w:tr2bl w:val="nil"/>
                  </w:tcBorders>
                  <w:vAlign w:val="center"/>
                </w:tcPr>
                <w:p>
                  <w:pPr>
                    <w:pStyle w:val="28"/>
                    <w:bidi w:val="0"/>
                    <w:jc w:val="center"/>
                    <w:rPr>
                      <w:rFonts w:hint="default"/>
                      <w:lang w:val="en-US" w:eastAsia="zh-CN"/>
                    </w:rPr>
                  </w:pPr>
                  <w:r>
                    <w:rPr>
                      <w:rFonts w:hint="eastAsia"/>
                      <w:lang w:val="en-US" w:eastAsia="zh-CN"/>
                    </w:rPr>
                    <w:t>本项目改扩建前未有</w:t>
                  </w:r>
                  <w:r>
                    <w:rPr>
                      <w:rFonts w:hint="default"/>
                      <w:lang w:val="en-US" w:eastAsia="zh-CN"/>
                    </w:rPr>
                    <w:t>重大或者特别重大环境污染事件和生态破坏事件</w:t>
                  </w:r>
                  <w:r>
                    <w:rPr>
                      <w:rFonts w:hint="eastAsia"/>
                      <w:lang w:val="en-US" w:eastAsia="zh-CN"/>
                    </w:rPr>
                    <w:t>发生</w:t>
                  </w:r>
                </w:p>
              </w:tc>
              <w:tc>
                <w:tcPr>
                  <w:tcW w:w="862" w:type="dxa"/>
                  <w:tcBorders>
                    <w:tl2br w:val="nil"/>
                    <w:tr2bl w:val="nil"/>
                  </w:tcBorders>
                  <w:vAlign w:val="center"/>
                </w:tcPr>
                <w:p>
                  <w:pPr>
                    <w:pStyle w:val="28"/>
                    <w:bidi w:val="0"/>
                    <w:jc w:val="center"/>
                    <w:rPr>
                      <w:rFonts w:hint="default"/>
                      <w:lang w:val="en-US" w:eastAsia="zh-CN"/>
                    </w:rPr>
                  </w:pPr>
                  <w:r>
                    <w:rPr>
                      <w:rFonts w:hint="eastAsia"/>
                      <w:lang w:val="en-US" w:eastAsia="zh-CN"/>
                    </w:rPr>
                    <w:t>符合</w:t>
                  </w:r>
                </w:p>
              </w:tc>
            </w:tr>
          </w:tbl>
          <w:p>
            <w:pPr>
              <w:pStyle w:val="28"/>
              <w:rPr>
                <w:rFonts w:hint="default"/>
                <w:lang w:val="en-US" w:eastAsia="zh-CN"/>
              </w:rPr>
            </w:pPr>
          </w:p>
          <w:p>
            <w:pPr>
              <w:bidi w:val="0"/>
              <w:rPr>
                <w:rFonts w:hint="default"/>
                <w:b/>
                <w:bCs/>
                <w:color w:val="auto"/>
                <w:lang w:val="en-US" w:eastAsia="zh-CN"/>
              </w:rPr>
            </w:pPr>
            <w:r>
              <w:rPr>
                <w:rFonts w:hint="eastAsia"/>
                <w:b/>
                <w:bCs/>
                <w:color w:val="auto"/>
                <w:lang w:val="en-US" w:eastAsia="zh-CN"/>
              </w:rPr>
              <w:t>8、与《环境空气细颗粒物污染综合防治技术政策》（生态环境部公告2013年第59号）符合性分析</w:t>
            </w:r>
          </w:p>
          <w:p>
            <w:pPr>
              <w:pStyle w:val="33"/>
              <w:bidi w:val="0"/>
              <w:rPr>
                <w:rFonts w:hint="default"/>
                <w:color w:val="auto"/>
                <w:lang w:val="en-US"/>
              </w:rPr>
            </w:pPr>
            <w:r>
              <w:rPr>
                <w:rFonts w:hint="eastAsia"/>
                <w:color w:val="auto"/>
              </w:rPr>
              <w:t>表</w:t>
            </w:r>
            <w:r>
              <w:rPr>
                <w:rFonts w:hint="eastAsia"/>
                <w:color w:val="auto"/>
                <w:lang w:val="en-US" w:eastAsia="zh-CN"/>
              </w:rPr>
              <w:t>1-7 与《环境空气细颗粒物污染综合防治技术政策》符合性分析表</w:t>
            </w:r>
          </w:p>
          <w:tbl>
            <w:tblPr>
              <w:tblStyle w:val="24"/>
              <w:tblW w:w="80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25"/>
              <w:gridCol w:w="2860"/>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25" w:type="dxa"/>
                  <w:tcBorders>
                    <w:tl2br w:val="nil"/>
                    <w:tr2bl w:val="nil"/>
                  </w:tcBorders>
                  <w:vAlign w:val="center"/>
                </w:tcPr>
                <w:p>
                  <w:pPr>
                    <w:pStyle w:val="28"/>
                    <w:bidi w:val="0"/>
                    <w:rPr>
                      <w:rFonts w:hint="default"/>
                      <w:b/>
                      <w:bCs/>
                      <w:color w:val="auto"/>
                      <w:lang w:val="en-US" w:eastAsia="zh-CN"/>
                    </w:rPr>
                  </w:pPr>
                  <w:r>
                    <w:rPr>
                      <w:rFonts w:hint="default"/>
                      <w:b/>
                      <w:bCs/>
                      <w:color w:val="auto"/>
                      <w:lang w:val="en-US" w:eastAsia="zh-CN"/>
                    </w:rPr>
                    <w:t>“</w:t>
                  </w:r>
                  <w:r>
                    <w:rPr>
                      <w:rFonts w:hint="eastAsia"/>
                      <w:b/>
                      <w:bCs/>
                      <w:color w:val="auto"/>
                      <w:lang w:val="en-US" w:eastAsia="zh-CN"/>
                    </w:rPr>
                    <w:t>防治技术政策</w:t>
                  </w:r>
                  <w:r>
                    <w:rPr>
                      <w:rFonts w:hint="default"/>
                      <w:b/>
                      <w:bCs/>
                      <w:color w:val="auto"/>
                      <w:lang w:val="en-US" w:eastAsia="zh-CN"/>
                    </w:rPr>
                    <w:t>”要求</w:t>
                  </w:r>
                </w:p>
              </w:tc>
              <w:tc>
                <w:tcPr>
                  <w:tcW w:w="2860" w:type="dxa"/>
                  <w:tcBorders>
                    <w:tl2br w:val="nil"/>
                    <w:tr2bl w:val="nil"/>
                  </w:tcBorders>
                  <w:vAlign w:val="center"/>
                </w:tcPr>
                <w:p>
                  <w:pPr>
                    <w:pStyle w:val="28"/>
                    <w:bidi w:val="0"/>
                    <w:rPr>
                      <w:rFonts w:hint="default"/>
                      <w:b/>
                      <w:bCs/>
                      <w:color w:val="auto"/>
                      <w:lang w:val="en-US" w:eastAsia="zh-CN"/>
                    </w:rPr>
                  </w:pPr>
                  <w:r>
                    <w:rPr>
                      <w:rFonts w:hint="default"/>
                      <w:b/>
                      <w:bCs/>
                      <w:color w:val="auto"/>
                      <w:lang w:val="en-US" w:eastAsia="zh-CN"/>
                    </w:rPr>
                    <w:t>本项目</w:t>
                  </w:r>
                </w:p>
              </w:tc>
              <w:tc>
                <w:tcPr>
                  <w:tcW w:w="948" w:type="dxa"/>
                  <w:tcBorders>
                    <w:tl2br w:val="nil"/>
                    <w:tr2bl w:val="nil"/>
                  </w:tcBorders>
                  <w:vAlign w:val="center"/>
                </w:tcPr>
                <w:p>
                  <w:pPr>
                    <w:pStyle w:val="28"/>
                    <w:bidi w:val="0"/>
                    <w:rPr>
                      <w:rFonts w:hint="default"/>
                      <w:b/>
                      <w:bCs/>
                      <w:color w:val="auto"/>
                      <w:lang w:val="en-US" w:eastAsia="zh-CN"/>
                    </w:rPr>
                  </w:pPr>
                  <w:r>
                    <w:rPr>
                      <w:rFonts w:hint="default"/>
                      <w:b/>
                      <w:bCs/>
                      <w:color w:val="auto"/>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508" w:hRule="atLeast"/>
              </w:trPr>
              <w:tc>
                <w:tcPr>
                  <w:tcW w:w="4225" w:type="dxa"/>
                  <w:tcBorders>
                    <w:tl2br w:val="nil"/>
                    <w:tr2bl w:val="nil"/>
                  </w:tcBorders>
                  <w:vAlign w:val="center"/>
                </w:tcPr>
                <w:p>
                  <w:pPr>
                    <w:pStyle w:val="28"/>
                    <w:bidi w:val="0"/>
                    <w:rPr>
                      <w:rFonts w:hint="default" w:ascii="Times New Roman" w:hAnsi="Times New Roman" w:eastAsia="宋体" w:cs="Times New Roman"/>
                      <w:color w:val="auto"/>
                      <w:szCs w:val="21"/>
                      <w:lang w:val="en-US" w:eastAsia="zh-CN"/>
                    </w:rPr>
                  </w:pPr>
                  <w:r>
                    <w:rPr>
                      <w:rFonts w:hint="eastAsia"/>
                      <w:color w:val="auto"/>
                      <w:lang w:val="en-US" w:eastAsia="zh-CN"/>
                    </w:rPr>
                    <w:t>应加强对各类污染源的监管，确保污染治理设施稳定运行，切实落实企业环保责任。鼓励采用低能耗、低污染的生产工艺，提高各个行业的清洁生产水平，降低污染物产生量。</w:t>
                  </w:r>
                </w:p>
              </w:tc>
              <w:tc>
                <w:tcPr>
                  <w:tcW w:w="2860"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项目将严格要求，采用低能耗低污染生产工艺，对环保设施进行维护管理，确保污染治理设施稳定运行。</w:t>
                  </w:r>
                </w:p>
              </w:tc>
              <w:tc>
                <w:tcPr>
                  <w:tcW w:w="948" w:type="dxa"/>
                  <w:tcBorders>
                    <w:tl2br w:val="nil"/>
                    <w:tr2bl w:val="nil"/>
                  </w:tcBorders>
                  <w:vAlign w:val="center"/>
                </w:tcPr>
                <w:p>
                  <w:pPr>
                    <w:pStyle w:val="28"/>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03" w:hRule="atLeast"/>
              </w:trPr>
              <w:tc>
                <w:tcPr>
                  <w:tcW w:w="4225"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对于排放细颗粒物的工业污染源，应按照生产工艺、排放方式和烟（废）气组成的特点，选取适用的污染防治技术。工业污染源有组织排放的颗粒物，宜采取袋除尘、电除尘、电袋除尘等高效除尘技术，鼓励火电机组和大型燃煤锅炉采用湿式电除尘等新技术。</w:t>
                  </w:r>
                </w:p>
              </w:tc>
              <w:tc>
                <w:tcPr>
                  <w:tcW w:w="2860"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项目搅拌楼、物料库</w:t>
                  </w:r>
                  <w:r>
                    <w:rPr>
                      <w:rFonts w:hint="eastAsia"/>
                      <w:color w:val="auto"/>
                      <w:lang w:eastAsia="zh-CN"/>
                    </w:rPr>
                    <w:t>等设置喷淋抑尘，粉料</w:t>
                  </w:r>
                  <w:r>
                    <w:rPr>
                      <w:rFonts w:hint="eastAsia"/>
                      <w:color w:val="auto"/>
                      <w:lang w:val="en-US" w:eastAsia="zh-CN"/>
                    </w:rPr>
                    <w:t>仓呼吸尘采用设备自带袋式除尘器处理；项目不涉及火电机组和燃煤锅炉的使用。</w:t>
                  </w:r>
                </w:p>
              </w:tc>
              <w:tc>
                <w:tcPr>
                  <w:tcW w:w="948" w:type="dxa"/>
                  <w:tcBorders>
                    <w:tl2br w:val="nil"/>
                    <w:tr2bl w:val="nil"/>
                  </w:tcBorders>
                  <w:vAlign w:val="center"/>
                </w:tcPr>
                <w:p>
                  <w:pPr>
                    <w:pStyle w:val="28"/>
                    <w:bidi w:val="0"/>
                    <w:rPr>
                      <w:rFonts w:hint="default"/>
                      <w:color w:val="auto"/>
                      <w:lang w:val="en-US" w:eastAsia="zh-CN"/>
                    </w:rPr>
                  </w:pPr>
                  <w:r>
                    <w:rPr>
                      <w:rFonts w:hint="default"/>
                      <w:color w:val="auto"/>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4225" w:type="dxa"/>
                  <w:tcBorders>
                    <w:tl2br w:val="nil"/>
                    <w:tr2bl w:val="nil"/>
                  </w:tcBorders>
                  <w:vAlign w:val="center"/>
                </w:tcPr>
                <w:p>
                  <w:pPr>
                    <w:pStyle w:val="28"/>
                    <w:bidi w:val="0"/>
                    <w:rPr>
                      <w:rFonts w:hint="eastAsia"/>
                      <w:color w:val="auto"/>
                      <w:lang w:val="en-US" w:eastAsia="zh-CN"/>
                    </w:rPr>
                  </w:pPr>
                  <w:r>
                    <w:rPr>
                      <w:rFonts w:hint="eastAsia"/>
                      <w:color w:val="auto"/>
                      <w:lang w:val="en-US" w:eastAsia="zh-CN"/>
                    </w:rPr>
                    <w:t>产生大气颗粒物及其前体物污染物的生产活动应尽量采用密闭装置，避免无组织排放；无法完全密闭的，应安装集气装置收集逸散的污染物，经净化后排放。</w:t>
                  </w:r>
                </w:p>
              </w:tc>
              <w:tc>
                <w:tcPr>
                  <w:tcW w:w="2860"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项目搅拌楼、物料库、砼结构件浇筑车间</w:t>
                  </w:r>
                  <w:r>
                    <w:rPr>
                      <w:rFonts w:hint="eastAsia"/>
                      <w:color w:val="auto"/>
                      <w:lang w:eastAsia="zh-CN"/>
                    </w:rPr>
                    <w:t>、输送带</w:t>
                  </w:r>
                  <w:r>
                    <w:rPr>
                      <w:rFonts w:hint="eastAsia"/>
                      <w:color w:val="auto"/>
                      <w:lang w:val="en-US" w:eastAsia="zh-CN"/>
                    </w:rPr>
                    <w:t>为封闭设置</w:t>
                  </w:r>
                  <w:r>
                    <w:rPr>
                      <w:rFonts w:hint="eastAsia"/>
                      <w:color w:val="auto"/>
                      <w:lang w:eastAsia="zh-CN"/>
                    </w:rPr>
                    <w:t>，</w:t>
                  </w:r>
                  <w:r>
                    <w:rPr>
                      <w:rFonts w:hint="eastAsia"/>
                      <w:color w:val="auto"/>
                      <w:lang w:val="en-US" w:eastAsia="zh-CN"/>
                    </w:rPr>
                    <w:t>配套喷淋除尘设施，粉料仓配套顶置</w:t>
                  </w:r>
                  <w:r>
                    <w:rPr>
                      <w:rFonts w:hint="eastAsia"/>
                      <w:color w:val="auto"/>
                    </w:rPr>
                    <w:t>袋式除尘器</w:t>
                  </w:r>
                  <w:r>
                    <w:rPr>
                      <w:rFonts w:hint="eastAsia"/>
                      <w:color w:val="auto"/>
                      <w:lang w:eastAsia="zh-CN"/>
                    </w:rPr>
                    <w:t>处理</w:t>
                  </w:r>
                  <w:r>
                    <w:rPr>
                      <w:rFonts w:hint="eastAsia"/>
                      <w:color w:val="auto"/>
                      <w:lang w:val="en-US" w:eastAsia="zh-CN"/>
                    </w:rPr>
                    <w:t>。</w:t>
                  </w:r>
                </w:p>
              </w:tc>
              <w:tc>
                <w:tcPr>
                  <w:tcW w:w="948" w:type="dxa"/>
                  <w:tcBorders>
                    <w:tl2br w:val="nil"/>
                    <w:tr2bl w:val="nil"/>
                  </w:tcBorders>
                  <w:vAlign w:val="center"/>
                </w:tcPr>
                <w:p>
                  <w:pPr>
                    <w:pStyle w:val="28"/>
                    <w:bidi w:val="0"/>
                    <w:rPr>
                      <w:rFonts w:hint="default"/>
                      <w:color w:val="auto"/>
                      <w:lang w:val="en-US" w:eastAsia="zh-CN"/>
                    </w:rPr>
                  </w:pPr>
                  <w:r>
                    <w:rPr>
                      <w:rFonts w:hint="default"/>
                      <w:color w:val="auto"/>
                      <w:lang w:val="en-US" w:eastAsia="zh-CN"/>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rFonts w:hint="eastAsia" w:cs="Times New Roman"/>
                <w:b/>
                <w:bCs/>
                <w:color w:val="auto"/>
                <w:lang w:val="en-US" w:eastAsia="zh-CN"/>
              </w:rPr>
            </w:pPr>
            <w:r>
              <w:rPr>
                <w:rFonts w:hint="eastAsia" w:cs="Times New Roman"/>
                <w:b/>
                <w:bCs/>
                <w:color w:val="auto"/>
                <w:lang w:val="en-US" w:eastAsia="zh-CN"/>
              </w:rPr>
              <w:t>9、与《公路安全保护条例》（中华人民共和国国务院令第593号）符合性分析</w:t>
            </w:r>
          </w:p>
          <w:p>
            <w:pPr>
              <w:bidi w:val="0"/>
              <w:rPr>
                <w:rFonts w:hint="default"/>
                <w:color w:val="auto"/>
                <w:lang w:val="en-US" w:eastAsia="zh-CN"/>
              </w:rPr>
            </w:pPr>
            <w:r>
              <w:rPr>
                <w:rFonts w:hint="eastAsia"/>
                <w:color w:val="auto"/>
                <w:lang w:val="en-US" w:eastAsia="zh-CN"/>
              </w:rPr>
              <w:t>本项目位于福清市海口镇南厝村，项目西北侧有福厦高速（闽高速编号：S11）经过，高速道路东北-西南走向。根据《公路安全保护条例》（中华人民共和国国务院令第593号）规定，高速公路的公路建筑控制区的范围从公路用地外缘起向外的距离标准不少于30米。本项目用地红线距离高速道路的最近距离为52米，因此符合《公路安全保护条例》的相关规定</w:t>
            </w:r>
            <w:r>
              <w:rPr>
                <w:rFonts w:hint="eastAsia" w:ascii="宋体" w:hAnsi="宋体" w:eastAsia="宋体" w:cs="宋体"/>
                <w:i w:val="0"/>
                <w:iCs w:val="0"/>
                <w:caps w:val="0"/>
                <w:color w:val="auto"/>
                <w:spacing w:val="0"/>
                <w:sz w:val="24"/>
                <w:szCs w:val="24"/>
                <w:shd w:val="clear" w:fill="FFFFFF"/>
              </w:rPr>
              <w:t>。</w:t>
            </w:r>
          </w:p>
          <w:p>
            <w:pPr>
              <w:pStyle w:val="30"/>
              <w:rPr>
                <w:rFonts w:hint="default" w:eastAsia="宋体"/>
                <w:color w:val="auto"/>
                <w:lang w:val="en-US" w:eastAsia="zh-CN"/>
              </w:rPr>
            </w:pPr>
          </w:p>
        </w:tc>
      </w:tr>
    </w:tbl>
    <w:p>
      <w:pPr>
        <w:jc w:val="both"/>
        <w:outlineLvl w:val="9"/>
        <w:rPr>
          <w:rFonts w:hint="default" w:ascii="Times New Roman" w:hAnsi="Times New Roman" w:eastAsia="宋体" w:cs="Times New Roman"/>
          <w:snapToGrid w:val="0"/>
          <w:color w:val="auto"/>
          <w:sz w:val="30"/>
          <w:szCs w:val="30"/>
        </w:rPr>
        <w:sectPr>
          <w:pgSz w:w="11906" w:h="16838"/>
          <w:pgMar w:top="1417" w:right="1417" w:bottom="1417" w:left="1417" w:header="851" w:footer="1077"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2"/>
        <w:bidi w:val="0"/>
        <w:jc w:val="center"/>
        <w:rPr>
          <w:rFonts w:hint="default"/>
          <w:color w:val="auto"/>
        </w:rPr>
      </w:pPr>
      <w:bookmarkStart w:id="8" w:name="_Toc22838"/>
      <w:bookmarkStart w:id="9" w:name="_Toc28523"/>
      <w:r>
        <w:rPr>
          <w:rFonts w:hint="default"/>
          <w:color w:val="auto"/>
        </w:rPr>
        <w:t>二、建设项目工程分析</w:t>
      </w:r>
      <w:bookmarkEnd w:id="8"/>
      <w:bookmarkEnd w:id="9"/>
    </w:p>
    <w:tbl>
      <w:tblPr>
        <w:tblStyle w:val="24"/>
        <w:tblW w:w="880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2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vAlign w:val="center"/>
          </w:tcPr>
          <w:p>
            <w:pPr>
              <w:bidi w:val="0"/>
              <w:ind w:left="0" w:leftChars="0" w:firstLine="0" w:firstLineChars="0"/>
              <w:rPr>
                <w:rFonts w:hint="default" w:ascii="Times New Roman" w:hAnsi="Times New Roman" w:eastAsia="宋体" w:cs="Times New Roman"/>
                <w:color w:val="auto"/>
                <w:szCs w:val="21"/>
              </w:rPr>
            </w:pPr>
            <w:r>
              <w:rPr>
                <w:rFonts w:hint="default" w:ascii="Times New Roman" w:hAnsi="Times New Roman" w:eastAsia="宋体"/>
                <w:color w:val="auto"/>
              </w:rPr>
              <w:t>建设内容</w:t>
            </w:r>
          </w:p>
        </w:tc>
        <w:tc>
          <w:tcPr>
            <w:tcW w:w="8129" w:type="dxa"/>
            <w:vAlign w:val="top"/>
          </w:tcPr>
          <w:p>
            <w:pPr>
              <w:pStyle w:val="3"/>
              <w:bidi w:val="0"/>
              <w:rPr>
                <w:rFonts w:hint="default"/>
                <w:color w:val="auto"/>
                <w:lang w:val="en-US" w:eastAsia="zh-CN"/>
              </w:rPr>
            </w:pPr>
            <w:r>
              <w:rPr>
                <w:rFonts w:hint="default"/>
                <w:color w:val="auto"/>
                <w:lang w:val="en-US" w:eastAsia="zh-CN"/>
              </w:rPr>
              <w:t>2.1 项目由来</w:t>
            </w:r>
          </w:p>
          <w:p>
            <w:pPr>
              <w:bidi w:val="0"/>
              <w:rPr>
                <w:rFonts w:hint="default"/>
                <w:color w:val="auto"/>
                <w:lang w:val="en-US" w:eastAsia="zh-CN"/>
              </w:rPr>
            </w:pPr>
            <w:r>
              <w:rPr>
                <w:rFonts w:hint="eastAsia"/>
                <w:color w:val="auto"/>
                <w:lang w:val="en-US" w:eastAsia="zh-CN"/>
              </w:rPr>
              <w:t>福建融瀚建材有限公司（以下简称“建设单位”）成立于2015年5月13日，经营范围包括：制造、销售预应力高强混凝土管桩、预应力钢筒混凝土管、预应力钢筋混凝土管、水泥制品、水泥预制构件。商品混凝土生产、销售。建材、五金批发、零售；普通货物道路运输等。</w:t>
            </w:r>
            <w:r>
              <w:rPr>
                <w:rFonts w:hint="default"/>
                <w:color w:val="auto"/>
                <w:highlight w:val="none"/>
                <w:lang w:val="en-US" w:eastAsia="zh-CN"/>
              </w:rPr>
              <w:t>(营业执照和法定代表人身份证详见附件</w:t>
            </w:r>
            <w:r>
              <w:rPr>
                <w:rFonts w:hint="eastAsia"/>
                <w:color w:val="auto"/>
                <w:highlight w:val="none"/>
                <w:lang w:val="en-US" w:eastAsia="zh-CN"/>
              </w:rPr>
              <w:t>六</w:t>
            </w:r>
            <w:r>
              <w:rPr>
                <w:rFonts w:hint="default"/>
                <w:color w:val="auto"/>
                <w:highlight w:val="none"/>
                <w:lang w:val="en-US" w:eastAsia="zh-CN"/>
              </w:rPr>
              <w:t>)。</w:t>
            </w:r>
          </w:p>
          <w:p>
            <w:pPr>
              <w:bidi w:val="0"/>
              <w:rPr>
                <w:rFonts w:hint="default"/>
                <w:color w:val="auto"/>
                <w:lang w:val="en-US" w:eastAsia="zh-CN"/>
              </w:rPr>
            </w:pPr>
            <w:r>
              <w:rPr>
                <w:rFonts w:hint="eastAsia"/>
                <w:color w:val="auto"/>
                <w:lang w:val="en-US" w:eastAsia="zh-CN"/>
              </w:rPr>
              <w:t>福建融瀚建材有限公司原址</w:t>
            </w:r>
            <w:r>
              <w:rPr>
                <w:rFonts w:hint="default"/>
                <w:color w:val="auto"/>
                <w:lang w:val="en-US" w:eastAsia="zh-CN"/>
              </w:rPr>
              <w:t>位于福建省福州市福清市海口镇东阁村真大线21公里处，</w:t>
            </w:r>
            <w:r>
              <w:rPr>
                <w:rFonts w:hint="eastAsia"/>
                <w:color w:val="auto"/>
                <w:lang w:val="en-US" w:eastAsia="zh-CN"/>
              </w:rPr>
              <w:t>为</w:t>
            </w:r>
            <w:r>
              <w:rPr>
                <w:rFonts w:hint="default"/>
                <w:color w:val="auto"/>
                <w:lang w:val="en-US" w:eastAsia="zh-CN"/>
              </w:rPr>
              <w:t>租赁福清市日盛饲料有限公司土地，从事商品混凝土生产，</w:t>
            </w:r>
            <w:r>
              <w:rPr>
                <w:rFonts w:hint="eastAsia"/>
                <w:color w:val="auto"/>
                <w:lang w:val="en-US" w:eastAsia="zh-CN"/>
              </w:rPr>
              <w:t>该址</w:t>
            </w:r>
            <w:r>
              <w:rPr>
                <w:rFonts w:hint="default"/>
                <w:color w:val="auto"/>
                <w:lang w:val="en-US" w:eastAsia="zh-CN"/>
              </w:rPr>
              <w:t>占地面积5565平方米，建筑面积4000平方米</w:t>
            </w:r>
            <w:r>
              <w:rPr>
                <w:rFonts w:hint="eastAsia"/>
                <w:color w:val="auto"/>
                <w:lang w:val="en-US" w:eastAsia="zh-CN"/>
              </w:rPr>
              <w:t>，</w:t>
            </w:r>
            <w:r>
              <w:rPr>
                <w:rFonts w:hint="default"/>
                <w:color w:val="auto"/>
                <w:lang w:val="en-US" w:eastAsia="zh-CN"/>
              </w:rPr>
              <w:t>年产预拌商品混凝土80万吨。</w:t>
            </w:r>
            <w:r>
              <w:rPr>
                <w:rFonts w:hint="eastAsia"/>
                <w:color w:val="auto"/>
                <w:lang w:val="en-US" w:eastAsia="zh-CN"/>
              </w:rPr>
              <w:t>迁建前工程企业员工58人，均不住厂，厂内不设食堂、公厕等辅助设施，年工作天数350天，单班制，每班8小时。</w:t>
            </w:r>
          </w:p>
          <w:p>
            <w:pPr>
              <w:bidi w:val="0"/>
              <w:rPr>
                <w:rFonts w:hint="eastAsia"/>
                <w:color w:val="auto"/>
                <w:lang w:val="en-US" w:eastAsia="zh-CN"/>
              </w:rPr>
            </w:pPr>
            <w:r>
              <w:rPr>
                <w:rFonts w:hint="eastAsia"/>
                <w:color w:val="auto"/>
                <w:lang w:val="en-US" w:eastAsia="zh-CN"/>
              </w:rPr>
              <w:t>近年来，随着企业的发展壮大，现有用地已不能满足企业生产经营需求，因此，建设单位于2024年10月8日通过土地出让的形式购买位于福建省福州市福清市海口镇南厝村</w:t>
            </w:r>
            <w:r>
              <w:rPr>
                <w:rFonts w:hint="eastAsia"/>
                <w:color w:val="auto"/>
                <w:sz w:val="24"/>
                <w:lang w:eastAsia="zh-CN"/>
              </w:rPr>
              <w:t>962号</w:t>
            </w:r>
            <w:r>
              <w:rPr>
                <w:rFonts w:hint="eastAsia"/>
                <w:color w:val="auto"/>
                <w:sz w:val="24"/>
                <w:lang w:val="en-US" w:eastAsia="zh-CN"/>
              </w:rPr>
              <w:t>福建平达新材料科技</w:t>
            </w:r>
            <w:r>
              <w:rPr>
                <w:rFonts w:hint="eastAsia"/>
                <w:color w:val="auto"/>
                <w:sz w:val="24"/>
                <w:lang w:eastAsia="zh-CN"/>
              </w:rPr>
              <w:t>有限公司</w:t>
            </w:r>
            <w:r>
              <w:rPr>
                <w:rFonts w:hint="eastAsia"/>
                <w:color w:val="auto"/>
                <w:sz w:val="24"/>
                <w:lang w:val="en-US" w:eastAsia="zh-CN"/>
              </w:rPr>
              <w:t>西南侧</w:t>
            </w:r>
            <w:r>
              <w:rPr>
                <w:rFonts w:hint="eastAsia"/>
                <w:color w:val="auto"/>
                <w:lang w:val="en-US" w:eastAsia="zh-CN"/>
              </w:rPr>
              <w:t>工业场地36469m</w:t>
            </w:r>
            <w:r>
              <w:rPr>
                <w:rFonts w:hint="eastAsia"/>
                <w:color w:val="auto"/>
                <w:vertAlign w:val="superscript"/>
                <w:lang w:val="en-US" w:eastAsia="zh-CN"/>
              </w:rPr>
              <w:t>2</w:t>
            </w:r>
            <w:r>
              <w:rPr>
                <w:rFonts w:hint="eastAsia"/>
                <w:color w:val="auto"/>
                <w:lang w:val="en-US" w:eastAsia="zh-CN"/>
              </w:rPr>
              <w:t>，合约54.70亩，拟投资24600万元建设“福建融瀚建材有限公司年加工预拌商品混凝土80万立方米、砼结构件20万立方米、年回收加工建筑垃圾60万立方米项目”（国有建设用地使用权出让合同见附件三），该项目于2024年10月24日取得福州市福清市发展和改革局备案（闽发改备[2024]A060389号，</w:t>
            </w:r>
            <w:r>
              <w:rPr>
                <w:rFonts w:hint="eastAsia"/>
                <w:color w:val="auto"/>
                <w:highlight w:val="none"/>
                <w:lang w:val="en-US" w:eastAsia="zh-CN"/>
              </w:rPr>
              <w:t>详见附件二</w:t>
            </w:r>
            <w:r>
              <w:rPr>
                <w:rFonts w:hint="eastAsia"/>
                <w:color w:val="auto"/>
                <w:lang w:val="en-US" w:eastAsia="zh-CN"/>
              </w:rPr>
              <w:t>）</w:t>
            </w:r>
            <w:r>
              <w:rPr>
                <w:rFonts w:hint="eastAsia"/>
                <w:b w:val="0"/>
                <w:bCs w:val="0"/>
                <w:color w:val="auto"/>
                <w:sz w:val="24"/>
                <w:szCs w:val="24"/>
                <w:u w:val="none"/>
                <w:lang w:val="en-US" w:eastAsia="zh-CN"/>
              </w:rPr>
              <w:t>，于2024年10月28日取得</w:t>
            </w:r>
            <w:r>
              <w:rPr>
                <w:rFonts w:hint="eastAsia" w:cs="Times New Roman"/>
                <w:color w:val="auto"/>
                <w:spacing w:val="0"/>
                <w:sz w:val="24"/>
                <w:szCs w:val="24"/>
                <w:highlight w:val="none"/>
                <w:lang w:val="en-US" w:eastAsia="zh-CN"/>
              </w:rPr>
              <w:t>建设用地规划许可证</w:t>
            </w:r>
            <w:r>
              <w:rPr>
                <w:rFonts w:hint="eastAsia" w:cs="Times New Roman"/>
                <w:color w:val="auto"/>
                <w:spacing w:val="0"/>
                <w:sz w:val="24"/>
                <w:szCs w:val="24"/>
                <w:highlight w:val="none"/>
                <w:lang w:eastAsia="zh-CN"/>
              </w:rPr>
              <w:t>（</w:t>
            </w:r>
            <w:r>
              <w:rPr>
                <w:rFonts w:hint="eastAsia" w:cs="Times New Roman"/>
                <w:color w:val="auto"/>
                <w:spacing w:val="0"/>
                <w:sz w:val="24"/>
                <w:szCs w:val="24"/>
                <w:highlight w:val="none"/>
                <w:lang w:val="en-US" w:eastAsia="zh-CN"/>
              </w:rPr>
              <w:t>地字第350181202400119号，详见附件四</w:t>
            </w:r>
            <w:r>
              <w:rPr>
                <w:rFonts w:hint="eastAsia" w:cs="Times New Roman"/>
                <w:color w:val="auto"/>
                <w:spacing w:val="0"/>
                <w:sz w:val="24"/>
                <w:szCs w:val="24"/>
                <w:highlight w:val="none"/>
                <w:lang w:eastAsia="zh-CN"/>
              </w:rPr>
              <w:t>），</w:t>
            </w:r>
            <w:r>
              <w:rPr>
                <w:rFonts w:hint="eastAsia"/>
                <w:color w:val="auto"/>
                <w:u w:val="none"/>
                <w:lang w:val="en-US" w:eastAsia="zh-CN"/>
              </w:rPr>
              <w:t>于</w:t>
            </w:r>
            <w:r>
              <w:rPr>
                <w:rFonts w:hint="eastAsia"/>
                <w:color w:val="auto"/>
                <w:u w:val="none"/>
              </w:rPr>
              <w:t>202</w:t>
            </w:r>
            <w:r>
              <w:rPr>
                <w:rFonts w:hint="eastAsia"/>
                <w:color w:val="auto"/>
                <w:u w:val="none"/>
                <w:lang w:val="en-US" w:eastAsia="zh-CN"/>
              </w:rPr>
              <w:t>4</w:t>
            </w:r>
            <w:r>
              <w:rPr>
                <w:rFonts w:hint="eastAsia"/>
                <w:color w:val="auto"/>
                <w:u w:val="none"/>
              </w:rPr>
              <w:t>年</w:t>
            </w:r>
            <w:r>
              <w:rPr>
                <w:rFonts w:hint="eastAsia"/>
                <w:color w:val="auto"/>
                <w:u w:val="none"/>
                <w:lang w:val="en-US" w:eastAsia="zh-CN"/>
              </w:rPr>
              <w:t>12</w:t>
            </w:r>
            <w:r>
              <w:rPr>
                <w:rFonts w:hint="eastAsia"/>
                <w:color w:val="auto"/>
                <w:u w:val="none"/>
              </w:rPr>
              <w:t>月</w:t>
            </w:r>
            <w:r>
              <w:rPr>
                <w:rFonts w:hint="eastAsia"/>
                <w:color w:val="auto"/>
                <w:u w:val="none"/>
                <w:lang w:val="en-US" w:eastAsia="zh-CN"/>
              </w:rPr>
              <w:t>19</w:t>
            </w:r>
            <w:r>
              <w:rPr>
                <w:rFonts w:hint="eastAsia"/>
                <w:color w:val="auto"/>
                <w:u w:val="none"/>
              </w:rPr>
              <w:t>日取得</w:t>
            </w:r>
            <w:r>
              <w:rPr>
                <w:rFonts w:hint="eastAsia"/>
                <w:b w:val="0"/>
                <w:bCs w:val="0"/>
                <w:color w:val="auto"/>
                <w:sz w:val="24"/>
                <w:szCs w:val="24"/>
                <w:u w:val="none"/>
                <w:lang w:val="en-US" w:eastAsia="zh-CN"/>
              </w:rPr>
              <w:t>建设工程规划许可证（建字第350181202400398号，</w:t>
            </w:r>
            <w:r>
              <w:rPr>
                <w:rFonts w:hint="eastAsia" w:cs="Times New Roman"/>
                <w:b w:val="0"/>
                <w:bCs w:val="0"/>
                <w:color w:val="auto"/>
                <w:sz w:val="24"/>
                <w:szCs w:val="24"/>
                <w:u w:val="none"/>
                <w:lang w:val="en-US" w:eastAsia="zh-CN"/>
              </w:rPr>
              <w:t>见附件五</w:t>
            </w:r>
            <w:r>
              <w:rPr>
                <w:rFonts w:hint="eastAsia"/>
                <w:b w:val="0"/>
                <w:bCs w:val="0"/>
                <w:color w:val="auto"/>
                <w:sz w:val="24"/>
                <w:szCs w:val="24"/>
                <w:u w:val="none"/>
                <w:lang w:val="en-US" w:eastAsia="zh-CN"/>
              </w:rPr>
              <w:t>）</w:t>
            </w:r>
            <w:r>
              <w:rPr>
                <w:rFonts w:hint="eastAsia"/>
                <w:color w:val="auto"/>
                <w:highlight w:val="none"/>
                <w:lang w:val="en-US" w:eastAsia="zh-CN"/>
              </w:rPr>
              <w:t>。</w:t>
            </w:r>
          </w:p>
          <w:p>
            <w:pPr>
              <w:bidi w:val="0"/>
              <w:rPr>
                <w:rFonts w:hint="eastAsia"/>
                <w:color w:val="auto"/>
                <w:lang w:val="en-US" w:eastAsia="zh-CN"/>
              </w:rPr>
            </w:pPr>
            <w:r>
              <w:rPr>
                <w:rFonts w:hint="eastAsia"/>
                <w:color w:val="auto"/>
                <w:lang w:val="en-US" w:eastAsia="zh-CN"/>
              </w:rPr>
              <w:t>迁建项目原备案设计规模年加工预拌商品混凝土80万立方米、砼结构件20万立方米、年回收加工建筑垃圾60万立方米。鉴于投资资金等问题，企业拟分二期建设，其中一期建设年加工预拌商品混凝土80万立方米、砼结构件20万立方米内容，二期建设年回收加工建筑垃圾60万立方米内容。</w:t>
            </w:r>
          </w:p>
          <w:p>
            <w:pPr>
              <w:bidi w:val="0"/>
              <w:rPr>
                <w:rFonts w:hint="default"/>
                <w:color w:val="auto"/>
                <w:sz w:val="24"/>
                <w:szCs w:val="24"/>
                <w:lang w:val="en-US" w:eastAsia="zh-CN"/>
              </w:rPr>
            </w:pPr>
            <w:r>
              <w:rPr>
                <w:rFonts w:hint="eastAsia"/>
                <w:color w:val="auto"/>
                <w:lang w:val="en-US" w:eastAsia="zh-CN"/>
              </w:rPr>
              <w:t>一期建设项目已于2025年4月委托</w:t>
            </w:r>
            <w:r>
              <w:rPr>
                <w:rFonts w:hint="eastAsia"/>
                <w:color w:val="auto"/>
                <w:sz w:val="24"/>
                <w:szCs w:val="24"/>
                <w:lang w:val="en-US" w:eastAsia="zh-CN"/>
              </w:rPr>
              <w:t>技术单位编制《福建融瀚建材有限公司年加工预拌商品混凝土80万立方米、砼结构件20万立方米、年回收加工建筑垃圾60万立方米</w:t>
            </w:r>
            <w:r>
              <w:rPr>
                <w:rFonts w:hint="eastAsia"/>
                <w:color w:val="auto"/>
                <w:sz w:val="24"/>
                <w:szCs w:val="24"/>
                <w:lang w:eastAsia="zh-CN"/>
              </w:rPr>
              <w:t>项目</w:t>
            </w:r>
            <w:r>
              <w:rPr>
                <w:rFonts w:hint="eastAsia"/>
                <w:color w:val="auto"/>
                <w:sz w:val="24"/>
                <w:szCs w:val="24"/>
                <w:lang w:val="en-US" w:eastAsia="zh-CN"/>
              </w:rPr>
              <w:t>环境影响报告表》（以下简称“原环评”），2025年</w:t>
            </w:r>
            <w:r>
              <w:rPr>
                <w:rFonts w:hint="eastAsia"/>
                <w:color w:val="auto"/>
                <w:lang w:val="en-US" w:eastAsia="zh-CN"/>
              </w:rPr>
              <w:t>9月4日原环评取得了福州市生态环境局的批复（《关于《福建融瀚建材有限公司年加工预拌商品混凝土80万立方米、砼结构件20万立方米、年回收加工建筑垃圾60万立方米项目环境影响报告表》批复意见》（榕融环评[2025]71号，批复内容详见附件九））。</w:t>
            </w:r>
            <w:r>
              <w:rPr>
                <w:rFonts w:hint="eastAsia"/>
                <w:color w:val="auto"/>
                <w:sz w:val="24"/>
                <w:szCs w:val="24"/>
                <w:lang w:val="en-US" w:eastAsia="zh-CN"/>
              </w:rPr>
              <w:t>原环评及批复项目的建设内容及规模为：年加工</w:t>
            </w:r>
            <w:r>
              <w:rPr>
                <w:rFonts w:hint="eastAsia"/>
                <w:color w:val="auto"/>
                <w:lang w:val="en-US" w:eastAsia="zh-CN"/>
              </w:rPr>
              <w:t>预拌商品混凝土80万立方米、砼结构件20万立方米。</w:t>
            </w:r>
          </w:p>
          <w:p>
            <w:pPr>
              <w:bidi w:val="0"/>
              <w:rPr>
                <w:rFonts w:hint="eastAsia"/>
                <w:color w:val="auto"/>
                <w:lang w:val="en-US" w:eastAsia="zh-CN"/>
              </w:rPr>
            </w:pPr>
            <w:r>
              <w:rPr>
                <w:rFonts w:hint="eastAsia"/>
                <w:color w:val="auto"/>
                <w:lang w:val="en-US" w:eastAsia="zh-CN"/>
              </w:rPr>
              <w:t>一期项目目前正在建设中，为适应市场变化，提高企业生产竞争力，企业开始着手二期项目建设，预计将与一期项目同时投产，由于增加二期年回收加工建筑垃圾60万立方米建设内容，需要重新报批环评文件。</w:t>
            </w:r>
          </w:p>
          <w:p>
            <w:pPr>
              <w:bidi w:val="0"/>
              <w:rPr>
                <w:rFonts w:hint="default"/>
                <w:color w:val="auto"/>
                <w:lang w:val="en-US" w:eastAsia="zh-CN"/>
              </w:rPr>
            </w:pPr>
            <w:r>
              <w:rPr>
                <w:rFonts w:hint="eastAsia"/>
                <w:color w:val="auto"/>
                <w:lang w:val="en-US" w:eastAsia="zh-CN"/>
              </w:rPr>
              <w:t>本次评价依照全厂内容进行评价，</w:t>
            </w:r>
            <w:r>
              <w:rPr>
                <w:rFonts w:hint="eastAsia"/>
                <w:color w:val="auto"/>
                <w:sz w:val="24"/>
                <w:szCs w:val="24"/>
                <w:lang w:val="en-US" w:eastAsia="zh-CN"/>
              </w:rPr>
              <w:t>建设内容及规模为：年加工</w:t>
            </w:r>
            <w:r>
              <w:rPr>
                <w:rFonts w:hint="eastAsia"/>
                <w:color w:val="auto"/>
                <w:lang w:val="en-US" w:eastAsia="zh-CN"/>
              </w:rPr>
              <w:t>预拌商品混凝土80万立方米、砼结构件20万立方米、年回收加工建筑垃圾60万立方米，依照变动后</w:t>
            </w:r>
          </w:p>
          <w:p>
            <w:pPr>
              <w:bidi w:val="0"/>
              <w:rPr>
                <w:rFonts w:hint="default"/>
                <w:lang w:val="en-US" w:eastAsia="zh-CN"/>
              </w:rPr>
            </w:pPr>
            <w:r>
              <w:rPr>
                <w:rFonts w:hint="default"/>
                <w:lang w:val="en-US" w:eastAsia="zh-CN"/>
              </w:rPr>
              <w:t>本项目较原环评变化情况见表2</w:t>
            </w:r>
            <w:r>
              <w:rPr>
                <w:rFonts w:hint="eastAsia"/>
                <w:lang w:val="en-US" w:eastAsia="zh-CN"/>
              </w:rPr>
              <w:t>.1</w:t>
            </w:r>
            <w:r>
              <w:rPr>
                <w:rFonts w:hint="default"/>
                <w:lang w:val="en-US" w:eastAsia="zh-CN"/>
              </w:rPr>
              <w:t>-1。</w:t>
            </w:r>
          </w:p>
          <w:p>
            <w:pPr>
              <w:pStyle w:val="33"/>
              <w:bidi w:val="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表2.1-1 本项目较原环评及批复主要变动情况分析</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firstLine="480" w:firstLineChars="200"/>
              <w:textAlignment w:val="auto"/>
              <w:rPr>
                <w:rFonts w:hint="eastAsia" w:hAnsiTheme="minorEastAsia" w:eastAsiaTheme="minorEastAsia"/>
                <w:color w:val="auto"/>
                <w:sz w:val="24"/>
                <w:szCs w:val="24"/>
              </w:rPr>
            </w:pPr>
            <w:r>
              <w:rPr>
                <w:rFonts w:hint="eastAsia" w:hAnsiTheme="minorEastAsia" w:eastAsiaTheme="minorEastAsia"/>
                <w:color w:val="auto"/>
                <w:sz w:val="24"/>
                <w:szCs w:val="24"/>
              </w:rPr>
              <w:t>对照《关于印发污染影响类建设项目重大变动清单（试行）》（环办环评函〔2020〕688号），本次变动属于重大变动（具体分析详见表</w:t>
            </w:r>
            <w:r>
              <w:rPr>
                <w:rFonts w:hint="eastAsia" w:hAnsiTheme="minorEastAsia" w:eastAsiaTheme="minorEastAsia"/>
                <w:color w:val="auto"/>
                <w:sz w:val="24"/>
                <w:szCs w:val="24"/>
                <w:lang w:val="en-US" w:eastAsia="zh-CN"/>
              </w:rPr>
              <w:t>2.1-2</w:t>
            </w:r>
            <w:r>
              <w:rPr>
                <w:rFonts w:hint="eastAsia" w:hAnsiTheme="minorEastAsia" w:eastAsiaTheme="minorEastAsia"/>
                <w:color w:val="auto"/>
                <w:sz w:val="24"/>
                <w:szCs w:val="24"/>
              </w:rPr>
              <w:t>）</w:t>
            </w:r>
            <w:r>
              <w:rPr>
                <w:rFonts w:hint="eastAsia" w:hAnsiTheme="minorEastAsia" w:eastAsiaTheme="minorEastAsia"/>
                <w:color w:val="auto"/>
                <w:sz w:val="24"/>
                <w:szCs w:val="24"/>
                <w:lang w:eastAsia="zh-CN"/>
              </w:rPr>
              <w:t>，</w:t>
            </w:r>
            <w:r>
              <w:rPr>
                <w:rFonts w:hint="eastAsia" w:hAnsiTheme="minorEastAsia" w:eastAsiaTheme="minorEastAsia"/>
                <w:color w:val="auto"/>
                <w:sz w:val="24"/>
                <w:szCs w:val="24"/>
                <w:lang w:val="en-US" w:eastAsia="zh-CN"/>
              </w:rPr>
              <w:t>需重新报批环境影响评价文件</w:t>
            </w:r>
            <w:r>
              <w:rPr>
                <w:rFonts w:hint="eastAsia" w:hAnsiTheme="minorEastAsia" w:eastAsiaTheme="minorEastAsia"/>
                <w:color w:val="auto"/>
                <w:sz w:val="24"/>
                <w:szCs w:val="24"/>
              </w:rPr>
              <w:t>。</w:t>
            </w:r>
          </w:p>
          <w:p>
            <w:pPr>
              <w:keepNext w:val="0"/>
              <w:keepLines w:val="0"/>
              <w:pageBreakBefore w:val="0"/>
              <w:widowControl w:val="0"/>
              <w:kinsoku/>
              <w:wordWrap/>
              <w:overflowPunct/>
              <w:topLinePunct w:val="0"/>
              <w:autoSpaceDE/>
              <w:autoSpaceDN/>
              <w:bidi w:val="0"/>
              <w:adjustRightInd/>
              <w:snapToGrid w:val="0"/>
              <w:spacing w:before="157" w:beforeLines="50" w:line="360" w:lineRule="auto"/>
              <w:ind w:left="0" w:leftChars="0" w:firstLine="0" w:firstLineChars="0"/>
              <w:jc w:val="center"/>
              <w:textAlignment w:val="auto"/>
              <w:rPr>
                <w:rFonts w:hint="eastAsia" w:ascii="Times New Roman" w:hAnsi="Times New Roman" w:eastAsia="宋体" w:cs="Times New Roman"/>
                <w:b/>
                <w:color w:val="auto"/>
                <w:kern w:val="2"/>
                <w:sz w:val="24"/>
                <w:szCs w:val="24"/>
                <w:lang w:val="en-US" w:eastAsia="zh-CN" w:bidi="ar-SA"/>
              </w:rPr>
            </w:pPr>
            <w:r>
              <w:rPr>
                <w:rFonts w:hint="eastAsia" w:ascii="Times New Roman" w:hAnsi="Times New Roman" w:eastAsia="宋体" w:cs="Times New Roman"/>
                <w:b/>
                <w:color w:val="auto"/>
                <w:kern w:val="2"/>
                <w:sz w:val="24"/>
                <w:szCs w:val="24"/>
                <w:lang w:val="en-US" w:eastAsia="zh-CN" w:bidi="ar-SA"/>
              </w:rPr>
              <w:t>表2.1-2  污染影响类建设项目重大变动清单（试行）</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根据《中华人民共和国环境保护法》(2015年)、《中华人民共和国环境影响评价法》(2018年修正)、《建设项目环境保护管理条例》(2017年)、《建设项目环境影响评价分类管理名录》(2021年版)规定，本项目</w:t>
            </w:r>
            <w:r>
              <w:rPr>
                <w:rFonts w:hint="eastAsia"/>
                <w:lang w:val="en-US" w:eastAsia="zh-CN"/>
              </w:rPr>
              <w:t>一期项目为</w:t>
            </w:r>
            <w:r>
              <w:rPr>
                <w:rFonts w:hint="eastAsia"/>
                <w:color w:val="auto"/>
                <w:sz w:val="24"/>
                <w:szCs w:val="24"/>
                <w:lang w:val="en-US" w:eastAsia="zh-CN"/>
              </w:rPr>
              <w:t>年加工</w:t>
            </w:r>
            <w:r>
              <w:rPr>
                <w:rFonts w:hint="eastAsia"/>
                <w:color w:val="auto"/>
                <w:lang w:val="en-US" w:eastAsia="zh-CN"/>
              </w:rPr>
              <w:t>预拌商品混凝土80万立方米生产线、砼结构件20万立方米生产线，本次二期项目评价新增生产年回收加工建筑垃圾60万立方米生产线，需编制环境影响报告表，详见表2.1-3。</w:t>
            </w:r>
          </w:p>
          <w:p>
            <w:pPr>
              <w:rPr>
                <w:rFonts w:hint="default"/>
                <w:color w:val="auto"/>
                <w:sz w:val="24"/>
                <w:szCs w:val="24"/>
              </w:rPr>
            </w:pPr>
            <w:r>
              <w:rPr>
                <w:rFonts w:hint="eastAsia"/>
                <w:color w:val="auto"/>
                <w:lang w:val="en-US" w:eastAsia="zh-CN"/>
              </w:rPr>
              <w:t>为此，建设单位委托我司编制该项目的环境影响报告表(委托书详见附件一)。本环评单位接受委托后，立即派技术人员踏勘现场和收集有关资料，按照《建设项目环境影响报告表编制技术指南(污染影响类)》(试行)及相关技术规范要求，编制了本环境影响报告表。</w:t>
            </w:r>
          </w:p>
          <w:p>
            <w:pPr>
              <w:pStyle w:val="33"/>
              <w:bidi w:val="0"/>
              <w:rPr>
                <w:rFonts w:hint="default"/>
                <w:color w:val="auto"/>
                <w:sz w:val="24"/>
                <w:szCs w:val="24"/>
              </w:rPr>
            </w:pPr>
            <w:r>
              <w:rPr>
                <w:rFonts w:hint="default"/>
                <w:color w:val="auto"/>
                <w:sz w:val="24"/>
                <w:szCs w:val="24"/>
              </w:rPr>
              <w:t>表2</w:t>
            </w:r>
            <w:r>
              <w:rPr>
                <w:rFonts w:hint="eastAsia"/>
                <w:color w:val="auto"/>
                <w:sz w:val="24"/>
                <w:szCs w:val="24"/>
                <w:lang w:val="en-US" w:eastAsia="zh-CN"/>
              </w:rPr>
              <w:t>.1-3</w:t>
            </w:r>
            <w:r>
              <w:rPr>
                <w:rFonts w:hint="default"/>
                <w:color w:val="auto"/>
                <w:sz w:val="24"/>
                <w:szCs w:val="24"/>
              </w:rPr>
              <w:t xml:space="preserve">  建设</w:t>
            </w:r>
            <w:r>
              <w:rPr>
                <w:rFonts w:hint="default"/>
                <w:color w:val="auto"/>
                <w:sz w:val="24"/>
                <w:szCs w:val="24"/>
                <w:lang w:eastAsia="zh-CN"/>
              </w:rPr>
              <w:t>项目</w:t>
            </w:r>
            <w:r>
              <w:rPr>
                <w:rFonts w:hint="default"/>
                <w:color w:val="auto"/>
                <w:sz w:val="24"/>
                <w:szCs w:val="24"/>
              </w:rPr>
              <w:t>环境影响评价分类管理名录(摘录)</w:t>
            </w:r>
          </w:p>
          <w:p>
            <w:pPr>
              <w:pStyle w:val="3"/>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2.2工程概况</w:t>
            </w:r>
          </w:p>
          <w:p>
            <w:pPr>
              <w:pStyle w:val="4"/>
              <w:bidi w:val="0"/>
              <w:rPr>
                <w:rFonts w:hint="default"/>
                <w:color w:val="auto"/>
              </w:rPr>
            </w:pPr>
            <w:bookmarkStart w:id="10" w:name="_Toc7532"/>
            <w:bookmarkStart w:id="11" w:name="_Toc7446"/>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1</w:t>
            </w:r>
            <w:r>
              <w:rPr>
                <w:rFonts w:hint="default"/>
                <w:color w:val="auto"/>
              </w:rPr>
              <w:t xml:space="preserve"> </w:t>
            </w:r>
            <w:r>
              <w:rPr>
                <w:rFonts w:hint="eastAsia"/>
                <w:color w:val="auto"/>
                <w:lang w:val="en-US" w:eastAsia="zh-CN"/>
              </w:rPr>
              <w:t>项目</w:t>
            </w:r>
            <w:r>
              <w:rPr>
                <w:rFonts w:hint="default"/>
                <w:color w:val="auto"/>
              </w:rPr>
              <w:t>基本概况</w:t>
            </w:r>
            <w:bookmarkEnd w:id="10"/>
            <w:bookmarkEnd w:id="11"/>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项目名称：福建融瀚建材有限公司年加工预拌商品混凝土80万立方米、砼结构件20万立方米、年回收加工建筑垃圾60万立方米</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w:t>
            </w:r>
            <w:r>
              <w:rPr>
                <w:rFonts w:hint="default"/>
                <w:color w:val="auto"/>
              </w:rPr>
              <w:t>建设单位：福建融瀚建材有限公司</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建设地点：福建省福州市福清市海口镇南厝村</w:t>
            </w:r>
          </w:p>
          <w:p>
            <w:pPr>
              <w:bidi w:val="0"/>
              <w:rPr>
                <w:rFonts w:hint="default"/>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rFonts w:hint="default"/>
                <w:color w:val="auto"/>
              </w:rPr>
              <w:t>企业性质：内资企业</w:t>
            </w:r>
          </w:p>
          <w:p>
            <w:pPr>
              <w:bidi w:val="0"/>
              <w:rPr>
                <w:rFonts w:hint="eastAsia"/>
                <w:color w:val="auto"/>
                <w:lang w:val="en-US" w:eastAsia="zh-CN"/>
              </w:rPr>
            </w:pPr>
            <w:r>
              <w:rPr>
                <w:rFonts w:hint="eastAsia"/>
                <w:color w:val="auto"/>
                <w:lang w:eastAsia="zh-CN"/>
              </w:rPr>
              <w:t>（</w:t>
            </w:r>
            <w:r>
              <w:rPr>
                <w:rFonts w:hint="eastAsia"/>
                <w:color w:val="auto"/>
                <w:lang w:val="en-US" w:eastAsia="zh-CN"/>
              </w:rPr>
              <w:t>5</w:t>
            </w:r>
            <w:r>
              <w:rPr>
                <w:rFonts w:hint="eastAsia"/>
                <w:color w:val="auto"/>
                <w:lang w:eastAsia="zh-CN"/>
              </w:rPr>
              <w:t>）</w:t>
            </w:r>
            <w:r>
              <w:rPr>
                <w:rFonts w:hint="eastAsia"/>
                <w:color w:val="auto"/>
                <w:lang w:val="en-US" w:eastAsia="zh-CN"/>
              </w:rPr>
              <w:t>项目</w:t>
            </w:r>
            <w:r>
              <w:rPr>
                <w:rFonts w:hint="default"/>
                <w:color w:val="auto"/>
              </w:rPr>
              <w:t>总投资：</w:t>
            </w:r>
            <w:r>
              <w:rPr>
                <w:rFonts w:hint="eastAsia"/>
                <w:color w:val="auto"/>
                <w:lang w:val="en-US" w:eastAsia="zh-CN"/>
              </w:rPr>
              <w:t>24600万元</w:t>
            </w:r>
          </w:p>
          <w:p>
            <w:pPr>
              <w:bidi w:val="0"/>
              <w:rPr>
                <w:rFonts w:hint="eastAsia"/>
                <w:color w:val="auto"/>
                <w:lang w:val="en-US" w:eastAsia="zh-CN"/>
              </w:rPr>
            </w:pPr>
            <w:r>
              <w:rPr>
                <w:rFonts w:hint="eastAsia"/>
                <w:color w:val="auto"/>
                <w:lang w:eastAsia="zh-CN"/>
              </w:rPr>
              <w:t>（</w:t>
            </w:r>
            <w:r>
              <w:rPr>
                <w:rFonts w:hint="eastAsia"/>
                <w:color w:val="auto"/>
                <w:lang w:val="en-US" w:eastAsia="zh-CN"/>
              </w:rPr>
              <w:t>6</w:t>
            </w:r>
            <w:r>
              <w:rPr>
                <w:rFonts w:hint="eastAsia"/>
                <w:color w:val="auto"/>
                <w:lang w:eastAsia="zh-CN"/>
              </w:rPr>
              <w:t>）</w:t>
            </w:r>
            <w:r>
              <w:rPr>
                <w:rFonts w:hint="default"/>
                <w:color w:val="auto"/>
              </w:rPr>
              <w:t>建设规模：</w:t>
            </w:r>
            <w:r>
              <w:rPr>
                <w:rFonts w:hint="eastAsia"/>
                <w:color w:val="auto"/>
                <w:lang w:val="en-US" w:eastAsia="zh-CN"/>
              </w:rPr>
              <w:t>项目占地面积36469平方米，约54.7亩。</w:t>
            </w:r>
          </w:p>
          <w:p>
            <w:pPr>
              <w:bidi w:val="0"/>
              <w:rPr>
                <w:rFonts w:hint="eastAsia" w:eastAsia="宋体"/>
                <w:color w:val="auto"/>
                <w:lang w:val="en-US" w:eastAsia="zh-CN"/>
              </w:rPr>
            </w:pPr>
            <w:r>
              <w:rPr>
                <w:rFonts w:hint="eastAsia"/>
                <w:color w:val="auto"/>
                <w:lang w:val="en-US" w:eastAsia="zh-CN"/>
              </w:rPr>
              <w:t>（7）</w:t>
            </w:r>
            <w:r>
              <w:rPr>
                <w:rFonts w:hint="default"/>
                <w:color w:val="auto"/>
                <w:lang w:val="en-US" w:eastAsia="zh-CN"/>
              </w:rPr>
              <w:t>生产规模：</w:t>
            </w:r>
            <w:r>
              <w:rPr>
                <w:rFonts w:hint="default"/>
                <w:color w:val="auto"/>
              </w:rPr>
              <w:t>年加工预拌商品混凝土80万立方米、砼结构件20万立方米</w:t>
            </w:r>
            <w:r>
              <w:rPr>
                <w:rFonts w:hint="eastAsia"/>
                <w:color w:val="auto"/>
                <w:lang w:eastAsia="zh-CN"/>
              </w:rPr>
              <w:t>、</w:t>
            </w:r>
            <w:r>
              <w:rPr>
                <w:rFonts w:hint="default"/>
                <w:color w:val="auto"/>
              </w:rPr>
              <w:t>年回收加工建筑垃圾60万立方米</w:t>
            </w:r>
          </w:p>
          <w:p>
            <w:pPr>
              <w:bidi w:val="0"/>
              <w:rPr>
                <w:rFonts w:hint="default"/>
                <w:color w:val="auto"/>
                <w:lang w:val="en-US" w:eastAsia="zh-CN"/>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rPr>
              <w:t>职工人数：职工人数</w:t>
            </w:r>
            <w:r>
              <w:rPr>
                <w:rFonts w:hint="eastAsia"/>
                <w:color w:val="auto"/>
                <w:lang w:val="en-US" w:eastAsia="zh-CN"/>
              </w:rPr>
              <w:t>40人，住厂员工30人，不住厂员工10人，厂内不设置食堂。</w:t>
            </w:r>
          </w:p>
          <w:p>
            <w:pPr>
              <w:bidi w:val="0"/>
              <w:rPr>
                <w:rFonts w:hint="default"/>
                <w:color w:val="auto"/>
                <w:lang w:val="en-US" w:eastAsia="zh-CN"/>
              </w:rPr>
            </w:pPr>
            <w:r>
              <w:rPr>
                <w:rFonts w:hint="eastAsia"/>
                <w:color w:val="auto"/>
                <w:lang w:eastAsia="zh-CN"/>
              </w:rPr>
              <w:t>（</w:t>
            </w:r>
            <w:r>
              <w:rPr>
                <w:rFonts w:hint="eastAsia"/>
                <w:color w:val="auto"/>
                <w:lang w:val="en-US" w:eastAsia="zh-CN"/>
              </w:rPr>
              <w:t>9</w:t>
            </w:r>
            <w:r>
              <w:rPr>
                <w:rFonts w:hint="eastAsia"/>
                <w:color w:val="auto"/>
                <w:lang w:eastAsia="zh-CN"/>
              </w:rPr>
              <w:t>）</w:t>
            </w:r>
            <w:r>
              <w:rPr>
                <w:rFonts w:hint="default"/>
                <w:color w:val="auto"/>
              </w:rPr>
              <w:t>工作制度：年工作日</w:t>
            </w:r>
            <w:r>
              <w:rPr>
                <w:rFonts w:hint="eastAsia"/>
                <w:color w:val="auto"/>
                <w:lang w:val="en-US" w:eastAsia="zh-CN"/>
              </w:rPr>
              <w:t>330</w:t>
            </w:r>
            <w:r>
              <w:rPr>
                <w:rFonts w:hint="default"/>
                <w:color w:val="auto"/>
              </w:rPr>
              <w:t>天，实行白班制</w:t>
            </w:r>
            <w:r>
              <w:rPr>
                <w:rFonts w:hint="eastAsia"/>
                <w:color w:val="auto"/>
                <w:lang w:eastAsia="zh-CN"/>
              </w:rPr>
              <w:t>（</w:t>
            </w:r>
            <w:r>
              <w:rPr>
                <w:rFonts w:hint="eastAsia"/>
                <w:color w:val="auto"/>
                <w:lang w:val="en-US" w:eastAsia="zh-CN"/>
              </w:rPr>
              <w:t>8h/d</w:t>
            </w:r>
            <w:r>
              <w:rPr>
                <w:rFonts w:hint="eastAsia"/>
                <w:color w:val="auto"/>
                <w:lang w:eastAsia="zh-CN"/>
              </w:rPr>
              <w:t>），</w:t>
            </w:r>
            <w:r>
              <w:rPr>
                <w:rFonts w:hint="eastAsia"/>
                <w:color w:val="auto"/>
                <w:lang w:val="en-US" w:eastAsia="zh-CN"/>
              </w:rPr>
              <w:t>夜间不生产</w:t>
            </w:r>
          </w:p>
          <w:p>
            <w:pPr>
              <w:pStyle w:val="4"/>
              <w:bidi w:val="0"/>
              <w:rPr>
                <w:rFonts w:hint="eastAsia"/>
                <w:color w:val="auto"/>
                <w:lang w:val="en-US" w:eastAsia="zh-CN"/>
              </w:rPr>
            </w:pPr>
            <w:r>
              <w:rPr>
                <w:rFonts w:hint="default" w:ascii="Times New Roman" w:hAnsi="Times New Roman" w:cs="Times New Roman"/>
                <w:color w:val="auto"/>
                <w:lang w:val="en-US" w:eastAsia="zh-CN"/>
              </w:rPr>
              <w:t>2.2.2</w:t>
            </w:r>
            <w:r>
              <w:rPr>
                <w:rFonts w:hint="eastAsia"/>
                <w:color w:val="auto"/>
                <w:lang w:val="en-US" w:eastAsia="zh-CN"/>
              </w:rPr>
              <w:t xml:space="preserve"> 产品方案</w:t>
            </w:r>
          </w:p>
          <w:p>
            <w:pPr>
              <w:bidi w:val="0"/>
              <w:rPr>
                <w:rFonts w:hint="eastAsia"/>
                <w:color w:val="auto"/>
                <w:lang w:val="en-US" w:eastAsia="zh-CN"/>
              </w:rPr>
            </w:pPr>
            <w:r>
              <w:rPr>
                <w:rFonts w:hint="eastAsia"/>
                <w:color w:val="auto"/>
                <w:lang w:val="en-US" w:eastAsia="zh-CN"/>
              </w:rPr>
              <w:t>本项目产品方案见表2.2-1。</w:t>
            </w: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1 项目产品方案</w:t>
            </w:r>
          </w:p>
          <w:p>
            <w:pPr>
              <w:pStyle w:val="4"/>
              <w:bidi w:val="0"/>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3</w:t>
            </w:r>
            <w:r>
              <w:rPr>
                <w:rFonts w:hint="default"/>
                <w:color w:val="auto"/>
              </w:rPr>
              <w:t xml:space="preserve"> 项目组成及建设内容</w:t>
            </w:r>
          </w:p>
          <w:p>
            <w:pPr>
              <w:bidi w:val="0"/>
              <w:rPr>
                <w:rFonts w:hint="eastAsia"/>
                <w:color w:val="auto"/>
                <w:lang w:val="en-US" w:eastAsia="zh-CN"/>
              </w:rPr>
            </w:pPr>
            <w:r>
              <w:rPr>
                <w:rFonts w:hint="default"/>
                <w:color w:val="auto"/>
              </w:rPr>
              <w:t>项目</w:t>
            </w:r>
            <w:r>
              <w:rPr>
                <w:rFonts w:hint="default"/>
                <w:color w:val="auto"/>
                <w:lang w:eastAsia="zh-CN"/>
              </w:rPr>
              <w:t>工程</w:t>
            </w:r>
            <w:r>
              <w:rPr>
                <w:rFonts w:hint="default"/>
                <w:color w:val="auto"/>
              </w:rPr>
              <w:t>组成及建设内容</w:t>
            </w:r>
            <w:r>
              <w:rPr>
                <w:rFonts w:hint="default"/>
                <w:color w:val="auto"/>
                <w:lang w:eastAsia="zh-CN"/>
              </w:rPr>
              <w:t>见</w:t>
            </w:r>
            <w:r>
              <w:rPr>
                <w:rFonts w:hint="default"/>
                <w:color w:val="auto"/>
              </w:rPr>
              <w:t>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2。</w:t>
            </w:r>
          </w:p>
          <w:p>
            <w:pPr>
              <w:pStyle w:val="33"/>
              <w:bidi w:val="0"/>
              <w:rPr>
                <w:rFonts w:hint="default"/>
                <w:color w:val="auto"/>
                <w:sz w:val="24"/>
                <w:szCs w:val="24"/>
              </w:rPr>
            </w:pPr>
          </w:p>
          <w:p>
            <w:pPr>
              <w:pStyle w:val="33"/>
              <w:bidi w:val="0"/>
              <w:rPr>
                <w:rFonts w:hint="default"/>
                <w:color w:val="auto"/>
                <w:sz w:val="24"/>
                <w:szCs w:val="24"/>
              </w:rPr>
            </w:pPr>
            <w:r>
              <w:rPr>
                <w:rFonts w:hint="default"/>
                <w:color w:val="auto"/>
                <w:sz w:val="24"/>
                <w:szCs w:val="24"/>
              </w:rPr>
              <w:t>表</w:t>
            </w:r>
            <w:r>
              <w:rPr>
                <w:rFonts w:hint="default"/>
                <w:color w:val="auto"/>
                <w:sz w:val="24"/>
                <w:szCs w:val="24"/>
                <w:lang w:val="en-US" w:eastAsia="zh-CN"/>
              </w:rPr>
              <w:t>2</w:t>
            </w:r>
            <w:r>
              <w:rPr>
                <w:rFonts w:hint="default"/>
                <w:color w:val="auto"/>
                <w:sz w:val="24"/>
                <w:szCs w:val="24"/>
              </w:rPr>
              <w:t>.</w:t>
            </w:r>
            <w:r>
              <w:rPr>
                <w:rFonts w:hint="default"/>
                <w:color w:val="auto"/>
                <w:sz w:val="24"/>
                <w:szCs w:val="24"/>
                <w:lang w:val="en-US" w:eastAsia="zh-CN"/>
              </w:rPr>
              <w:t>2</w:t>
            </w:r>
            <w:r>
              <w:rPr>
                <w:rFonts w:hint="default"/>
                <w:color w:val="auto"/>
                <w:sz w:val="24"/>
                <w:szCs w:val="24"/>
              </w:rPr>
              <w:t>-</w:t>
            </w:r>
            <w:r>
              <w:rPr>
                <w:rFonts w:hint="eastAsia"/>
                <w:color w:val="auto"/>
                <w:sz w:val="24"/>
                <w:szCs w:val="24"/>
                <w:lang w:val="en-US" w:eastAsia="zh-CN"/>
              </w:rPr>
              <w:t>2</w:t>
            </w:r>
            <w:r>
              <w:rPr>
                <w:rFonts w:hint="default"/>
                <w:color w:val="auto"/>
                <w:sz w:val="24"/>
                <w:szCs w:val="24"/>
              </w:rPr>
              <w:t xml:space="preserve"> 项目组成一览表</w:t>
            </w:r>
          </w:p>
          <w:p>
            <w:pPr>
              <w:pStyle w:val="4"/>
              <w:bidi w:val="0"/>
              <w:rPr>
                <w:rFonts w:hint="default"/>
                <w:color w:val="auto"/>
                <w:lang w:val="en-US" w:eastAsia="zh-CN"/>
              </w:rPr>
            </w:pPr>
            <w:r>
              <w:rPr>
                <w:rFonts w:hint="eastAsia"/>
                <w:color w:val="auto"/>
                <w:lang w:val="en-US" w:eastAsia="zh-CN"/>
              </w:rPr>
              <w:t>2.2.4项目主要原辅材料</w:t>
            </w:r>
          </w:p>
          <w:p>
            <w:pPr>
              <w:bidi w:val="0"/>
              <w:rPr>
                <w:rFonts w:hint="eastAsia"/>
                <w:color w:val="auto"/>
                <w:lang w:val="en-US" w:eastAsia="zh-CN"/>
              </w:rPr>
            </w:pPr>
            <w:r>
              <w:rPr>
                <w:rFonts w:hint="eastAsia"/>
                <w:color w:val="auto"/>
                <w:lang w:val="en-US" w:eastAsia="zh-CN"/>
              </w:rPr>
              <w:t>项目</w:t>
            </w:r>
            <w:r>
              <w:rPr>
                <w:rFonts w:hint="default"/>
                <w:color w:val="auto"/>
                <w:lang w:val="en-US" w:eastAsia="zh-CN"/>
              </w:rPr>
              <w:t>主要原辅材料</w:t>
            </w:r>
            <w:r>
              <w:rPr>
                <w:rFonts w:hint="eastAsia"/>
                <w:color w:val="auto"/>
                <w:lang w:val="en-US" w:eastAsia="zh-CN"/>
              </w:rPr>
              <w:t>及能源</w:t>
            </w:r>
            <w:r>
              <w:rPr>
                <w:rFonts w:hint="default"/>
                <w:color w:val="auto"/>
                <w:lang w:val="en-US" w:eastAsia="zh-CN"/>
              </w:rPr>
              <w:t>消耗情况</w:t>
            </w:r>
            <w:r>
              <w:rPr>
                <w:rFonts w:hint="eastAsia"/>
                <w:color w:val="auto"/>
                <w:lang w:val="en-US" w:eastAsia="zh-CN"/>
              </w:rPr>
              <w:t>详见</w:t>
            </w:r>
            <w:r>
              <w:rPr>
                <w:rFonts w:hint="default"/>
                <w:color w:val="auto"/>
                <w:lang w:val="en-US" w:eastAsia="zh-CN"/>
              </w:rPr>
              <w:t>表</w:t>
            </w:r>
            <w:r>
              <w:rPr>
                <w:rFonts w:hint="eastAsia"/>
                <w:color w:val="auto"/>
                <w:lang w:val="en-US" w:eastAsia="zh-CN"/>
              </w:rPr>
              <w:t>2.2-3，主要原辅材料均为从合规供应商外购。</w:t>
            </w:r>
          </w:p>
          <w:p>
            <w:pPr>
              <w:pStyle w:val="33"/>
              <w:bidi w:val="0"/>
              <w:rPr>
                <w:rFonts w:hint="eastAsia"/>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 xml:space="preserve">.2-3 </w:t>
            </w:r>
            <w:r>
              <w:rPr>
                <w:color w:val="auto"/>
                <w:sz w:val="24"/>
                <w:szCs w:val="24"/>
              </w:rPr>
              <w:t>项目主要原辅料</w:t>
            </w:r>
            <w:r>
              <w:rPr>
                <w:rFonts w:hint="eastAsia"/>
                <w:color w:val="auto"/>
                <w:sz w:val="24"/>
                <w:szCs w:val="24"/>
              </w:rPr>
              <w:t>及能源消耗情况一览表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u w:val="single"/>
              </w:rPr>
            </w:pPr>
            <w:r>
              <w:rPr>
                <w:rFonts w:hint="eastAsia" w:ascii="Times New Roman" w:hAnsi="Times New Roman" w:eastAsia="宋体" w:cs="Times New Roman"/>
                <w:b/>
                <w:bCs/>
                <w:color w:val="auto"/>
                <w:sz w:val="24"/>
                <w:szCs w:val="24"/>
                <w:u w:val="single"/>
                <w:lang w:val="en-US" w:eastAsia="zh-CN"/>
              </w:rPr>
              <w:t>原辅材料理化性质：</w:t>
            </w:r>
          </w:p>
          <w:p>
            <w:pPr>
              <w:bidi w:val="0"/>
              <w:rPr>
                <w:rFonts w:hint="eastAsia"/>
                <w:color w:val="auto"/>
                <w:highlight w:val="none"/>
                <w:lang w:val="en-US" w:eastAsia="zh-CN"/>
              </w:rPr>
            </w:pPr>
            <w:r>
              <w:rPr>
                <w:rFonts w:hint="eastAsia"/>
                <w:color w:val="auto"/>
                <w:highlight w:val="none"/>
                <w:lang w:val="en-US" w:eastAsia="zh-CN"/>
              </w:rPr>
              <w:t>外加剂：主要为聚羧酸盐系高性能减水剂，是水泥混凝土运用中的一种水泥分散剂，该品绿色环保，不易燃，不易爆。主要是改善混凝土拌和物的和易性、保水性和粘聚性，提高混凝土流动性、调节混凝土凝结时间、硬化性能，改善混凝土耐久性能。</w:t>
            </w:r>
          </w:p>
          <w:p>
            <w:pPr>
              <w:bidi w:val="0"/>
              <w:rPr>
                <w:rFonts w:hint="eastAsia" w:ascii="Times New Roman" w:hAnsi="Times New Roman" w:eastAsia="宋体" w:cs="Times New Roman"/>
                <w:color w:val="auto"/>
                <w:highlight w:val="none"/>
                <w:lang w:val="en-US" w:eastAsia="zh-CN"/>
              </w:rPr>
            </w:pPr>
            <w:r>
              <w:rPr>
                <w:rFonts w:hint="eastAsia"/>
                <w:color w:val="auto"/>
                <w:lang w:val="en-US" w:eastAsia="zh-CN"/>
              </w:rPr>
              <w:t>水性脱模剂：</w:t>
            </w:r>
            <w:r>
              <w:rPr>
                <w:rFonts w:hint="eastAsia" w:ascii="Times New Roman" w:hAnsi="Times New Roman" w:eastAsia="宋体" w:cs="Times New Roman"/>
                <w:color w:val="auto"/>
                <w:highlight w:val="none"/>
                <w:lang w:val="en-US" w:eastAsia="zh-CN"/>
              </w:rPr>
              <w:t>水性脱模剂是一种介于模具和成品之间的功能性物质，主要成分包括基础材料、乳化剂和水，本项目使用的混凝土水性脱模剂主要成分为水性丙烯酸乳液、石蜡、硬脂酸、植物油、硅油及乳化剂等。</w:t>
            </w:r>
          </w:p>
          <w:p>
            <w:pPr>
              <w:pStyle w:val="4"/>
              <w:keepNext w:val="0"/>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rPr>
            </w:pP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5</w:t>
            </w:r>
            <w:r>
              <w:rPr>
                <w:rFonts w:hint="default"/>
                <w:color w:val="auto"/>
              </w:rPr>
              <w:t xml:space="preserve"> 主要生产设备</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color w:val="auto"/>
              </w:rPr>
            </w:pPr>
            <w:r>
              <w:rPr>
                <w:rFonts w:hint="default"/>
                <w:color w:val="auto"/>
              </w:rPr>
              <w:t>项目的主要设备详见表</w:t>
            </w:r>
            <w:r>
              <w:rPr>
                <w:rFonts w:hint="default"/>
                <w:color w:val="auto"/>
                <w:lang w:val="en-US" w:eastAsia="zh-CN"/>
              </w:rPr>
              <w:t>2</w:t>
            </w:r>
            <w:r>
              <w:rPr>
                <w:rFonts w:hint="default"/>
                <w:color w:val="auto"/>
              </w:rPr>
              <w:t>.</w:t>
            </w:r>
            <w:r>
              <w:rPr>
                <w:rFonts w:hint="default"/>
                <w:color w:val="auto"/>
                <w:lang w:val="en-US" w:eastAsia="zh-CN"/>
              </w:rPr>
              <w:t>2</w:t>
            </w:r>
            <w:r>
              <w:rPr>
                <w:rFonts w:hint="default"/>
                <w:color w:val="auto"/>
              </w:rPr>
              <w:t>-</w:t>
            </w:r>
            <w:r>
              <w:rPr>
                <w:rFonts w:hint="eastAsia"/>
                <w:color w:val="auto"/>
                <w:lang w:val="en-US" w:eastAsia="zh-CN"/>
              </w:rPr>
              <w:t>4</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after="0" w:afterLines="0"/>
              <w:textAlignment w:val="auto"/>
              <w:rPr>
                <w:rFonts w:hint="default"/>
                <w:color w:val="auto"/>
                <w:sz w:val="24"/>
                <w:szCs w:val="24"/>
              </w:rPr>
            </w:pPr>
            <w:r>
              <w:rPr>
                <w:rFonts w:hint="default"/>
                <w:color w:val="auto"/>
                <w:sz w:val="24"/>
                <w:szCs w:val="24"/>
              </w:rPr>
              <w:t>表2.2-</w:t>
            </w:r>
            <w:r>
              <w:rPr>
                <w:rFonts w:hint="eastAsia"/>
                <w:color w:val="auto"/>
                <w:sz w:val="24"/>
                <w:szCs w:val="24"/>
                <w:lang w:val="en-US" w:eastAsia="zh-CN"/>
              </w:rPr>
              <w:t>4</w:t>
            </w:r>
            <w:r>
              <w:rPr>
                <w:rFonts w:hint="default"/>
                <w:color w:val="auto"/>
                <w:sz w:val="24"/>
                <w:szCs w:val="24"/>
              </w:rPr>
              <w:t xml:space="preserve"> 主要设备一览表</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6</w:t>
            </w:r>
            <w:r>
              <w:rPr>
                <w:rFonts w:hint="default"/>
                <w:color w:val="auto"/>
                <w:lang w:val="en-US" w:eastAsia="zh-CN"/>
              </w:rPr>
              <w:t xml:space="preserve"> 水平衡</w:t>
            </w:r>
          </w:p>
          <w:p>
            <w:pPr>
              <w:bidi w:val="0"/>
              <w:rPr>
                <w:rFonts w:hint="eastAsia" w:ascii="Times New Roman" w:hAnsi="Times New Roman" w:eastAsia="宋体" w:cs="Times New Roman"/>
                <w:color w:val="auto"/>
                <w:lang w:val="en-US" w:eastAsia="zh-CN"/>
              </w:rPr>
            </w:pPr>
            <w:r>
              <w:rPr>
                <w:rFonts w:hint="eastAsia"/>
                <w:color w:val="auto"/>
                <w:lang w:val="en-US" w:eastAsia="zh-CN"/>
              </w:rPr>
              <w:t>项目用水主要为洗砂用水、预拌混凝土用水、设备清洗用水、自然养护用水、生产区地面冲洗用水、抑尘用水、洗车用水、试验清洗用水、食堂用水、日常职工生活用水等，其用排情况如下：</w:t>
            </w:r>
          </w:p>
          <w:p>
            <w:pPr>
              <w:bidi w:val="0"/>
              <w:rPr>
                <w:rFonts w:hint="default"/>
                <w:b/>
                <w:bCs/>
                <w:color w:val="auto"/>
                <w:lang w:val="en-US" w:eastAsia="zh-CN"/>
              </w:rPr>
            </w:pPr>
            <w:r>
              <w:rPr>
                <w:rFonts w:hint="eastAsia"/>
                <w:b/>
                <w:bCs/>
                <w:color w:val="auto"/>
                <w:lang w:val="en-US" w:eastAsia="zh-CN"/>
              </w:rPr>
              <w:t>（1）预拌混凝土用水</w:t>
            </w:r>
          </w:p>
          <w:p>
            <w:pPr>
              <w:bidi w:val="0"/>
              <w:rPr>
                <w:rFonts w:hint="eastAsia"/>
                <w:color w:val="auto"/>
                <w:lang w:val="en-US" w:eastAsia="zh-CN"/>
              </w:rPr>
            </w:pPr>
            <w:r>
              <w:rPr>
                <w:rFonts w:hint="eastAsia"/>
                <w:color w:val="auto"/>
                <w:lang w:val="en-US" w:eastAsia="zh-CN"/>
              </w:rPr>
              <w:t>项目搅拌形成预拌混凝土过程需要加水，企业根据订单需求对预拌混凝土加入不同剂量的新鲜水，主要使用经</w:t>
            </w:r>
            <w:r>
              <w:rPr>
                <w:rFonts w:hint="default"/>
                <w:color w:val="auto"/>
                <w:lang w:val="en-US" w:eastAsia="zh-CN"/>
              </w:rPr>
              <w:t>生产废水处理系统</w:t>
            </w:r>
            <w:r>
              <w:rPr>
                <w:rFonts w:hint="eastAsia"/>
                <w:color w:val="auto"/>
                <w:lang w:val="en-US" w:eastAsia="zh-CN"/>
              </w:rPr>
              <w:t>处理后的回用水。根据建设单位提供资料，项目的搅拌过程中主要原料比例根据订单有所变动，混凝土生产的用水量平均为0.3t/m</w:t>
            </w:r>
            <w:r>
              <w:rPr>
                <w:rFonts w:hint="eastAsia"/>
                <w:color w:val="auto"/>
                <w:vertAlign w:val="superscript"/>
                <w:lang w:val="en-US" w:eastAsia="zh-CN"/>
              </w:rPr>
              <w:t>3</w:t>
            </w:r>
            <w:r>
              <w:rPr>
                <w:rFonts w:hint="eastAsia"/>
                <w:color w:val="auto"/>
                <w:lang w:val="en-US" w:eastAsia="zh-CN"/>
              </w:rPr>
              <w:t>，项目年生产商砼及预制件用混凝土约100万m</w:t>
            </w:r>
            <w:r>
              <w:rPr>
                <w:rFonts w:hint="eastAsia"/>
                <w:color w:val="auto"/>
                <w:vertAlign w:val="superscript"/>
                <w:lang w:val="en-US" w:eastAsia="zh-CN"/>
              </w:rPr>
              <w:t>3</w:t>
            </w:r>
            <w:r>
              <w:rPr>
                <w:rFonts w:hint="eastAsia"/>
                <w:color w:val="auto"/>
                <w:lang w:val="en-US" w:eastAsia="zh-CN"/>
              </w:rPr>
              <w:t>，则计算得搅拌需水量约为30万t/a，考虑在输送等过程中水头损失按10%计，则项目搅拌用水量约33.33万t/a，其中30万t/a进入预拌混凝土中作为结合水存在，剩余3.33万t/a全部损失，无外排。</w:t>
            </w:r>
          </w:p>
          <w:p>
            <w:pPr>
              <w:keepNext/>
              <w:keepLines w:val="0"/>
              <w:pageBreakBefore w:val="0"/>
              <w:widowControl w:val="0"/>
              <w:kinsoku/>
              <w:wordWrap/>
              <w:overflowPunct/>
              <w:topLinePunct w:val="0"/>
              <w:autoSpaceDE/>
              <w:autoSpaceDN/>
              <w:bidi w:val="0"/>
              <w:adjustRightInd/>
              <w:snapToGrid/>
              <w:textAlignment w:val="auto"/>
              <w:rPr>
                <w:rFonts w:hint="default"/>
                <w:b/>
                <w:bCs/>
                <w:color w:val="auto"/>
                <w:lang w:val="en-US" w:eastAsia="zh-CN"/>
              </w:rPr>
            </w:pPr>
            <w:r>
              <w:rPr>
                <w:rFonts w:hint="eastAsia"/>
                <w:b/>
                <w:bCs/>
                <w:color w:val="auto"/>
                <w:lang w:val="en-US" w:eastAsia="zh-CN"/>
              </w:rPr>
              <w:t>（2）养护用水</w:t>
            </w:r>
          </w:p>
          <w:p>
            <w:pPr>
              <w:bidi w:val="0"/>
              <w:rPr>
                <w:rFonts w:hint="eastAsia"/>
                <w:color w:val="auto"/>
                <w:lang w:val="en-US" w:eastAsia="zh-CN"/>
              </w:rPr>
            </w:pPr>
            <w:r>
              <w:rPr>
                <w:rFonts w:hint="eastAsia"/>
                <w:color w:val="auto"/>
                <w:lang w:val="en-US" w:eastAsia="zh-CN"/>
              </w:rPr>
              <w:t>根据建设单位提供资料，项目产品混凝土预制件需在堆场进行自然养护，每天专人对砼结构件喷三次水（早中晚各一次），喷水目的是保持结构件的湿度使混凝土能够自己慢慢凝固，根据建设单位提供资料，每吨预制砼构件表面每次浇水控制在10L，项目日平均生产砼构件量约为1575.76t（52万t/a），则项目自然养护用水量约为47.27t/d（15600t/a），自然养护用水在养护晾干过程中全部损耗，无外排。</w:t>
            </w:r>
          </w:p>
          <w:p>
            <w:pPr>
              <w:bidi w:val="0"/>
              <w:rPr>
                <w:rFonts w:hint="eastAsia"/>
                <w:b/>
                <w:bCs/>
                <w:color w:val="auto"/>
                <w:lang w:val="en-US" w:eastAsia="zh-CN"/>
              </w:rPr>
            </w:pPr>
            <w:r>
              <w:rPr>
                <w:rFonts w:hint="eastAsia"/>
                <w:b/>
                <w:bCs/>
                <w:color w:val="auto"/>
                <w:lang w:val="en-US" w:eastAsia="zh-CN"/>
              </w:rPr>
              <w:t>（3）设备清洗用排水</w:t>
            </w:r>
          </w:p>
          <w:p>
            <w:pPr>
              <w:bidi w:val="0"/>
              <w:rPr>
                <w:rFonts w:hint="eastAsia"/>
                <w:color w:val="auto"/>
                <w:lang w:val="en-US" w:eastAsia="zh-CN"/>
              </w:rPr>
            </w:pPr>
            <w:r>
              <w:rPr>
                <w:rFonts w:hint="eastAsia"/>
                <w:color w:val="auto"/>
                <w:lang w:val="en-US" w:eastAsia="zh-CN"/>
              </w:rPr>
              <w:t>项目需要对2#搅拌楼的搅拌机和5#车间预制砼结构件的布料车进行冲洗，防止因残留的混凝土干燥后板结于设备上，对设备性能造成影响。</w:t>
            </w:r>
          </w:p>
          <w:p>
            <w:pPr>
              <w:bidi w:val="0"/>
              <w:rPr>
                <w:rFonts w:hint="eastAsia"/>
                <w:color w:val="auto"/>
                <w:lang w:val="en-US" w:eastAsia="zh-CN"/>
              </w:rPr>
            </w:pPr>
            <w:r>
              <w:rPr>
                <w:rFonts w:hint="eastAsia"/>
                <w:color w:val="auto"/>
                <w:lang w:val="en-US" w:eastAsia="zh-CN"/>
              </w:rPr>
              <w:t>项目2#搅拌楼内设2套徐工HZS270VD型混凝土搅拌机，根据建设单位提供资料，搅拌机在暂停使用时须冲洗干净，按每台搅拌机平均每天冲洗1次，每次冲洗水量按约占搅拌机容积的30%计算，搅拌机内总容积约为4.5m</w:t>
            </w:r>
            <w:r>
              <w:rPr>
                <w:rFonts w:hint="eastAsia"/>
                <w:color w:val="auto"/>
                <w:vertAlign w:val="superscript"/>
                <w:lang w:val="en-US" w:eastAsia="zh-CN"/>
              </w:rPr>
              <w:t>3</w:t>
            </w:r>
            <w:r>
              <w:rPr>
                <w:rFonts w:hint="eastAsia"/>
                <w:color w:val="auto"/>
                <w:lang w:val="en-US" w:eastAsia="zh-CN"/>
              </w:rPr>
              <w:t>，则厂内2台搅拌机清洗用水量为2.7t/d（891t/a），排污系数按0.9计，则搅拌机清洗废水量为2.43t/d（801.9t/a）。</w:t>
            </w:r>
          </w:p>
          <w:p>
            <w:pPr>
              <w:pStyle w:val="10"/>
              <w:rPr>
                <w:rFonts w:hint="eastAsia"/>
                <w:color w:val="auto"/>
                <w:lang w:val="en-US" w:eastAsia="zh-CN"/>
              </w:rPr>
            </w:pPr>
            <w:r>
              <w:rPr>
                <w:rFonts w:hint="eastAsia" w:ascii="Times New Roman" w:hAnsi="Times New Roman" w:eastAsia="宋体" w:cs="Times New Roman"/>
                <w:b w:val="0"/>
                <w:bCs w:val="0"/>
                <w:color w:val="auto"/>
                <w:sz w:val="24"/>
                <w:lang w:val="en-US" w:eastAsia="zh-CN"/>
              </w:rPr>
              <w:t>项目</w:t>
            </w:r>
            <w:r>
              <w:rPr>
                <w:rFonts w:hint="eastAsia" w:cs="Times New Roman"/>
                <w:b w:val="0"/>
                <w:bCs w:val="0"/>
                <w:color w:val="auto"/>
                <w:sz w:val="24"/>
                <w:lang w:val="en-US" w:eastAsia="zh-CN"/>
              </w:rPr>
              <w:t>设有1台布料车，</w:t>
            </w:r>
            <w:r>
              <w:rPr>
                <w:rFonts w:hint="eastAsia" w:ascii="Times New Roman" w:hAnsi="Times New Roman" w:eastAsia="宋体" w:cs="Times New Roman"/>
                <w:b w:val="0"/>
                <w:bCs w:val="0"/>
                <w:color w:val="auto"/>
                <w:sz w:val="24"/>
                <w:lang w:val="en-US" w:eastAsia="zh-CN"/>
              </w:rPr>
              <w:t>布料车需在暂停使用时进行冲洗，按平均每天冲洗1次，根据建设单位提供资料，布料车日冲洗用水量按</w:t>
            </w:r>
            <w:r>
              <w:rPr>
                <w:rFonts w:hint="eastAsia" w:cs="Times New Roman"/>
                <w:b w:val="0"/>
                <w:bCs w:val="0"/>
                <w:color w:val="auto"/>
                <w:sz w:val="24"/>
                <w:lang w:val="en-US" w:eastAsia="zh-CN"/>
              </w:rPr>
              <w:t>0.5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165</w:t>
            </w:r>
            <w:r>
              <w:rPr>
                <w:rFonts w:hint="eastAsia" w:ascii="Times New Roman" w:hAnsi="Times New Roman" w:eastAsia="宋体" w:cs="Times New Roman"/>
                <w:b w:val="0"/>
                <w:bCs w:val="0"/>
                <w:color w:val="auto"/>
                <w:sz w:val="24"/>
                <w:lang w:val="en-US" w:eastAsia="zh-CN"/>
              </w:rPr>
              <w:t>t/a）计，排污系数按0.9计，则布料车冲洗废水量为0.</w:t>
            </w:r>
            <w:r>
              <w:rPr>
                <w:rFonts w:hint="eastAsia" w:cs="Times New Roman"/>
                <w:b w:val="0"/>
                <w:bCs w:val="0"/>
                <w:color w:val="auto"/>
                <w:sz w:val="24"/>
                <w:lang w:val="en-US" w:eastAsia="zh-CN"/>
              </w:rPr>
              <w:t>45</w:t>
            </w:r>
            <w:r>
              <w:rPr>
                <w:rFonts w:hint="eastAsia" w:ascii="Times New Roman" w:hAnsi="Times New Roman" w:eastAsia="宋体" w:cs="Times New Roman"/>
                <w:b w:val="0"/>
                <w:bCs w:val="0"/>
                <w:color w:val="auto"/>
                <w:sz w:val="24"/>
                <w:lang w:val="en-US" w:eastAsia="zh-CN"/>
              </w:rPr>
              <w:t>t/d（</w:t>
            </w:r>
            <w:r>
              <w:rPr>
                <w:rFonts w:hint="eastAsia" w:cs="Times New Roman"/>
                <w:b w:val="0"/>
                <w:bCs w:val="0"/>
                <w:color w:val="auto"/>
                <w:sz w:val="24"/>
                <w:lang w:val="en-US" w:eastAsia="zh-CN"/>
              </w:rPr>
              <w:t>148.5</w:t>
            </w:r>
            <w:r>
              <w:rPr>
                <w:rFonts w:hint="eastAsia" w:ascii="Times New Roman" w:hAnsi="Times New Roman" w:eastAsia="宋体" w:cs="Times New Roman"/>
                <w:b w:val="0"/>
                <w:bCs w:val="0"/>
                <w:color w:val="auto"/>
                <w:sz w:val="24"/>
                <w:lang w:val="en-US" w:eastAsia="zh-CN"/>
              </w:rPr>
              <w:t>t/a）。</w:t>
            </w:r>
          </w:p>
          <w:p>
            <w:pPr>
              <w:bidi w:val="0"/>
              <w:rPr>
                <w:rFonts w:hint="eastAsia"/>
                <w:color w:val="auto"/>
                <w:lang w:val="en-US" w:eastAsia="zh-CN"/>
              </w:rPr>
            </w:pPr>
            <w:r>
              <w:rPr>
                <w:rFonts w:hint="eastAsia"/>
                <w:color w:val="auto"/>
                <w:lang w:val="en-US" w:eastAsia="zh-CN"/>
              </w:rPr>
              <w:t>因此项目的设备清洗废水总量为2.88t/d（950.4</w:t>
            </w:r>
            <w:r>
              <w:rPr>
                <w:rFonts w:hint="eastAsia" w:ascii="Times New Roman" w:hAnsi="Times New Roman" w:eastAsia="宋体" w:cs="Times New Roman"/>
                <w:b w:val="0"/>
                <w:bCs w:val="0"/>
                <w:color w:val="auto"/>
                <w:sz w:val="24"/>
                <w:lang w:val="en-US" w:eastAsia="zh-CN"/>
              </w:rPr>
              <w:t>t/a</w:t>
            </w:r>
            <w:r>
              <w:rPr>
                <w:rFonts w:hint="eastAsia"/>
                <w:color w:val="auto"/>
                <w:lang w:val="en-US" w:eastAsia="zh-CN"/>
              </w:rPr>
              <w:t>），此部分废水</w:t>
            </w:r>
            <w:r>
              <w:rPr>
                <w:rFonts w:hint="default"/>
                <w:color w:val="auto"/>
                <w:lang w:val="en-US" w:eastAsia="zh-CN"/>
              </w:rPr>
              <w:t>经</w:t>
            </w:r>
            <w:r>
              <w:rPr>
                <w:rFonts w:hint="eastAsia"/>
                <w:color w:val="auto"/>
                <w:lang w:val="en-US" w:eastAsia="zh-CN"/>
              </w:rPr>
              <w:t>搅拌楼南侧的</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（4）地面冲洗用排水</w:t>
            </w:r>
          </w:p>
          <w:p>
            <w:pPr>
              <w:bidi w:val="0"/>
              <w:rPr>
                <w:rFonts w:hint="eastAsia" w:ascii="Times New Roman" w:hAnsi="Times New Roman" w:eastAsia="宋体" w:cs="Times New Roman"/>
                <w:b w:val="0"/>
                <w:bCs w:val="0"/>
                <w:color w:val="auto"/>
                <w:lang w:val="en-US" w:eastAsia="zh-CN"/>
              </w:rPr>
            </w:pPr>
            <w:r>
              <w:rPr>
                <w:rFonts w:hint="eastAsia"/>
                <w:color w:val="auto"/>
                <w:lang w:eastAsia="zh-CN"/>
              </w:rPr>
              <w:t>项目生产区地面需定期冲洗，避免残留物干燥后，造成扬尘。参照《建筑给水排水设计规范》（GB50015-2003）中的数据，取值2L/m</w:t>
            </w:r>
            <w:r>
              <w:rPr>
                <w:rFonts w:hint="eastAsia"/>
                <w:color w:val="auto"/>
                <w:vertAlign w:val="superscript"/>
                <w:lang w:eastAsia="zh-CN"/>
              </w:rPr>
              <w:t>2</w:t>
            </w:r>
            <w:r>
              <w:rPr>
                <w:rFonts w:hint="eastAsia"/>
                <w:color w:val="auto"/>
                <w:lang w:eastAsia="zh-CN"/>
              </w:rPr>
              <w:t>·d，项目需冲洗场地主要为</w:t>
            </w:r>
            <w:r>
              <w:rPr>
                <w:rFonts w:hint="eastAsia"/>
                <w:color w:val="auto"/>
                <w:lang w:val="en-US" w:eastAsia="zh-CN"/>
              </w:rPr>
              <w:t>2#搅拌楼及其附属设施、3#物料库砂石料配料区及建筑垃圾回收破碎区、5#-6#生产车间</w:t>
            </w:r>
            <w:r>
              <w:rPr>
                <w:rFonts w:hint="eastAsia"/>
                <w:color w:val="auto"/>
                <w:lang w:eastAsia="zh-CN"/>
              </w:rPr>
              <w:t>，根据建设单位提供资料，</w:t>
            </w:r>
            <w:r>
              <w:rPr>
                <w:rFonts w:hint="eastAsia"/>
                <w:color w:val="auto"/>
                <w:lang w:val="en-US" w:eastAsia="zh-CN"/>
              </w:rPr>
              <w:t>几处建筑物</w:t>
            </w:r>
            <w:r>
              <w:rPr>
                <w:rFonts w:hint="eastAsia"/>
                <w:color w:val="auto"/>
                <w:lang w:eastAsia="zh-CN"/>
              </w:rPr>
              <w:t>面积</w:t>
            </w:r>
            <w:r>
              <w:rPr>
                <w:rFonts w:hint="eastAsia"/>
                <w:color w:val="auto"/>
                <w:lang w:val="en-US" w:eastAsia="zh-CN"/>
              </w:rPr>
              <w:t>共计13049.55m</w:t>
            </w:r>
            <w:r>
              <w:rPr>
                <w:rFonts w:hint="eastAsia"/>
                <w:color w:val="auto"/>
                <w:vertAlign w:val="superscript"/>
                <w:lang w:val="en-US" w:eastAsia="zh-CN"/>
              </w:rPr>
              <w:t>2</w:t>
            </w:r>
            <w:r>
              <w:rPr>
                <w:rFonts w:hint="eastAsia"/>
                <w:color w:val="auto"/>
                <w:lang w:eastAsia="zh-CN"/>
              </w:rPr>
              <w:t>，</w:t>
            </w:r>
            <w:r>
              <w:rPr>
                <w:rFonts w:hint="eastAsia"/>
                <w:color w:val="auto"/>
                <w:lang w:val="en-US" w:eastAsia="zh-CN"/>
              </w:rPr>
              <w:t>按</w:t>
            </w:r>
            <w:r>
              <w:rPr>
                <w:rFonts w:hint="eastAsia"/>
                <w:color w:val="auto"/>
                <w:lang w:eastAsia="zh-CN"/>
              </w:rPr>
              <w:t>1周冲洗1次</w:t>
            </w:r>
            <w:r>
              <w:rPr>
                <w:rFonts w:hint="eastAsia"/>
                <w:color w:val="auto"/>
                <w:lang w:val="en-US" w:eastAsia="zh-CN"/>
              </w:rPr>
              <w:t>计</w:t>
            </w:r>
            <w:r>
              <w:rPr>
                <w:rFonts w:hint="eastAsia"/>
                <w:color w:val="auto"/>
                <w:lang w:eastAsia="zh-CN"/>
              </w:rPr>
              <w:t>，则项目地面冲洗用水量约为</w:t>
            </w:r>
            <w:r>
              <w:rPr>
                <w:rFonts w:hint="eastAsia"/>
                <w:color w:val="auto"/>
                <w:lang w:val="en-US" w:eastAsia="zh-CN"/>
              </w:rPr>
              <w:t>26.1t</w:t>
            </w:r>
            <w:r>
              <w:rPr>
                <w:rFonts w:hint="eastAsia"/>
                <w:color w:val="auto"/>
                <w:lang w:eastAsia="zh-CN"/>
              </w:rPr>
              <w:t>/次（</w:t>
            </w:r>
            <w:r>
              <w:rPr>
                <w:rFonts w:hint="eastAsia"/>
                <w:color w:val="auto"/>
                <w:lang w:val="en-US" w:eastAsia="zh-CN"/>
              </w:rPr>
              <w:t>1252.8</w:t>
            </w:r>
            <w:r>
              <w:rPr>
                <w:rFonts w:hint="eastAsia"/>
                <w:color w:val="auto"/>
                <w:lang w:eastAsia="zh-CN"/>
              </w:rPr>
              <w:t>t/a），</w:t>
            </w:r>
            <w:r>
              <w:rPr>
                <w:rFonts w:hint="eastAsia"/>
                <w:color w:val="auto"/>
                <w:lang w:val="en-US" w:eastAsia="zh-CN"/>
              </w:rPr>
              <w:t>地面</w:t>
            </w:r>
            <w:r>
              <w:rPr>
                <w:rFonts w:hint="eastAsia"/>
                <w:color w:val="auto"/>
                <w:lang w:eastAsia="zh-CN"/>
              </w:rPr>
              <w:t>冲洗的蒸发损耗量较大，损耗量按用水量的20%考虑，则项目地面冲洗废水量为</w:t>
            </w:r>
            <w:r>
              <w:rPr>
                <w:rFonts w:hint="eastAsia"/>
                <w:color w:val="auto"/>
                <w:lang w:val="en-US" w:eastAsia="zh-CN"/>
              </w:rPr>
              <w:t>20.88</w:t>
            </w:r>
            <w:r>
              <w:rPr>
                <w:rFonts w:hint="eastAsia"/>
                <w:color w:val="auto"/>
                <w:lang w:eastAsia="zh-CN"/>
              </w:rPr>
              <w:t>t/次（</w:t>
            </w:r>
            <w:r>
              <w:rPr>
                <w:rFonts w:hint="eastAsia"/>
                <w:color w:val="auto"/>
                <w:lang w:val="en-US" w:eastAsia="zh-CN"/>
              </w:rPr>
              <w:t>1002.24</w:t>
            </w:r>
            <w:r>
              <w:rPr>
                <w:rFonts w:hint="eastAsia"/>
                <w:color w:val="auto"/>
                <w:lang w:eastAsia="zh-CN"/>
              </w:rPr>
              <w:t>t/a），</w:t>
            </w:r>
            <w:r>
              <w:rPr>
                <w:rFonts w:hint="default"/>
                <w:color w:val="auto"/>
                <w:lang w:val="en-US" w:eastAsia="zh-CN"/>
              </w:rPr>
              <w:t>经生产废水处理系统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default" w:ascii="Times New Roman" w:hAnsi="Times New Roman" w:eastAsia="宋体" w:cs="Times New Roman"/>
                <w:b/>
                <w:bCs/>
                <w:color w:val="auto"/>
                <w:lang w:val="en-US" w:eastAsia="zh-CN"/>
              </w:rPr>
            </w:pPr>
            <w:r>
              <w:rPr>
                <w:rFonts w:hint="eastAsia"/>
                <w:b/>
                <w:bCs/>
                <w:color w:val="auto"/>
                <w:lang w:val="en-US" w:eastAsia="zh-CN"/>
              </w:rPr>
              <w:t>（5）抑尘用水及道路清扫用水</w:t>
            </w:r>
          </w:p>
          <w:p>
            <w:pPr>
              <w:bidi w:val="0"/>
              <w:rPr>
                <w:rFonts w:hint="eastAsia"/>
                <w:color w:val="auto"/>
                <w:lang w:val="en-US" w:eastAsia="zh-CN"/>
              </w:rPr>
            </w:pPr>
            <w:r>
              <w:rPr>
                <w:rFonts w:hint="eastAsia"/>
                <w:color w:val="auto"/>
                <w:lang w:val="en-US" w:eastAsia="zh-CN"/>
              </w:rPr>
              <w:t>项目抑尘用水点主要为厂区喷淋降尘装置、道路人工定时洒水以及装卸时厂区雾炮机降尘。</w:t>
            </w:r>
          </w:p>
          <w:p>
            <w:pPr>
              <w:bidi w:val="0"/>
              <w:rPr>
                <w:rFonts w:hint="eastAsia"/>
                <w:color w:val="auto"/>
                <w:lang w:val="en-US" w:eastAsia="zh-CN"/>
              </w:rPr>
            </w:pPr>
            <w:r>
              <w:rPr>
                <w:rFonts w:hint="eastAsia" w:ascii="Times New Roman" w:hAnsi="Times New Roman" w:eastAsia="宋体" w:cs="Times New Roman"/>
                <w:color w:val="auto"/>
                <w:szCs w:val="24"/>
                <w:lang w:val="en-US" w:eastAsia="zh-CN"/>
              </w:rPr>
              <w:t>项目3#物料库的砂石堆场装卸及配料口装卸料</w:t>
            </w:r>
            <w:r>
              <w:rPr>
                <w:rFonts w:hint="default" w:ascii="Times New Roman" w:hAnsi="Times New Roman" w:eastAsia="宋体" w:cs="Times New Roman"/>
                <w:color w:val="auto"/>
                <w:highlight w:val="none"/>
              </w:rPr>
              <w:t>过程</w:t>
            </w:r>
            <w:r>
              <w:rPr>
                <w:rFonts w:hint="default" w:ascii="Times New Roman" w:hAnsi="Times New Roman" w:eastAsia="宋体" w:cs="Times New Roman"/>
                <w:color w:val="auto"/>
                <w:highlight w:val="none"/>
                <w:lang w:eastAsia="zh-CN"/>
              </w:rPr>
              <w:t>产生少量的</w:t>
            </w:r>
            <w:r>
              <w:rPr>
                <w:rFonts w:hint="default" w:ascii="Times New Roman" w:hAnsi="Times New Roman" w:eastAsia="宋体" w:cs="Times New Roman"/>
                <w:color w:val="auto"/>
                <w:highlight w:val="none"/>
              </w:rPr>
              <w:t>粉尘，</w:t>
            </w:r>
            <w:r>
              <w:rPr>
                <w:rFonts w:hint="default" w:ascii="Times New Roman" w:hAnsi="Times New Roman" w:eastAsia="宋体" w:cs="Times New Roman"/>
                <w:color w:val="auto"/>
                <w:highlight w:val="none"/>
                <w:lang w:eastAsia="zh-CN"/>
              </w:rPr>
              <w:t>为降低</w:t>
            </w:r>
            <w:r>
              <w:rPr>
                <w:rFonts w:hint="eastAsia" w:ascii="Times New Roman" w:hAnsi="Times New Roman" w:eastAsia="宋体" w:cs="Times New Roman"/>
                <w:color w:val="auto"/>
                <w:highlight w:val="none"/>
                <w:lang w:val="en-US" w:eastAsia="zh-CN"/>
              </w:rPr>
              <w:t>堆场</w:t>
            </w:r>
            <w:r>
              <w:rPr>
                <w:rFonts w:hint="eastAsia" w:ascii="Times New Roman" w:hAnsi="Times New Roman" w:eastAsia="宋体" w:cs="Times New Roman"/>
                <w:color w:val="auto"/>
                <w:szCs w:val="24"/>
                <w:lang w:val="en-US" w:eastAsia="zh-CN"/>
              </w:rPr>
              <w:t>装卸</w:t>
            </w:r>
            <w:r>
              <w:rPr>
                <w:rFonts w:hint="default" w:ascii="Times New Roman" w:hAnsi="Times New Roman" w:eastAsia="宋体" w:cs="Times New Roman"/>
                <w:color w:val="auto"/>
                <w:highlight w:val="none"/>
              </w:rPr>
              <w:t>料时</w:t>
            </w:r>
            <w:r>
              <w:rPr>
                <w:rFonts w:hint="default" w:ascii="Times New Roman" w:hAnsi="Times New Roman" w:eastAsia="宋体" w:cs="Times New Roman"/>
                <w:color w:val="auto"/>
                <w:highlight w:val="none"/>
                <w:lang w:eastAsia="zh-CN"/>
              </w:rPr>
              <w:t>产生的粉尘</w:t>
            </w:r>
            <w:r>
              <w:rPr>
                <w:rFonts w:hint="eastAsia" w:ascii="Times New Roman" w:hAnsi="Times New Roman" w:eastAsia="宋体" w:cs="Times New Roman"/>
                <w:color w:val="auto"/>
                <w:highlight w:val="none"/>
                <w:lang w:val="en-US" w:eastAsia="zh-CN"/>
              </w:rPr>
              <w:t>及生产车间生产过程中的粉尘，</w:t>
            </w:r>
            <w:r>
              <w:rPr>
                <w:rFonts w:hint="default" w:ascii="Times New Roman" w:hAnsi="Times New Roman" w:eastAsia="宋体" w:cs="Times New Roman"/>
                <w:color w:val="auto"/>
                <w:highlight w:val="none"/>
                <w:lang w:eastAsia="zh-CN"/>
              </w:rPr>
              <w:t>要求项目在</w:t>
            </w:r>
            <w:r>
              <w:rPr>
                <w:rFonts w:hint="eastAsia"/>
                <w:color w:val="auto"/>
                <w:lang w:val="en-US" w:eastAsia="zh-CN"/>
              </w:rPr>
              <w:t>3#物料库车间内部</w:t>
            </w:r>
            <w:r>
              <w:rPr>
                <w:rFonts w:hint="eastAsia" w:ascii="Times New Roman" w:hAnsi="Times New Roman" w:eastAsia="宋体" w:cs="Times New Roman"/>
                <w:color w:val="auto"/>
                <w:highlight w:val="none"/>
                <w:lang w:val="en-US" w:eastAsia="zh-CN"/>
              </w:rPr>
              <w:t>砂石料堆场、</w:t>
            </w:r>
            <w:r>
              <w:rPr>
                <w:rFonts w:hint="eastAsia" w:cs="Times New Roman"/>
                <w:color w:val="auto"/>
                <w:highlight w:val="none"/>
                <w:lang w:val="en-US" w:eastAsia="zh-CN"/>
              </w:rPr>
              <w:t>配料区</w:t>
            </w:r>
            <w:r>
              <w:rPr>
                <w:rFonts w:hint="eastAsia" w:ascii="Times New Roman" w:hAnsi="Times New Roman" w:eastAsia="宋体" w:cs="Times New Roman"/>
                <w:color w:val="auto"/>
                <w:highlight w:val="none"/>
                <w:lang w:val="en-US" w:eastAsia="zh-CN"/>
              </w:rPr>
              <w:t>进料口</w:t>
            </w:r>
            <w:r>
              <w:rPr>
                <w:rFonts w:hint="default" w:ascii="Times New Roman" w:hAnsi="Times New Roman" w:eastAsia="宋体" w:cs="Times New Roman"/>
                <w:color w:val="auto"/>
                <w:highlight w:val="none"/>
                <w:lang w:val="en-US" w:eastAsia="zh-CN"/>
              </w:rPr>
              <w:t>上方设置</w:t>
            </w:r>
            <w:r>
              <w:rPr>
                <w:rFonts w:hint="default" w:ascii="Times New Roman" w:hAnsi="Times New Roman" w:eastAsia="宋体" w:cs="Times New Roman"/>
                <w:color w:val="auto"/>
                <w:highlight w:val="none"/>
              </w:rPr>
              <w:t>雾化喷淋装置抑尘</w:t>
            </w:r>
            <w:r>
              <w:rPr>
                <w:rFonts w:hint="eastAsia"/>
                <w:color w:val="auto"/>
                <w:lang w:val="en-US" w:eastAsia="zh-CN"/>
              </w:rPr>
              <w:t>。根据建设单位提供资料，项目3#物料库占地面积为6110.98m</w:t>
            </w:r>
            <w:r>
              <w:rPr>
                <w:rFonts w:hint="eastAsia"/>
                <w:color w:val="auto"/>
                <w:vertAlign w:val="superscript"/>
                <w:lang w:val="en-US" w:eastAsia="zh-CN"/>
              </w:rPr>
              <w:t>2</w:t>
            </w:r>
            <w:r>
              <w:rPr>
                <w:rFonts w:hint="eastAsia"/>
                <w:color w:val="auto"/>
                <w:lang w:val="en-US" w:eastAsia="zh-CN"/>
              </w:rPr>
              <w:t>，喷淋水量按0.003t/m</w:t>
            </w:r>
            <w:r>
              <w:rPr>
                <w:rFonts w:hint="eastAsia"/>
                <w:color w:val="auto"/>
                <w:vertAlign w:val="superscript"/>
                <w:lang w:val="en-US" w:eastAsia="zh-CN"/>
              </w:rPr>
              <w:t>2</w:t>
            </w:r>
            <w:r>
              <w:rPr>
                <w:rFonts w:hint="eastAsia"/>
                <w:color w:val="auto"/>
                <w:lang w:val="en-US" w:eastAsia="zh-CN"/>
              </w:rPr>
              <w:t>·d计，则项目3#物料库喷淋抑尘用水量约为18.33t/d（6048.9t/a）。</w:t>
            </w:r>
          </w:p>
          <w:p>
            <w:pPr>
              <w:bidi w:val="0"/>
              <w:rPr>
                <w:rFonts w:hint="eastAsia"/>
                <w:color w:val="auto"/>
                <w:lang w:val="en-US" w:eastAsia="zh-CN"/>
              </w:rPr>
            </w:pPr>
            <w:r>
              <w:rPr>
                <w:rFonts w:hint="eastAsia"/>
                <w:color w:val="auto"/>
                <w:lang w:val="en-US" w:eastAsia="zh-CN"/>
              </w:rPr>
              <w:t>项目拟在搅拌楼及其附属设施内部（主要为称量、搅拌、骨料主传输带、装车层、粉料仓层）内部整体采用喷淋装置降尘，根据建设单位提供资料，按3t/d（990t/a）计。</w:t>
            </w:r>
          </w:p>
          <w:p>
            <w:pPr>
              <w:bidi w:val="0"/>
              <w:rPr>
                <w:rFonts w:hint="default"/>
                <w:color w:val="auto"/>
                <w:lang w:val="en-US" w:eastAsia="zh-CN"/>
              </w:rPr>
            </w:pPr>
            <w:r>
              <w:rPr>
                <w:rFonts w:hint="eastAsia"/>
                <w:color w:val="auto"/>
                <w:lang w:val="en-US" w:eastAsia="zh-CN"/>
              </w:rPr>
              <w:t>同时项目拟对生产区侧的厂区西、西南侧以及南侧围墙上配套喷淋装置，在雨天（按120d/a计）以外的生产时间内（12h/d）开启，长度约246m，按2m隔间一个设置，喷头流量约0.8-1.0L/min，按0.9L/min计，围墙喷淋装置用水量约为79.7t/d（16737t/a）。</w:t>
            </w:r>
          </w:p>
          <w:p>
            <w:pPr>
              <w:bidi w:val="0"/>
              <w:rPr>
                <w:rFonts w:hint="eastAsia"/>
                <w:color w:val="auto"/>
                <w:lang w:val="en-US" w:eastAsia="zh-CN"/>
              </w:rPr>
            </w:pPr>
            <w:r>
              <w:rPr>
                <w:rFonts w:hint="eastAsia"/>
                <w:color w:val="auto"/>
                <w:lang w:val="en-US" w:eastAsia="zh-CN"/>
              </w:rPr>
              <w:t>项目厂内运输道路在雨天（按120d/a计）以外定时人工洒水并清扫，参考福建省地方标准《行业用水定额》（DB35/T 772-2023）中表6环境卫生管理中浇洒道路和场地用水定额值为1.5L/（m</w:t>
            </w:r>
            <w:r>
              <w:rPr>
                <w:rFonts w:hint="eastAsia"/>
                <w:color w:val="auto"/>
                <w:vertAlign w:val="superscript"/>
                <w:lang w:val="en-US" w:eastAsia="zh-CN"/>
              </w:rPr>
              <w:t>2</w:t>
            </w:r>
            <w:r>
              <w:rPr>
                <w:rFonts w:hint="eastAsia"/>
                <w:color w:val="auto"/>
                <w:lang w:val="en-US" w:eastAsia="zh-CN"/>
              </w:rPr>
              <w:t>·d），项目厂区运输道路面积约3700m</w:t>
            </w:r>
            <w:r>
              <w:rPr>
                <w:rFonts w:hint="eastAsia"/>
                <w:color w:val="auto"/>
                <w:vertAlign w:val="superscript"/>
                <w:lang w:val="en-US" w:eastAsia="zh-CN"/>
              </w:rPr>
              <w:t>2</w:t>
            </w:r>
            <w:r>
              <w:rPr>
                <w:rFonts w:hint="eastAsia"/>
                <w:color w:val="auto"/>
                <w:lang w:val="en-US" w:eastAsia="zh-CN"/>
              </w:rPr>
              <w:t>，则项目道路抑尘用水量约为5.55t/d（1165.5t/a）。</w:t>
            </w:r>
          </w:p>
          <w:p>
            <w:pPr>
              <w:bidi w:val="0"/>
              <w:rPr>
                <w:rFonts w:hint="default" w:ascii="Times New Roman" w:hAnsi="Times New Roman" w:eastAsia="宋体" w:cs="Times New Roman"/>
                <w:b w:val="0"/>
                <w:bCs/>
                <w:caps w:val="0"/>
                <w:smallCaps w:val="0"/>
                <w:color w:val="auto"/>
                <w:szCs w:val="24"/>
                <w:lang w:val="en-US" w:eastAsia="zh-CN"/>
              </w:rPr>
            </w:pPr>
            <w:r>
              <w:rPr>
                <w:rFonts w:hint="eastAsia"/>
                <w:color w:val="auto"/>
                <w:lang w:val="en-US" w:eastAsia="zh-CN"/>
              </w:rPr>
              <w:t>综上，项目抑尘及道路清扫的日用水最大约为106.58t/d，年用水量约24941.4t/a，全部蒸发损耗，无废水排放。</w:t>
            </w:r>
          </w:p>
          <w:p>
            <w:pPr>
              <w:bidi w:val="0"/>
              <w:rPr>
                <w:rFonts w:hint="eastAsia"/>
                <w:b/>
                <w:bCs/>
                <w:color w:val="auto"/>
                <w:lang w:val="en-US" w:eastAsia="zh-CN"/>
              </w:rPr>
            </w:pPr>
            <w:r>
              <w:rPr>
                <w:rFonts w:hint="eastAsia"/>
                <w:b/>
                <w:bCs/>
                <w:color w:val="auto"/>
                <w:lang w:val="en-US" w:eastAsia="zh-CN"/>
              </w:rPr>
              <w:t>（6）洗车用水</w:t>
            </w:r>
          </w:p>
          <w:p>
            <w:pPr>
              <w:bidi w:val="0"/>
              <w:rPr>
                <w:rFonts w:hint="eastAsia"/>
                <w:color w:val="auto"/>
                <w:lang w:val="en-US" w:eastAsia="zh-CN"/>
              </w:rPr>
            </w:pPr>
            <w:r>
              <w:rPr>
                <w:rFonts w:hint="eastAsia"/>
                <w:color w:val="auto"/>
                <w:lang w:val="en-US" w:eastAsia="zh-CN"/>
              </w:rPr>
              <w:t>项目厂区出入口拟设置洗车台，对进、出运输车辆进行冲洗，参照《建筑给排水设计标准》（GB50015-2019），载重汽车高压水枪冲洗用水量为80～120L/（辆·次），本次评价取其平均值100L/（辆·次）进行计算。项目主要原料（水泥、粉煤灰、石方、矿粉、钢筋、钢棒、螺旋筋等）约207万t/a及产品</w:t>
            </w:r>
            <w:r>
              <w:rPr>
                <w:rFonts w:hint="eastAsia"/>
                <w:color w:val="auto"/>
                <w:lang w:eastAsia="zh-CN"/>
              </w:rPr>
              <w:t>约</w:t>
            </w:r>
            <w:r>
              <w:rPr>
                <w:rFonts w:hint="eastAsia"/>
                <w:color w:val="auto"/>
                <w:lang w:val="en-US" w:eastAsia="zh-CN"/>
              </w:rPr>
              <w:t>236万</w:t>
            </w:r>
            <w:r>
              <w:rPr>
                <w:rFonts w:hint="eastAsia"/>
                <w:color w:val="auto"/>
                <w:lang w:eastAsia="zh-CN"/>
              </w:rPr>
              <w:t>t/a（</w:t>
            </w:r>
            <w:r>
              <w:rPr>
                <w:rFonts w:hint="eastAsia"/>
                <w:color w:val="auto"/>
                <w:lang w:val="en-US" w:eastAsia="zh-CN"/>
              </w:rPr>
              <w:t>项目年产预拌商品混凝土80万立方，预制砼构件20万立方。</w:t>
            </w:r>
            <w:r>
              <w:rPr>
                <w:rFonts w:hint="eastAsia"/>
                <w:color w:val="auto"/>
                <w:highlight w:val="none"/>
                <w:lang w:val="en-US" w:eastAsia="zh-CN"/>
              </w:rPr>
              <w:t>根据建设方提供资料，预拌混凝土综合密度均按照2.3t/m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val="en-US" w:eastAsia="zh-CN"/>
              </w:rPr>
              <w:t>，</w:t>
            </w:r>
            <w:r>
              <w:rPr>
                <w:rFonts w:hint="eastAsia"/>
                <w:color w:val="auto"/>
                <w:highlight w:val="none"/>
                <w:vertAlign w:val="baseline"/>
                <w:lang w:val="en-US" w:eastAsia="zh-CN"/>
              </w:rPr>
              <w:t>预制砼结构件综合密度按照</w:t>
            </w:r>
            <w:r>
              <w:rPr>
                <w:rFonts w:hint="eastAsia"/>
                <w:color w:val="auto"/>
                <w:highlight w:val="none"/>
                <w:lang w:val="en-US" w:eastAsia="zh-CN"/>
              </w:rPr>
              <w:t>2.6t/m</w:t>
            </w:r>
            <w:r>
              <w:rPr>
                <w:rFonts w:hint="eastAsia"/>
                <w:color w:val="auto"/>
                <w:highlight w:val="none"/>
                <w:vertAlign w:val="superscript"/>
                <w:lang w:val="en-US" w:eastAsia="zh-CN"/>
              </w:rPr>
              <w:t>3</w:t>
            </w:r>
            <w:r>
              <w:rPr>
                <w:rFonts w:hint="eastAsia"/>
                <w:color w:val="auto"/>
                <w:highlight w:val="none"/>
                <w:vertAlign w:val="baseline"/>
                <w:lang w:val="en-US" w:eastAsia="zh-CN"/>
              </w:rPr>
              <w:t>计</w:t>
            </w:r>
            <w:r>
              <w:rPr>
                <w:rFonts w:hint="eastAsia"/>
                <w:color w:val="auto"/>
                <w:highlight w:val="none"/>
                <w:lang w:eastAsia="zh-CN"/>
              </w:rPr>
              <w:t>）</w:t>
            </w:r>
            <w:r>
              <w:rPr>
                <w:rFonts w:hint="eastAsia"/>
                <w:color w:val="auto"/>
                <w:lang w:eastAsia="zh-CN"/>
              </w:rPr>
              <w:t>，共计约</w:t>
            </w:r>
            <w:r>
              <w:rPr>
                <w:rFonts w:hint="eastAsia"/>
                <w:color w:val="auto"/>
                <w:lang w:val="en-US" w:eastAsia="zh-CN"/>
              </w:rPr>
              <w:t>443万</w:t>
            </w:r>
            <w:r>
              <w:rPr>
                <w:rFonts w:hint="eastAsia"/>
                <w:color w:val="auto"/>
                <w:lang w:eastAsia="zh-CN"/>
              </w:rPr>
              <w:t>t/a。车辆载重规格按30t计，年发车</w:t>
            </w:r>
            <w:r>
              <w:rPr>
                <w:rFonts w:hint="eastAsia"/>
                <w:color w:val="auto"/>
                <w:lang w:val="en-US" w:eastAsia="zh-CN"/>
              </w:rPr>
              <w:t>147667</w:t>
            </w:r>
            <w:r>
              <w:rPr>
                <w:rFonts w:hint="eastAsia"/>
                <w:color w:val="auto"/>
                <w:lang w:eastAsia="zh-CN"/>
              </w:rPr>
              <w:t>辆次</w:t>
            </w:r>
            <w:r>
              <w:rPr>
                <w:rFonts w:hint="eastAsia"/>
                <w:color w:val="auto"/>
                <w:lang w:val="en-US" w:eastAsia="zh-CN"/>
              </w:rPr>
              <w:t>，则项目车辆进出两次洗车用水量约89.5t/d（29533.4t/a）。因属于露天清洗，蒸发损耗量较大，产污按80%计，则洗车废水产生量71.6t/d（23626.72t/a），经洗车台配套沉淀池处理后，回用于车辆冲洗，不外排。沉淀池表层少量浮油采用吸油毡定期清理，废吸油毡作为危险废物委托资质单位定期清运处置。</w:t>
            </w:r>
          </w:p>
          <w:p>
            <w:pPr>
              <w:bidi w:val="0"/>
              <w:rPr>
                <w:rFonts w:hint="eastAsia"/>
                <w:b/>
                <w:bCs/>
                <w:color w:val="auto"/>
                <w:lang w:val="en-US" w:eastAsia="zh-CN"/>
              </w:rPr>
            </w:pPr>
            <w:r>
              <w:rPr>
                <w:rFonts w:hint="eastAsia"/>
                <w:b/>
                <w:bCs/>
                <w:color w:val="auto"/>
                <w:lang w:val="en-US" w:eastAsia="zh-CN"/>
              </w:rPr>
              <w:t>（7）试验清洗用水</w:t>
            </w:r>
          </w:p>
          <w:p>
            <w:pPr>
              <w:bidi w:val="0"/>
              <w:rPr>
                <w:rFonts w:hint="eastAsia"/>
                <w:color w:val="auto"/>
                <w:lang w:val="en-US" w:eastAsia="zh-CN"/>
              </w:rPr>
            </w:pPr>
            <w:r>
              <w:rPr>
                <w:rFonts w:hint="eastAsia"/>
                <w:color w:val="auto"/>
                <w:lang w:val="en-US" w:eastAsia="zh-CN"/>
              </w:rPr>
              <w:t>项目对预拌混凝土物理性质（含气量、抗渗、抗折抗压等）进行试验，均为物理试验，不使用化学试剂。为保证试验准确性，需对试验设备和仪器进行清洗，产生一定量的试验清洗废水，废水的主要污染物为SS，不含有毒、有害物质及重金属。根据建设单位提供资料，试验清洗用水量约为0.3t/d（99t/a），产污系数取0.9，试验清洗废水产生量为0.27t/d（即89.1t/a）。试验清洗废水</w:t>
            </w:r>
            <w:r>
              <w:rPr>
                <w:rFonts w:hint="default"/>
                <w:color w:val="auto"/>
                <w:lang w:val="en-US" w:eastAsia="zh-CN"/>
              </w:rPr>
              <w:t>经</w:t>
            </w:r>
            <w:r>
              <w:rPr>
                <w:rFonts w:hint="eastAsia"/>
                <w:color w:val="auto"/>
                <w:lang w:val="en-US" w:eastAsia="zh-CN"/>
              </w:rPr>
              <w:t>收集后排放进</w:t>
            </w:r>
            <w:r>
              <w:rPr>
                <w:rFonts w:hint="default"/>
                <w:color w:val="auto"/>
                <w:lang w:val="en-US" w:eastAsia="zh-CN"/>
              </w:rPr>
              <w:t>生产废水处理系统</w:t>
            </w:r>
            <w:r>
              <w:rPr>
                <w:rFonts w:hint="eastAsia"/>
                <w:color w:val="auto"/>
                <w:lang w:val="en-US" w:eastAsia="zh-CN"/>
              </w:rPr>
              <w:t>（斜坡沉淀池）</w:t>
            </w:r>
            <w:r>
              <w:rPr>
                <w:rFonts w:hint="default"/>
                <w:color w:val="auto"/>
                <w:lang w:val="en-US" w:eastAsia="zh-CN"/>
              </w:rPr>
              <w:t>处理后</w:t>
            </w:r>
            <w:r>
              <w:rPr>
                <w:rFonts w:hint="eastAsia"/>
                <w:color w:val="auto"/>
                <w:lang w:val="en-US" w:eastAsia="zh-CN"/>
              </w:rPr>
              <w:t>回用于混凝土搅拌，不外排。</w:t>
            </w:r>
          </w:p>
          <w:p>
            <w:pPr>
              <w:bidi w:val="0"/>
              <w:rPr>
                <w:rFonts w:hint="eastAsia"/>
                <w:b/>
                <w:bCs/>
                <w:color w:val="auto"/>
                <w:lang w:val="en-US" w:eastAsia="zh-CN"/>
              </w:rPr>
            </w:pPr>
            <w:r>
              <w:rPr>
                <w:rFonts w:hint="eastAsia"/>
                <w:b/>
                <w:bCs/>
                <w:color w:val="auto"/>
                <w:lang w:val="en-US" w:eastAsia="zh-CN"/>
              </w:rPr>
              <w:t>（8）职工日常生活用排水</w:t>
            </w:r>
          </w:p>
          <w:p>
            <w:pPr>
              <w:bidi w:val="0"/>
              <w:rPr>
                <w:rFonts w:hint="eastAsia"/>
                <w:color w:val="auto"/>
                <w:lang w:val="en-US" w:eastAsia="zh-CN"/>
              </w:rPr>
            </w:pPr>
            <w:r>
              <w:rPr>
                <w:rFonts w:hint="eastAsia"/>
                <w:color w:val="auto"/>
                <w:lang w:val="en-US" w:eastAsia="zh-CN"/>
              </w:rPr>
              <w:t>根据建设单位提供的资料，本项目职工人数约40人，其中住厂员工30人，不住厂员工10人，参考《建筑给水排水设计标准》（GB50015-2019），车间工人的生活用水定额应根据车间性质确定，本评价</w:t>
            </w:r>
            <w:r>
              <w:rPr>
                <w:rFonts w:hint="default"/>
                <w:color w:val="auto"/>
                <w:lang w:val="en-US" w:eastAsia="zh-CN"/>
              </w:rPr>
              <w:t>按</w:t>
            </w:r>
            <w:r>
              <w:rPr>
                <w:rFonts w:hint="eastAsia"/>
                <w:color w:val="auto"/>
                <w:lang w:val="en-US" w:eastAsia="zh-CN"/>
              </w:rPr>
              <w:t>住厂员工生活用水量150L/</w:t>
            </w:r>
            <w:r>
              <w:rPr>
                <w:rFonts w:hint="default"/>
                <w:color w:val="auto"/>
                <w:lang w:val="en-US" w:eastAsia="zh-CN"/>
              </w:rPr>
              <w:t>人·班</w:t>
            </w:r>
            <w:r>
              <w:rPr>
                <w:rFonts w:hint="eastAsia"/>
                <w:color w:val="auto"/>
                <w:lang w:val="en-US" w:eastAsia="zh-CN"/>
              </w:rPr>
              <w:t>，</w:t>
            </w:r>
            <w:r>
              <w:rPr>
                <w:sz w:val="24"/>
                <w:szCs w:val="22"/>
              </w:rPr>
              <w:t>不住厂职工生活用水量取50L/d·人</w:t>
            </w:r>
            <w:r>
              <w:rPr>
                <w:rFonts w:hint="eastAsia"/>
                <w:sz w:val="24"/>
                <w:szCs w:val="22"/>
                <w:lang w:eastAsia="zh-CN"/>
              </w:rPr>
              <w:t>，</w:t>
            </w:r>
            <w:r>
              <w:rPr>
                <w:rFonts w:hint="eastAsia"/>
                <w:sz w:val="24"/>
                <w:szCs w:val="22"/>
                <w:lang w:val="en-US" w:eastAsia="zh-CN"/>
              </w:rPr>
              <w:t>员工</w:t>
            </w:r>
            <w:r>
              <w:rPr>
                <w:rFonts w:hint="eastAsia"/>
                <w:color w:val="auto"/>
                <w:lang w:val="en-US" w:eastAsia="zh-CN"/>
              </w:rPr>
              <w:t>年工作330天，则本项目职工生活用水量约为5t/d(1650t/a)。</w:t>
            </w:r>
            <w:r>
              <w:rPr>
                <w:rFonts w:hint="default"/>
                <w:color w:val="auto"/>
                <w:lang w:val="en-US" w:eastAsia="zh-CN"/>
              </w:rPr>
              <w:t>根据《室外排水设计规范》(GB 50014-20</w:t>
            </w:r>
            <w:r>
              <w:rPr>
                <w:rFonts w:hint="eastAsia"/>
                <w:color w:val="auto"/>
                <w:lang w:val="en-US" w:eastAsia="zh-CN"/>
              </w:rPr>
              <w:t>21</w:t>
            </w:r>
            <w:r>
              <w:rPr>
                <w:rFonts w:hint="default"/>
                <w:color w:val="auto"/>
                <w:lang w:val="en-US" w:eastAsia="zh-CN"/>
              </w:rPr>
              <w:t>)，居民生活污水定额可按用水定额的</w:t>
            </w:r>
            <w:r>
              <w:rPr>
                <w:rFonts w:hint="eastAsia"/>
                <w:color w:val="auto"/>
                <w:lang w:val="en-US" w:eastAsia="zh-CN"/>
              </w:rPr>
              <w:t>9</w:t>
            </w:r>
            <w:r>
              <w:rPr>
                <w:rFonts w:hint="default"/>
                <w:color w:val="auto"/>
                <w:lang w:val="en-US" w:eastAsia="zh-CN"/>
              </w:rPr>
              <w:t>0%计算(其余</w:t>
            </w:r>
            <w:r>
              <w:rPr>
                <w:rFonts w:hint="eastAsia"/>
                <w:color w:val="auto"/>
                <w:lang w:val="en-US" w:eastAsia="zh-CN"/>
              </w:rPr>
              <w:t>1</w:t>
            </w:r>
            <w:r>
              <w:rPr>
                <w:rFonts w:hint="default"/>
                <w:color w:val="auto"/>
                <w:lang w:val="en-US" w:eastAsia="zh-CN"/>
              </w:rPr>
              <w:t>0%蒸发损耗等)</w:t>
            </w:r>
            <w:r>
              <w:rPr>
                <w:rFonts w:hint="eastAsia"/>
                <w:color w:val="auto"/>
                <w:lang w:val="en-US" w:eastAsia="zh-CN"/>
              </w:rPr>
              <w:t>，则项目生活污水产生量约为4.5t/d(1485t/a)，项目职工日常生活污水经厂区化粪池处理后，排入拟建设的一体化污水处理设备处理，处理后的尾水在项目近期用于厂区绿化浇灌，不外排，远期待项目周边市政污水管网及相关配套设施建成后，统一接入当地市政污水处理系统排放处理。</w:t>
            </w:r>
          </w:p>
          <w:p>
            <w:pPr>
              <w:bidi w:val="0"/>
              <w:rPr>
                <w:rFonts w:hint="eastAsia"/>
                <w:b/>
                <w:bCs/>
                <w:color w:val="auto"/>
                <w:lang w:val="en-US" w:eastAsia="zh-CN"/>
              </w:rPr>
            </w:pPr>
            <w:r>
              <w:rPr>
                <w:rFonts w:hint="eastAsia"/>
                <w:b/>
                <w:bCs/>
                <w:color w:val="auto"/>
                <w:lang w:val="en-US" w:eastAsia="zh-CN"/>
              </w:rPr>
              <w:t>（9）绿化用水</w:t>
            </w:r>
          </w:p>
          <w:p>
            <w:pPr>
              <w:bidi w:val="0"/>
              <w:rPr>
                <w:rFonts w:hint="default"/>
                <w:color w:val="auto"/>
                <w:lang w:val="en-US" w:eastAsia="zh-CN"/>
              </w:rPr>
            </w:pPr>
            <w:r>
              <w:rPr>
                <w:rFonts w:hint="eastAsia"/>
                <w:color w:val="auto"/>
                <w:lang w:val="en-US" w:eastAsia="zh-CN"/>
              </w:rPr>
              <w:t>根据建设单位提供资料，项目厂区绿化面积约为3666m</w:t>
            </w:r>
            <w:r>
              <w:rPr>
                <w:rFonts w:hint="eastAsia"/>
                <w:color w:val="auto"/>
                <w:vertAlign w:val="superscript"/>
                <w:lang w:val="en-US" w:eastAsia="zh-CN"/>
              </w:rPr>
              <w:t>2</w:t>
            </w:r>
            <w:r>
              <w:rPr>
                <w:rFonts w:hint="eastAsia"/>
                <w:color w:val="auto"/>
                <w:lang w:val="en-US" w:eastAsia="zh-CN"/>
              </w:rPr>
              <w:t>，绿化用水根据《室外给水设计标准》（GB50013-2018）的相关规定，浇洒绿地用水可根据浇洒面积按1.0L（m</w:t>
            </w:r>
            <w:r>
              <w:rPr>
                <w:rFonts w:hint="eastAsia"/>
                <w:color w:val="auto"/>
                <w:vertAlign w:val="superscript"/>
                <w:lang w:val="en-US" w:eastAsia="zh-CN"/>
              </w:rPr>
              <w:t>2</w:t>
            </w:r>
            <w:r>
              <w:rPr>
                <w:rFonts w:hint="eastAsia"/>
                <w:color w:val="auto"/>
                <w:lang w:val="en-US" w:eastAsia="zh-CN"/>
              </w:rPr>
              <w:t>/d）-3.0L（m</w:t>
            </w:r>
            <w:r>
              <w:rPr>
                <w:rFonts w:hint="eastAsia"/>
                <w:color w:val="auto"/>
                <w:vertAlign w:val="superscript"/>
                <w:lang w:val="en-US" w:eastAsia="zh-CN"/>
              </w:rPr>
              <w:t>2</w:t>
            </w:r>
            <w:r>
              <w:rPr>
                <w:rFonts w:hint="eastAsia"/>
                <w:color w:val="auto"/>
                <w:lang w:val="en-US" w:eastAsia="zh-CN"/>
              </w:rPr>
              <w:t>/d）计算，本项目取值2.0L（m</w:t>
            </w:r>
            <w:r>
              <w:rPr>
                <w:rFonts w:hint="eastAsia"/>
                <w:color w:val="auto"/>
                <w:vertAlign w:val="superscript"/>
                <w:lang w:val="en-US" w:eastAsia="zh-CN"/>
              </w:rPr>
              <w:t>2</w:t>
            </w:r>
            <w:r>
              <w:rPr>
                <w:rFonts w:hint="eastAsia"/>
                <w:color w:val="auto"/>
                <w:lang w:val="en-US" w:eastAsia="zh-CN"/>
              </w:rPr>
              <w:t>/d），在雨天（按120d/a计）以外定时对绿化用地部分进行浇洒，因此绿化用水量为7.33t/d（1539.72t/a）。此部分用水来源于厂区生活用水经化粪池+一体化处理设施处理达标后的尾水和补充部分新鲜水进行浇灌，项目绿化用水均进入土壤或经植物叶面蒸腾作用蒸发，不产生废水。</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10</w:t>
            </w:r>
            <w:r>
              <w:rPr>
                <w:rFonts w:hint="eastAsia"/>
                <w:b/>
                <w:bCs/>
                <w:color w:val="auto"/>
                <w:lang w:eastAsia="zh-CN"/>
              </w:rPr>
              <w:t>）</w:t>
            </w:r>
            <w:r>
              <w:rPr>
                <w:rFonts w:hint="eastAsia"/>
                <w:b/>
                <w:bCs/>
                <w:color w:val="auto"/>
                <w:lang w:val="en-US" w:eastAsia="zh-CN"/>
              </w:rPr>
              <w:t>洗砂工序用水</w:t>
            </w:r>
          </w:p>
          <w:p>
            <w:pPr>
              <w:pStyle w:val="3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位于3#物料库的制砂工序中有使用3台XSD4020洗砂机和1台DR2445细砂回收脱水一体机进行洗砂脱水回收工序，该生产线的用水主要来自污水罐处理后的清水以及定期补充的新鲜自来水。根据建设方提供的设备详细参数，磊蒙机械XSD4020型洗砂机标称耗水量为30-50t/h，最大处理量为200t/h，洗砂废水产生量与洗砂量为1：4。项目年生产机制砂72万t，则洗砂机耗水量为545.45t/d（18万t/a）。</w:t>
            </w:r>
          </w:p>
          <w:p>
            <w:pPr>
              <w:pStyle w:val="30"/>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该工序产生的废水随湿砂进入细砂回收脱水一体机脱水后，进入南侧的污水罐处理后回用于洗砂工序，不外排。市面上通常的细砂回收脱水一体机处理后的砂石含水率一般≤6%，本项目取值6%，项目年产机制砂72万t，则随机制砂一块带入堆场的水量为130.9t/d（4.32万t/a），因此洗砂工序产生的废水量为414.55t/d（13.68万t/a）。根据工程分析可知，洗砂工序的污水罐处理后压滤得到的沉渣为872.1t（含水率60%），则随压滤渣带出的水量为523.26t/a。因此洗砂工序每年需定期补充新鲜水4.37万t/a，污水罐处理后回用水量为13.63万t/a。</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11</w:t>
            </w:r>
            <w:r>
              <w:rPr>
                <w:rFonts w:hint="eastAsia"/>
                <w:b/>
                <w:bCs/>
                <w:color w:val="auto"/>
                <w:lang w:eastAsia="zh-CN"/>
              </w:rPr>
              <w:t>）生产区初期雨水</w:t>
            </w:r>
          </w:p>
          <w:p>
            <w:pPr>
              <w:bidi w:val="0"/>
              <w:rPr>
                <w:rFonts w:hint="eastAsia"/>
                <w:color w:val="auto"/>
                <w:lang w:val="en-US" w:eastAsia="zh-CN"/>
              </w:rPr>
            </w:pPr>
            <w:r>
              <w:rPr>
                <w:rFonts w:hint="eastAsia"/>
                <w:color w:val="auto"/>
                <w:lang w:val="en-US" w:eastAsia="zh-CN"/>
              </w:rPr>
              <w:t>由于项目所用砂石原料较多，进出运输车辆车身、轮胎等部位附着有泥沙，同时作业产生的粉尘，也会通过自然沉降在地面上，因此降雨时生产区初期雨水含SS浓度较大。因此项目对生产区初期雨水进行收集处理后回用。</w:t>
            </w:r>
          </w:p>
          <w:p>
            <w:pPr>
              <w:bidi w:val="0"/>
              <w:rPr>
                <w:rFonts w:hint="eastAsia" w:ascii="Times New Roman" w:hAnsi="Times New Roman" w:eastAsia="宋体" w:cs="Times New Roman"/>
                <w:color w:val="auto"/>
                <w:lang w:val="en-US" w:eastAsia="zh-CN"/>
              </w:rPr>
            </w:pPr>
            <w:r>
              <w:rPr>
                <w:rFonts w:hint="eastAsia"/>
                <w:color w:val="auto"/>
                <w:lang w:val="en-US" w:eastAsia="zh-CN"/>
              </w:rPr>
              <w:t>根据《室外排水设计标准》（</w:t>
            </w:r>
            <w:r>
              <w:rPr>
                <w:rFonts w:hint="default"/>
                <w:color w:val="auto"/>
                <w:lang w:val="en-US" w:eastAsia="zh-CN"/>
              </w:rPr>
              <w:t>GB50014-2021</w:t>
            </w:r>
            <w:r>
              <w:rPr>
                <w:rFonts w:hint="eastAsia"/>
                <w:color w:val="auto"/>
                <w:lang w:val="en-US" w:eastAsia="zh-CN"/>
              </w:rPr>
              <w:t>）：</w:t>
            </w:r>
          </w:p>
          <w:p>
            <w:pPr>
              <w:ind w:left="0" w:leftChars="0" w:firstLine="0" w:firstLine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初期雨水</w:t>
            </w:r>
            <w:r>
              <w:rPr>
                <w:rFonts w:hint="default" w:ascii="Times New Roman" w:hAnsi="Times New Roman" w:eastAsia="宋体" w:cs="Times New Roman"/>
                <w:color w:val="auto"/>
                <w:lang w:val="en-US" w:eastAsia="zh-CN"/>
              </w:rPr>
              <w:t>=q×ψ×F×t/1000</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式中：</w:t>
            </w:r>
            <w:r>
              <w:rPr>
                <w:rFonts w:hint="default" w:ascii="Times New Roman" w:hAnsi="Times New Roman" w:eastAsia="宋体" w:cs="Times New Roman"/>
                <w:color w:val="auto"/>
                <w:lang w:val="en-US" w:eastAsia="zh-CN"/>
              </w:rPr>
              <w:t>q——</w:t>
            </w:r>
            <w:r>
              <w:rPr>
                <w:rFonts w:hint="eastAsia" w:ascii="Times New Roman" w:hAnsi="Times New Roman" w:eastAsia="宋体" w:cs="Times New Roman"/>
                <w:color w:val="auto"/>
                <w:lang w:val="en-US" w:eastAsia="zh-CN"/>
              </w:rPr>
              <w:t>设计暴雨强度</w:t>
            </w:r>
            <w:r>
              <w:rPr>
                <w:rFonts w:hint="default" w:ascii="Times New Roman" w:hAnsi="Times New Roman" w:eastAsia="宋体" w:cs="Times New Roman"/>
                <w:color w:val="auto"/>
                <w:lang w:val="en-US" w:eastAsia="zh-CN"/>
              </w:rPr>
              <w:t>EL</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(s·hm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)L</w:t>
            </w:r>
            <w:r>
              <w:rPr>
                <w:rFonts w:hint="eastAsia" w:ascii="Times New Roman" w:hAnsi="Times New Roman" w:eastAsia="宋体" w:cs="Times New Roman"/>
                <w:color w:val="auto"/>
                <w:lang w:val="en-US" w:eastAsia="zh-CN"/>
              </w:rPr>
              <w:t>，根据《福建省城市及部分县城暴雨强度公式》（</w:t>
            </w:r>
            <w:r>
              <w:rPr>
                <w:rFonts w:hint="default" w:ascii="Times New Roman" w:hAnsi="Times New Roman" w:eastAsia="宋体" w:cs="Times New Roman"/>
                <w:color w:val="auto"/>
                <w:lang w:val="en-US" w:eastAsia="zh-CN"/>
              </w:rPr>
              <w:t>2003</w:t>
            </w:r>
            <w:r>
              <w:rPr>
                <w:rFonts w:hint="eastAsia" w:ascii="Times New Roman" w:hAnsi="Times New Roman" w:eastAsia="宋体" w:cs="Times New Roman"/>
                <w:color w:val="auto"/>
                <w:lang w:val="en-US" w:eastAsia="zh-CN"/>
              </w:rPr>
              <w:t>），取值</w:t>
            </w:r>
            <w:r>
              <w:rPr>
                <w:rFonts w:hint="eastAsia" w:cs="Times New Roman"/>
                <w:color w:val="auto"/>
                <w:lang w:val="en-US" w:eastAsia="zh-CN"/>
              </w:rPr>
              <w:t>福清</w:t>
            </w:r>
            <w:r>
              <w:rPr>
                <w:rFonts w:hint="eastAsia" w:ascii="Times New Roman" w:hAnsi="Times New Roman" w:eastAsia="宋体" w:cs="Times New Roman"/>
                <w:color w:val="auto"/>
                <w:lang w:val="en-US" w:eastAsia="zh-CN"/>
              </w:rPr>
              <w:t>q</w:t>
            </w:r>
            <w:r>
              <w:rPr>
                <w:rFonts w:hint="eastAsia" w:ascii="Times New Roman" w:hAnsi="Times New Roman" w:eastAsia="宋体" w:cs="Times New Roman"/>
                <w:color w:val="auto"/>
                <w:vertAlign w:val="subscript"/>
                <w:lang w:val="en-US" w:eastAsia="zh-CN"/>
              </w:rPr>
              <w:t xml:space="preserve">20 </w:t>
            </w:r>
            <w:r>
              <w:rPr>
                <w:rFonts w:hint="eastAsia" w:ascii="Times New Roman" w:hAnsi="Times New Roman" w:eastAsia="宋体" w:cs="Times New Roman"/>
                <w:color w:val="auto"/>
                <w:lang w:val="en-US" w:eastAsia="zh-CN"/>
              </w:rPr>
              <w:t>18</w:t>
            </w:r>
            <w:r>
              <w:rPr>
                <w:rFonts w:hint="eastAsia" w:cs="Times New Roman"/>
                <w:color w:val="auto"/>
                <w:lang w:val="en-US" w:eastAsia="zh-CN"/>
              </w:rPr>
              <w:t>5.036；</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Ψ——</w:t>
            </w:r>
            <w:r>
              <w:rPr>
                <w:rFonts w:hint="eastAsia" w:ascii="Times New Roman" w:hAnsi="Times New Roman" w:eastAsia="宋体" w:cs="Times New Roman"/>
                <w:color w:val="auto"/>
                <w:lang w:val="en-US" w:eastAsia="zh-CN"/>
              </w:rPr>
              <w:t>径流系数，根据《室外排水设计标准》（</w:t>
            </w:r>
            <w:r>
              <w:rPr>
                <w:rFonts w:hint="default" w:ascii="Times New Roman" w:hAnsi="Times New Roman" w:eastAsia="宋体" w:cs="Times New Roman"/>
                <w:color w:val="auto"/>
                <w:lang w:val="en-US" w:eastAsia="zh-CN"/>
              </w:rPr>
              <w:t>GB50014-2021</w:t>
            </w:r>
            <w:r>
              <w:rPr>
                <w:rFonts w:hint="eastAsia" w:ascii="Times New Roman" w:hAnsi="Times New Roman" w:eastAsia="宋体" w:cs="Times New Roman"/>
                <w:color w:val="auto"/>
                <w:lang w:val="en-US" w:eastAsia="zh-CN"/>
              </w:rPr>
              <w:t>）表4.1.8-1径流系数表，各类屋面、混凝土或沥青路面径流系数为0.85~0.95，本评价取0.95；</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F——</w:t>
            </w:r>
            <w:r>
              <w:rPr>
                <w:rFonts w:hint="eastAsia" w:ascii="Times New Roman" w:hAnsi="Times New Roman" w:eastAsia="宋体" w:cs="Times New Roman"/>
                <w:color w:val="auto"/>
                <w:lang w:val="en-US" w:eastAsia="zh-CN"/>
              </w:rPr>
              <w:t>汇水面积</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，根据建设单位提供设计资料计算，项目生产区初期雨水收集</w:t>
            </w:r>
            <w:r>
              <w:rPr>
                <w:rFonts w:hint="eastAsia" w:cs="Times New Roman"/>
                <w:color w:val="auto"/>
                <w:lang w:val="en-US" w:eastAsia="zh-CN"/>
              </w:rPr>
              <w:t>面积约为18305m</w:t>
            </w:r>
            <w:r>
              <w:rPr>
                <w:rFonts w:hint="eastAsia" w:cs="Times New Roman"/>
                <w:color w:val="auto"/>
                <w:vertAlign w:val="superscript"/>
                <w:lang w:val="en-US" w:eastAsia="zh-CN"/>
              </w:rPr>
              <w:t>2</w:t>
            </w:r>
            <w:r>
              <w:rPr>
                <w:rFonts w:hint="eastAsia" w:cs="Times New Roman"/>
                <w:color w:val="auto"/>
                <w:lang w:val="en-US" w:eastAsia="zh-CN"/>
              </w:rPr>
              <w:t>（合1.83</w:t>
            </w:r>
            <w:r>
              <w:rPr>
                <w:rFonts w:hint="default" w:ascii="Times New Roman" w:hAnsi="Times New Roman" w:eastAsia="宋体" w:cs="Times New Roman"/>
                <w:color w:val="auto"/>
                <w:lang w:val="en-US" w:eastAsia="zh-CN"/>
              </w:rPr>
              <w:t>hm</w:t>
            </w:r>
            <w:r>
              <w:rPr>
                <w:rFonts w:hint="default" w:ascii="Times New Roman" w:hAnsi="Times New Roman" w:eastAsia="宋体" w:cs="Times New Roman"/>
                <w:color w:val="auto"/>
                <w:vertAlign w:val="superscript"/>
                <w:lang w:val="en-US" w:eastAsia="zh-CN"/>
              </w:rPr>
              <w:t>2</w:t>
            </w:r>
            <w:r>
              <w:rPr>
                <w:rFonts w:hint="eastAsia" w:cs="Times New Roman"/>
                <w:color w:val="auto"/>
                <w:lang w:val="en-US" w:eastAsia="zh-CN"/>
              </w:rPr>
              <w:t>）</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t—</w:t>
            </w:r>
            <w:r>
              <w:rPr>
                <w:rFonts w:hint="eastAsia" w:ascii="Times New Roman" w:hAnsi="Times New Roman" w:eastAsia="宋体" w:cs="Times New Roman"/>
                <w:color w:val="auto"/>
                <w:lang w:val="en-US" w:eastAsia="zh-CN"/>
              </w:rPr>
              <w:t>时间</w:t>
            </w:r>
            <w:r>
              <w:rPr>
                <w:rFonts w:hint="default" w:ascii="Times New Roman" w:hAnsi="Times New Roman" w:eastAsia="宋体" w:cs="Times New Roman"/>
                <w:color w:val="auto"/>
                <w:lang w:val="en-US" w:eastAsia="zh-CN"/>
              </w:rPr>
              <w:t>s</w:t>
            </w:r>
            <w:r>
              <w:rPr>
                <w:rFonts w:hint="eastAsia" w:ascii="Times New Roman" w:hAnsi="Times New Roman" w:eastAsia="宋体" w:cs="Times New Roman"/>
                <w:color w:val="auto"/>
                <w:lang w:val="en-US" w:eastAsia="zh-CN"/>
              </w:rPr>
              <w:t>，按15分钟计算，9</w:t>
            </w:r>
            <w:r>
              <w:rPr>
                <w:rFonts w:hint="default" w:ascii="Times New Roman" w:hAnsi="Times New Roman" w:eastAsia="宋体" w:cs="Times New Roman"/>
                <w:color w:val="auto"/>
                <w:lang w:val="en-US" w:eastAsia="zh-CN"/>
              </w:rPr>
              <w:t>00s</w:t>
            </w:r>
            <w:r>
              <w:rPr>
                <w:rFonts w:hint="eastAsia" w:ascii="Times New Roman" w:hAnsi="Times New Roman" w:eastAsia="宋体" w:cs="Times New Roman"/>
                <w:color w:val="auto"/>
                <w:lang w:val="en-US" w:eastAsia="zh-CN"/>
              </w:rPr>
              <w:t>。</w:t>
            </w:r>
          </w:p>
          <w:p>
            <w:pP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经计算</w:t>
            </w:r>
            <w:r>
              <w:rPr>
                <w:rFonts w:hint="eastAsia" w:cs="Times New Roman"/>
                <w:color w:val="auto"/>
                <w:lang w:val="en-US" w:eastAsia="zh-CN"/>
              </w:rPr>
              <w:t>初期</w:t>
            </w:r>
            <w:r>
              <w:rPr>
                <w:rFonts w:hint="eastAsia" w:ascii="Times New Roman" w:hAnsi="Times New Roman" w:eastAsia="宋体" w:cs="Times New Roman"/>
                <w:color w:val="auto"/>
                <w:lang w:val="en-US" w:eastAsia="zh-CN"/>
              </w:rPr>
              <w:t>雨</w:t>
            </w:r>
            <w:r>
              <w:rPr>
                <w:rFonts w:hint="eastAsia" w:cs="Times New Roman"/>
                <w:color w:val="auto"/>
                <w:lang w:val="en-US" w:eastAsia="zh-CN"/>
              </w:rPr>
              <w:t>水</w:t>
            </w:r>
            <w:r>
              <w:rPr>
                <w:rFonts w:hint="eastAsia" w:ascii="Times New Roman" w:hAnsi="Times New Roman" w:eastAsia="宋体" w:cs="Times New Roman"/>
                <w:color w:val="auto"/>
                <w:lang w:val="en-US" w:eastAsia="zh-CN"/>
              </w:rPr>
              <w:t>值为</w:t>
            </w:r>
            <w:r>
              <w:rPr>
                <w:rFonts w:hint="eastAsia" w:cs="Times New Roman"/>
                <w:color w:val="auto"/>
                <w:lang w:val="en-US" w:eastAsia="zh-CN"/>
              </w:rPr>
              <w:t>289.52</w:t>
            </w:r>
            <w:r>
              <w:rPr>
                <w:rFonts w:hint="default" w:ascii="Times New Roman" w:hAnsi="Times New Roman" w:eastAsia="宋体" w:cs="Times New Roman"/>
                <w:color w:val="auto"/>
                <w:lang w:val="en-US" w:eastAsia="zh-CN"/>
              </w:rPr>
              <w:t>m</w:t>
            </w:r>
            <w:r>
              <w:rPr>
                <w:rFonts w:hint="default"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w:t>
            </w:r>
          </w:p>
          <w:p>
            <w:pPr>
              <w:rPr>
                <w:rFonts w:hint="eastAsia" w:cs="Times New Roman"/>
                <w:color w:val="auto"/>
                <w:highlight w:val="none"/>
                <w:lang w:val="en-US" w:eastAsia="zh-CN"/>
              </w:rPr>
            </w:pPr>
            <w:r>
              <w:rPr>
                <w:rFonts w:hint="eastAsia" w:ascii="Times New Roman" w:hAnsi="Times New Roman" w:eastAsia="宋体" w:cs="Times New Roman"/>
                <w:color w:val="auto"/>
                <w:highlight w:val="none"/>
                <w:lang w:val="en-US" w:eastAsia="zh-CN"/>
              </w:rPr>
              <w:t>建设单位拟依据地形在生产区四周设置导流</w:t>
            </w:r>
            <w:r>
              <w:rPr>
                <w:rFonts w:hint="eastAsia" w:cs="Times New Roman"/>
                <w:color w:val="auto"/>
                <w:highlight w:val="none"/>
                <w:lang w:val="en-US" w:eastAsia="zh-CN"/>
              </w:rPr>
              <w:t>沟槽</w:t>
            </w:r>
            <w:r>
              <w:rPr>
                <w:rFonts w:hint="eastAsia" w:ascii="Times New Roman" w:hAnsi="Times New Roman" w:eastAsia="宋体" w:cs="Times New Roman"/>
                <w:color w:val="auto"/>
                <w:highlight w:val="none"/>
                <w:lang w:val="en-US" w:eastAsia="zh-CN"/>
              </w:rPr>
              <w:t>对厂区生产区初期雨水进行收集，通过手动阀门控制将初期雨水收集</w:t>
            </w:r>
            <w:r>
              <w:rPr>
                <w:rFonts w:hint="eastAsia" w:cs="Times New Roman"/>
                <w:color w:val="auto"/>
                <w:highlight w:val="none"/>
                <w:lang w:val="en-US" w:eastAsia="zh-CN"/>
              </w:rPr>
              <w:t>至300m</w:t>
            </w:r>
            <w:r>
              <w:rPr>
                <w:rFonts w:hint="eastAsia" w:cs="Times New Roman"/>
                <w:color w:val="auto"/>
                <w:highlight w:val="none"/>
                <w:vertAlign w:val="superscript"/>
                <w:lang w:val="en-US" w:eastAsia="zh-CN"/>
              </w:rPr>
              <w:t>3</w:t>
            </w:r>
            <w:r>
              <w:rPr>
                <w:rFonts w:hint="eastAsia" w:cs="Times New Roman"/>
                <w:color w:val="auto"/>
                <w:highlight w:val="none"/>
                <w:vertAlign w:val="baseline"/>
                <w:lang w:val="en-US" w:eastAsia="zh-CN"/>
              </w:rPr>
              <w:t>初期雨水收集池</w:t>
            </w:r>
            <w:r>
              <w:rPr>
                <w:rFonts w:hint="eastAsia" w:cs="Times New Roman"/>
                <w:color w:val="auto"/>
                <w:highlight w:val="none"/>
                <w:lang w:val="en-US" w:eastAsia="zh-CN"/>
              </w:rPr>
              <w:t>后，分批排入斜坡沉淀池内用于</w:t>
            </w:r>
            <w:r>
              <w:rPr>
                <w:rFonts w:hint="eastAsia"/>
                <w:color w:val="auto"/>
                <w:lang w:val="en-US" w:eastAsia="zh-CN"/>
              </w:rPr>
              <w:t>混凝土搅拌</w:t>
            </w:r>
            <w:r>
              <w:rPr>
                <w:rFonts w:hint="eastAsia" w:cs="Times New Roman"/>
                <w:color w:val="auto"/>
                <w:highlight w:val="none"/>
                <w:lang w:val="en-US" w:eastAsia="zh-CN"/>
              </w:rPr>
              <w:t>，不外排。</w:t>
            </w:r>
          </w:p>
          <w:p>
            <w:pPr>
              <w:bidi w:val="0"/>
              <w:rPr>
                <w:rFonts w:hint="default"/>
                <w:color w:val="auto"/>
              </w:rPr>
            </w:pPr>
            <w:r>
              <w:rPr>
                <w:rFonts w:hint="default"/>
                <w:color w:val="auto"/>
              </w:rPr>
              <w:t>项目水平衡图详见图</w:t>
            </w:r>
            <w:r>
              <w:rPr>
                <w:rFonts w:hint="default"/>
                <w:color w:val="auto"/>
                <w:lang w:val="en-US" w:eastAsia="zh-CN"/>
              </w:rPr>
              <w:t>2.2-</w:t>
            </w:r>
            <w:r>
              <w:rPr>
                <w:rFonts w:hint="eastAsia"/>
                <w:color w:val="auto"/>
                <w:lang w:val="en-US" w:eastAsia="zh-CN"/>
              </w:rPr>
              <w:t>1</w:t>
            </w:r>
            <w:r>
              <w:rPr>
                <w:rFonts w:hint="default"/>
                <w:color w:val="auto"/>
              </w:rPr>
              <w:t>。</w:t>
            </w:r>
          </w:p>
          <w:p>
            <w:pPr>
              <w:pStyle w:val="28"/>
              <w:keepNext w:val="0"/>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p>
            <w:pPr>
              <w:pStyle w:val="33"/>
              <w:bidi w:val="0"/>
              <w:rPr>
                <w:rFonts w:hint="eastAsia" w:ascii="Times New Roman" w:hAnsi="Times New Roman" w:eastAsia="宋体" w:cs="Times New Roman"/>
                <w:b/>
                <w:bCs w:val="0"/>
                <w:color w:val="auto"/>
                <w:highlight w:val="none"/>
                <w:lang w:val="en-US" w:eastAsia="zh-CN"/>
              </w:rPr>
            </w:pPr>
            <w:r>
              <w:rPr>
                <w:rFonts w:hint="eastAsia"/>
                <w:color w:val="auto"/>
                <w:lang w:val="en-US" w:eastAsia="zh-CN"/>
              </w:rPr>
              <w:t xml:space="preserve">图2.2-1 </w:t>
            </w:r>
            <w:r>
              <w:rPr>
                <w:rFonts w:hint="default"/>
                <w:color w:val="auto"/>
              </w:rPr>
              <w:t>工程水平衡图</w:t>
            </w:r>
            <w:r>
              <w:rPr>
                <w:rFonts w:hint="eastAsia"/>
                <w:color w:val="auto"/>
                <w:lang w:eastAsia="zh-CN"/>
              </w:rPr>
              <w:t>（单位：</w:t>
            </w:r>
            <w:r>
              <w:rPr>
                <w:rFonts w:hint="eastAsia"/>
                <w:color w:val="auto"/>
                <w:lang w:val="en-US" w:eastAsia="zh-CN"/>
              </w:rPr>
              <w:t>t/a</w:t>
            </w:r>
            <w:r>
              <w:rPr>
                <w:rFonts w:hint="eastAsia"/>
                <w:color w:val="auto"/>
                <w:lang w:eastAsia="zh-CN"/>
              </w:rPr>
              <w:t>）</w:t>
            </w:r>
          </w:p>
          <w:p>
            <w:pPr>
              <w:pStyle w:val="4"/>
              <w:bidi w:val="0"/>
              <w:rPr>
                <w:rFonts w:hint="default"/>
                <w:color w:val="auto"/>
                <w:lang w:val="en-US" w:eastAsia="zh-CN"/>
              </w:rPr>
            </w:pP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7</w:t>
            </w:r>
            <w:r>
              <w:rPr>
                <w:rFonts w:hint="default"/>
                <w:color w:val="auto"/>
                <w:lang w:val="en-US" w:eastAsia="zh-CN"/>
              </w:rPr>
              <w:t xml:space="preserve"> </w:t>
            </w:r>
            <w:r>
              <w:rPr>
                <w:rFonts w:hint="eastAsia"/>
                <w:color w:val="auto"/>
                <w:lang w:val="en-US" w:eastAsia="zh-CN"/>
              </w:rPr>
              <w:t>物料</w:t>
            </w:r>
            <w:r>
              <w:rPr>
                <w:rFonts w:hint="default"/>
                <w:color w:val="auto"/>
                <w:lang w:val="en-US" w:eastAsia="zh-CN"/>
              </w:rPr>
              <w:t>平衡</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项目全厂物料平衡详见下表。</w:t>
            </w:r>
          </w:p>
          <w:p>
            <w:pPr>
              <w:pStyle w:val="33"/>
              <w:bidi w:val="0"/>
              <w:rPr>
                <w:rFonts w:hint="default"/>
                <w:color w:val="auto"/>
                <w:sz w:val="24"/>
                <w:szCs w:val="24"/>
                <w:lang w:val="en-US" w:eastAsia="zh-CN"/>
              </w:rPr>
            </w:pPr>
            <w:r>
              <w:rPr>
                <w:rFonts w:hint="default"/>
                <w:color w:val="auto"/>
                <w:sz w:val="24"/>
                <w:szCs w:val="24"/>
              </w:rPr>
              <w:t>表2.2-</w:t>
            </w:r>
            <w:r>
              <w:rPr>
                <w:rFonts w:hint="eastAsia"/>
                <w:color w:val="auto"/>
                <w:sz w:val="24"/>
                <w:szCs w:val="24"/>
                <w:lang w:val="en-US" w:eastAsia="zh-CN"/>
              </w:rPr>
              <w:t>6</w:t>
            </w:r>
            <w:r>
              <w:rPr>
                <w:rFonts w:hint="default"/>
                <w:color w:val="auto"/>
                <w:sz w:val="24"/>
                <w:szCs w:val="24"/>
              </w:rPr>
              <w:t xml:space="preserve"> </w:t>
            </w:r>
            <w:r>
              <w:rPr>
                <w:rFonts w:hint="eastAsia"/>
                <w:color w:val="auto"/>
                <w:sz w:val="24"/>
                <w:szCs w:val="24"/>
                <w:lang w:val="en-US" w:eastAsia="zh-CN"/>
              </w:rPr>
              <w:t>项目全厂物料平衡</w:t>
            </w:r>
          </w:p>
          <w:p>
            <w:pPr>
              <w:pStyle w:val="4"/>
              <w:bidi w:val="0"/>
              <w:rPr>
                <w:rFonts w:hint="default"/>
                <w:color w:val="auto"/>
                <w:lang w:val="en-US" w:eastAsia="zh-CN"/>
              </w:rPr>
            </w:pPr>
            <w:r>
              <w:rPr>
                <w:rFonts w:hint="default"/>
                <w:color w:val="auto"/>
                <w:lang w:val="en-US" w:eastAsia="zh-CN"/>
              </w:rPr>
              <w:t>2.2.</w:t>
            </w:r>
            <w:r>
              <w:rPr>
                <w:rFonts w:hint="eastAsia"/>
                <w:color w:val="auto"/>
                <w:lang w:val="en-US" w:eastAsia="zh-CN"/>
              </w:rPr>
              <w:t>8</w:t>
            </w:r>
            <w:r>
              <w:rPr>
                <w:rFonts w:hint="default"/>
                <w:color w:val="auto"/>
                <w:lang w:val="en-US" w:eastAsia="zh-CN"/>
              </w:rPr>
              <w:t xml:space="preserve"> 项目平面布置合理性分析</w:t>
            </w:r>
          </w:p>
          <w:p>
            <w:pPr>
              <w:bidi w:val="0"/>
              <w:rPr>
                <w:rFonts w:hint="default"/>
                <w:color w:val="auto"/>
                <w:lang w:val="en-US" w:eastAsia="zh-CN"/>
              </w:rPr>
            </w:pPr>
            <w:r>
              <w:rPr>
                <w:rFonts w:hint="eastAsia"/>
                <w:color w:val="auto"/>
                <w:lang w:val="en-US" w:eastAsia="zh-CN"/>
              </w:rPr>
              <w:t>项目厂区近似长方形，厂区南侧主要规划为企业的3#物料库，主要用于堆放预拌混凝土工序所使用的细砂、碎石等物料，3#物料库北侧与2#搅拌楼附属设施相连接，方便物料通过进料口和传送带进行传输；厂区西侧为混凝土搅拌区域，可以与堆场进行较好的衔接；厂区东侧布设有两处生产车间（5#、6#生产车间），根据生产工艺流程布设切割车间、笼筋车间、模具线车间、浇筑生产线、养护车间等，</w:t>
            </w:r>
            <w:r>
              <w:rPr>
                <w:rFonts w:hint="default"/>
                <w:color w:val="auto"/>
                <w:lang w:val="en-US" w:eastAsia="zh-CN"/>
              </w:rPr>
              <w:t>各功能分区明确，相对独立，</w:t>
            </w:r>
            <w:r>
              <w:rPr>
                <w:rFonts w:hint="eastAsia"/>
                <w:color w:val="auto"/>
                <w:lang w:val="en-US" w:eastAsia="zh-CN"/>
              </w:rPr>
              <w:t>互不干扰</w:t>
            </w:r>
            <w:r>
              <w:rPr>
                <w:rFonts w:hint="default"/>
                <w:color w:val="auto"/>
                <w:lang w:val="en-US" w:eastAsia="zh-CN"/>
              </w:rPr>
              <w:t>，工艺流程顺畅</w:t>
            </w:r>
            <w:r>
              <w:rPr>
                <w:rFonts w:hint="eastAsia"/>
                <w:color w:val="auto"/>
                <w:lang w:val="en-US" w:eastAsia="zh-CN"/>
              </w:rPr>
              <w:t>。办公生活区设置在厂区西北侧，</w:t>
            </w:r>
            <w:r>
              <w:rPr>
                <w:rFonts w:hint="default"/>
                <w:color w:val="auto"/>
                <w:lang w:val="en-US" w:eastAsia="zh-CN"/>
              </w:rPr>
              <w:t>生产区与办公</w:t>
            </w:r>
            <w:r>
              <w:rPr>
                <w:rFonts w:hint="eastAsia"/>
                <w:color w:val="auto"/>
                <w:lang w:val="en-US" w:eastAsia="zh-CN"/>
              </w:rPr>
              <w:t>生活</w:t>
            </w:r>
            <w:r>
              <w:rPr>
                <w:rFonts w:hint="default"/>
                <w:color w:val="auto"/>
                <w:lang w:val="en-US" w:eastAsia="zh-CN"/>
              </w:rPr>
              <w:t>区相对独立，</w:t>
            </w:r>
            <w:r>
              <w:rPr>
                <w:rFonts w:hint="eastAsia"/>
                <w:color w:val="auto"/>
                <w:lang w:val="en-US" w:eastAsia="zh-CN"/>
              </w:rPr>
              <w:t>减少互相干扰，</w:t>
            </w:r>
            <w:r>
              <w:rPr>
                <w:rFonts w:hint="default"/>
                <w:color w:val="auto"/>
                <w:lang w:val="en-US" w:eastAsia="zh-CN"/>
              </w:rPr>
              <w:t>项目</w:t>
            </w:r>
            <w:r>
              <w:rPr>
                <w:rFonts w:hint="eastAsia"/>
                <w:color w:val="auto"/>
                <w:lang w:val="en-US" w:eastAsia="zh-CN"/>
              </w:rPr>
              <w:t>厂区总平面布置图见附图四。</w:t>
            </w:r>
          </w:p>
          <w:p>
            <w:pPr>
              <w:bidi w:val="0"/>
              <w:rPr>
                <w:rFonts w:hint="default"/>
                <w:color w:val="auto"/>
                <w:lang w:eastAsia="zh-CN"/>
              </w:rPr>
            </w:pPr>
            <w:r>
              <w:rPr>
                <w:rFonts w:hint="eastAsia"/>
                <w:color w:val="auto"/>
                <w:lang w:val="en-US" w:eastAsia="zh-CN"/>
              </w:rPr>
              <w:t>项目在搅拌楼南侧自建三个斜坡沉降池用于处理搅拌楼生产废水和经收集的初期雨水。厂区内</w:t>
            </w:r>
            <w:r>
              <w:rPr>
                <w:rFonts w:hint="default"/>
                <w:color w:val="auto"/>
                <w:lang w:eastAsia="zh-CN"/>
              </w:rPr>
              <w:t>危险废物贮存</w:t>
            </w:r>
            <w:r>
              <w:rPr>
                <w:rFonts w:hint="eastAsia"/>
                <w:color w:val="auto"/>
                <w:lang w:eastAsia="zh-CN"/>
              </w:rPr>
              <w:t>库</w:t>
            </w:r>
            <w:r>
              <w:rPr>
                <w:rFonts w:hint="default"/>
                <w:color w:val="auto"/>
                <w:lang w:eastAsia="zh-CN"/>
              </w:rPr>
              <w:t>设置于</w:t>
            </w:r>
            <w:r>
              <w:rPr>
                <w:rFonts w:hint="eastAsia"/>
                <w:color w:val="auto"/>
                <w:lang w:val="en-US" w:eastAsia="zh-CN"/>
              </w:rPr>
              <w:t>西南侧，靠近生产区，</w:t>
            </w:r>
            <w:r>
              <w:rPr>
                <w:rFonts w:hint="default"/>
                <w:color w:val="auto"/>
                <w:lang w:eastAsia="zh-CN"/>
              </w:rPr>
              <w:t>方便危险废物的分类收集，</w:t>
            </w:r>
            <w:r>
              <w:rPr>
                <w:rFonts w:hint="eastAsia"/>
                <w:color w:val="auto"/>
                <w:lang w:val="en-US" w:eastAsia="zh-CN"/>
              </w:rPr>
              <w:t>减少厂内运输路线，</w:t>
            </w:r>
            <w:r>
              <w:rPr>
                <w:rFonts w:hint="default"/>
                <w:color w:val="auto"/>
                <w:lang w:eastAsia="zh-CN"/>
              </w:rPr>
              <w:t>可避免造成二次污染；项目</w:t>
            </w:r>
            <w:r>
              <w:rPr>
                <w:rFonts w:hint="eastAsia"/>
                <w:color w:val="auto"/>
                <w:lang w:val="en-US" w:eastAsia="zh-CN"/>
              </w:rPr>
              <w:t>生产设备位于生产车间、搅拌楼内等，</w:t>
            </w:r>
            <w:r>
              <w:rPr>
                <w:rFonts w:hint="eastAsia"/>
                <w:color w:val="auto"/>
                <w:lang w:eastAsia="zh-CN"/>
              </w:rPr>
              <w:t>噪声经</w:t>
            </w:r>
            <w:r>
              <w:rPr>
                <w:rFonts w:hint="default"/>
                <w:color w:val="auto"/>
                <w:lang w:eastAsia="zh-CN"/>
              </w:rPr>
              <w:t>基础减振、</w:t>
            </w:r>
            <w:r>
              <w:rPr>
                <w:rFonts w:hint="eastAsia"/>
                <w:color w:val="auto"/>
                <w:lang w:val="en-US" w:eastAsia="zh-CN"/>
              </w:rPr>
              <w:t>车间</w:t>
            </w:r>
            <w:r>
              <w:rPr>
                <w:rFonts w:hint="default"/>
                <w:color w:val="auto"/>
                <w:lang w:eastAsia="zh-CN"/>
              </w:rPr>
              <w:t>隔声等综合降噪措施后，可实现噪声达标排放。</w:t>
            </w:r>
            <w:r>
              <w:rPr>
                <w:rFonts w:hint="eastAsia"/>
                <w:color w:val="auto"/>
                <w:lang w:val="en-US" w:eastAsia="zh-CN"/>
              </w:rPr>
              <w:t>将</w:t>
            </w:r>
            <w:r>
              <w:rPr>
                <w:rFonts w:hint="eastAsia" w:ascii="Times New Roman" w:hAnsi="Times New Roman" w:eastAsia="宋体" w:cs="Times New Roman"/>
                <w:color w:val="auto"/>
                <w:spacing w:val="0"/>
                <w:sz w:val="24"/>
                <w:szCs w:val="24"/>
                <w:highlight w:val="none"/>
                <w:lang w:val="en-US" w:eastAsia="zh-CN"/>
              </w:rPr>
              <w:t>靠近</w:t>
            </w:r>
            <w:r>
              <w:rPr>
                <w:rFonts w:hint="eastAsia" w:cs="Times New Roman"/>
                <w:color w:val="auto"/>
                <w:spacing w:val="0"/>
                <w:sz w:val="24"/>
                <w:szCs w:val="24"/>
                <w:highlight w:val="none"/>
                <w:lang w:val="en-US" w:eastAsia="zh-CN"/>
              </w:rPr>
              <w:t>海兴食品公司一侧布置为停车区，以减少项目生产粉尘排放对海兴食品公司的影响。</w:t>
            </w:r>
            <w:r>
              <w:rPr>
                <w:rFonts w:hint="default"/>
                <w:color w:val="auto"/>
              </w:rPr>
              <w:t>从环境影响的角度看，</w:t>
            </w:r>
            <w:r>
              <w:rPr>
                <w:rFonts w:hint="default"/>
                <w:color w:val="auto"/>
                <w:lang w:eastAsia="zh-CN"/>
              </w:rPr>
              <w:t>项目环保设施平面布置基本合理。</w:t>
            </w:r>
          </w:p>
          <w:p>
            <w:pPr>
              <w:keepNext w:val="0"/>
              <w:keepLines w:val="0"/>
              <w:pageBreakBefore w:val="0"/>
              <w:widowControl w:val="0"/>
              <w:numPr>
                <w:ilvl w:val="0"/>
                <w:numId w:val="0"/>
              </w:numPr>
              <w:tabs>
                <w:tab w:val="left" w:pos="1080"/>
              </w:tabs>
              <w:kinsoku/>
              <w:wordWrap/>
              <w:overflowPunct/>
              <w:topLinePunct w:val="0"/>
              <w:autoSpaceDE/>
              <w:autoSpaceDN/>
              <w:bidi w:val="0"/>
              <w:adjustRightInd w:val="0"/>
              <w:snapToGrid w:val="0"/>
              <w:spacing w:before="0" w:after="0" w:line="360" w:lineRule="auto"/>
              <w:ind w:firstLine="480" w:firstLineChars="200"/>
              <w:jc w:val="both"/>
              <w:textAlignment w:val="auto"/>
              <w:outlineLvl w:val="9"/>
              <w:rPr>
                <w:rFonts w:hint="default" w:ascii="Times New Roman" w:hAnsi="Times New Roman" w:eastAsia="宋体"/>
                <w:color w:val="auto"/>
                <w:lang w:val="en-US" w:eastAsia="zh-CN"/>
              </w:rPr>
            </w:pPr>
            <w:r>
              <w:rPr>
                <w:rFonts w:hint="default" w:ascii="Times New Roman" w:hAnsi="Times New Roman" w:eastAsia="宋体" w:cs="Times New Roman"/>
                <w:color w:val="auto"/>
                <w:sz w:val="24"/>
                <w:szCs w:val="24"/>
                <w:highlight w:val="none"/>
              </w:rPr>
              <w:t>综上所述，本项目的总平布置基本合理。</w:t>
            </w:r>
          </w:p>
        </w:tc>
      </w:tr>
    </w:tbl>
    <w:p>
      <w:pPr>
        <w:pStyle w:val="2"/>
        <w:outlineLvl w:val="9"/>
        <w:rPr>
          <w:rFonts w:hint="default" w:ascii="Times New Roman" w:hAnsi="Times New Roman" w:eastAsia="宋体" w:cs="Times New Roman"/>
          <w:color w:val="auto"/>
        </w:rPr>
        <w:sectPr>
          <w:pgSz w:w="11906" w:h="16838"/>
          <w:pgMar w:top="1417" w:right="1417" w:bottom="1417" w:left="1417" w:header="851" w:footer="1077"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5"/>
        <w:tblW w:w="89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8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84" w:hRule="atLeast"/>
          <w:jc w:val="center"/>
        </w:trPr>
        <w:tc>
          <w:tcPr>
            <w:tcW w:w="707" w:type="dxa"/>
            <w:vAlign w:val="center"/>
          </w:tcPr>
          <w:p>
            <w:pPr>
              <w:bidi w:val="0"/>
              <w:ind w:left="0" w:leftChars="0" w:firstLine="0" w:firstLineChars="0"/>
              <w:jc w:val="center"/>
              <w:rPr>
                <w:rFonts w:hint="default" w:ascii="Times New Roman" w:hAnsi="Times New Roman" w:eastAsia="宋体"/>
                <w:color w:val="auto"/>
                <w:vertAlign w:val="baseline"/>
              </w:rPr>
            </w:pPr>
            <w:r>
              <w:rPr>
                <w:rFonts w:hint="default"/>
                <w:color w:val="auto"/>
              </w:rPr>
              <w:t>工艺流程和产排污环节</w:t>
            </w:r>
          </w:p>
        </w:tc>
        <w:tc>
          <w:tcPr>
            <w:tcW w:w="8218" w:type="dxa"/>
            <w:vAlign w:val="top"/>
          </w:tcPr>
          <w:p>
            <w:pPr>
              <w:pStyle w:val="3"/>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r>
              <w:rPr>
                <w:rFonts w:hint="default" w:ascii="Times New Roman" w:hAnsi="Times New Roman" w:eastAsia="宋体" w:cs="Times New Roman"/>
                <w:color w:val="auto"/>
                <w:lang w:val="en-US" w:eastAsia="zh-CN"/>
              </w:rPr>
              <w:t>3</w:t>
            </w:r>
            <w:r>
              <w:rPr>
                <w:rFonts w:hint="default" w:ascii="Times New Roman" w:hAnsi="Times New Roman" w:eastAsia="宋体" w:cs="Times New Roman"/>
                <w:color w:val="auto"/>
              </w:rPr>
              <w:t>生产工艺流程及产污环节</w:t>
            </w:r>
          </w:p>
          <w:p>
            <w:pPr>
              <w:pStyle w:val="4"/>
              <w:bidi w:val="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2.3.1建筑垃圾回收</w:t>
            </w:r>
            <w:r>
              <w:rPr>
                <w:rFonts w:hint="eastAsia" w:cs="宋体"/>
                <w:color w:val="auto"/>
                <w:lang w:val="en-US" w:eastAsia="zh-CN"/>
              </w:rPr>
              <w:t>利用</w:t>
            </w:r>
            <w:r>
              <w:rPr>
                <w:rFonts w:hint="eastAsia" w:ascii="Times New Roman" w:hAnsi="Times New Roman" w:eastAsia="宋体" w:cs="宋体"/>
                <w:color w:val="auto"/>
                <w:lang w:val="en-US" w:eastAsia="zh-CN"/>
              </w:rPr>
              <w:t>生产工艺介绍</w:t>
            </w:r>
          </w:p>
          <w:p>
            <w:pPr>
              <w:rPr>
                <w:rFonts w:hint="default"/>
                <w:lang w:val="en-US" w:eastAsia="zh-CN"/>
              </w:rPr>
            </w:pPr>
            <w:r>
              <w:rPr>
                <w:rFonts w:hint="eastAsia"/>
                <w:lang w:val="en-US" w:eastAsia="zh-CN"/>
              </w:rPr>
              <w:t>本项目建筑垃圾回收利用的生产工艺流程如下：</w:t>
            </w:r>
          </w:p>
          <w:p>
            <w:pPr>
              <w:pStyle w:val="10"/>
              <w:ind w:left="0" w:leftChars="0" w:firstLine="0" w:firstLineChars="0"/>
              <w:rPr>
                <w:rFonts w:hint="default" w:cs="Times New Roman"/>
                <w:color w:val="auto"/>
                <w:kern w:val="2"/>
                <w:sz w:val="24"/>
                <w:szCs w:val="24"/>
                <w:lang w:val="en-US" w:eastAsia="zh-CN" w:bidi="ar-SA"/>
              </w:rPr>
            </w:pPr>
          </w:p>
          <w:p>
            <w:pPr>
              <w:pStyle w:val="26"/>
              <w:bidi w:val="0"/>
              <w:spacing w:line="360" w:lineRule="auto"/>
              <w:rPr>
                <w:rFonts w:hint="default"/>
                <w:sz w:val="24"/>
                <w:szCs w:val="24"/>
                <w:lang w:val="en-US" w:eastAsia="zh-CN"/>
              </w:rPr>
            </w:pPr>
            <w:r>
              <w:rPr>
                <w:rFonts w:hint="eastAsia"/>
                <w:sz w:val="24"/>
                <w:szCs w:val="24"/>
                <w:lang w:val="en-US" w:eastAsia="zh-CN"/>
              </w:rPr>
              <w:t>图2.3-1建筑垃圾回收生产工艺流程图</w:t>
            </w:r>
          </w:p>
          <w:p>
            <w:pPr>
              <w:numPr>
                <w:ilvl w:val="0"/>
                <w:numId w:val="0"/>
              </w:numPr>
              <w:bidi w:val="0"/>
              <w:rPr>
                <w:rFonts w:hint="default"/>
                <w:lang w:val="en-US" w:eastAsia="zh-CN"/>
              </w:rPr>
            </w:pPr>
          </w:p>
          <w:p>
            <w:pPr>
              <w:pStyle w:val="4"/>
              <w:bidi w:val="0"/>
              <w:rPr>
                <w:rFonts w:hint="default"/>
                <w:color w:val="auto"/>
                <w:lang w:val="en-US" w:eastAsia="zh-CN"/>
              </w:rPr>
            </w:pPr>
            <w:r>
              <w:rPr>
                <w:rFonts w:hint="eastAsia"/>
                <w:color w:val="auto"/>
                <w:lang w:val="en-US" w:eastAsia="zh-CN"/>
              </w:rPr>
              <w:t>2.3.2预拌商品混凝土生产工艺介绍</w:t>
            </w:r>
          </w:p>
          <w:p>
            <w:pPr>
              <w:numPr>
                <w:ilvl w:val="0"/>
                <w:numId w:val="0"/>
              </w:numPr>
              <w:autoSpaceDE w:val="0"/>
              <w:autoSpaceDN w:val="0"/>
              <w:spacing w:line="360" w:lineRule="auto"/>
              <w:ind w:firstLine="480" w:firstLineChars="200"/>
              <w:textAlignment w:val="bottom"/>
              <w:rPr>
                <w:rFonts w:hint="eastAsia"/>
                <w:color w:val="auto"/>
                <w:lang w:val="en-US" w:eastAsia="zh-CN"/>
              </w:rPr>
            </w:pPr>
            <w:r>
              <w:rPr>
                <w:rFonts w:hint="eastAsia" w:cs="Times New Roman"/>
                <w:color w:val="auto"/>
                <w:kern w:val="2"/>
                <w:sz w:val="24"/>
                <w:szCs w:val="24"/>
                <w:lang w:val="en-US" w:eastAsia="zh-CN" w:bidi="ar-SA"/>
              </w:rPr>
              <w:t>项目</w:t>
            </w:r>
            <w:r>
              <w:rPr>
                <w:rFonts w:hint="eastAsia"/>
                <w:color w:val="auto"/>
                <w:lang w:val="en-US" w:eastAsia="zh-CN"/>
              </w:rPr>
              <w:t>预拌商品混凝土加工生产工艺流程见下图。</w:t>
            </w:r>
          </w:p>
          <w:p>
            <w:pPr>
              <w:pStyle w:val="2"/>
              <w:outlineLvl w:val="9"/>
              <w:rPr>
                <w:rFonts w:hint="eastAsia" w:eastAsia="宋体"/>
                <w:color w:val="auto"/>
                <w:lang w:eastAsia="zh-CN"/>
              </w:rPr>
            </w:pPr>
          </w:p>
          <w:p>
            <w:pPr>
              <w:pStyle w:val="26"/>
              <w:bidi w:val="0"/>
              <w:spacing w:line="360" w:lineRule="auto"/>
              <w:rPr>
                <w:rFonts w:hint="default"/>
                <w:color w:val="auto"/>
                <w:sz w:val="24"/>
                <w:szCs w:val="24"/>
                <w:lang w:val="en-US" w:eastAsia="zh-CN"/>
              </w:rPr>
            </w:pPr>
            <w:r>
              <w:rPr>
                <w:rFonts w:hint="eastAsia"/>
                <w:color w:val="auto"/>
                <w:sz w:val="24"/>
                <w:szCs w:val="24"/>
                <w:lang w:val="en-US" w:eastAsia="zh-CN"/>
              </w:rPr>
              <w:t>图2.3-2预拌商品混凝土工艺流程图</w:t>
            </w:r>
          </w:p>
          <w:p>
            <w:pPr>
              <w:bidi w:val="0"/>
              <w:rPr>
                <w:rFonts w:hint="default"/>
                <w:color w:val="auto"/>
                <w:lang w:val="en-US" w:eastAsia="zh-CN"/>
              </w:rPr>
            </w:pPr>
          </w:p>
          <w:p>
            <w:pPr>
              <w:pStyle w:val="4"/>
              <w:bidi w:val="0"/>
              <w:rPr>
                <w:rFonts w:hint="default"/>
                <w:color w:val="auto"/>
                <w:lang w:val="en-US" w:eastAsia="zh-CN"/>
              </w:rPr>
            </w:pPr>
            <w:r>
              <w:rPr>
                <w:rFonts w:hint="eastAsia"/>
                <w:color w:val="auto"/>
                <w:lang w:val="en-US" w:eastAsia="zh-CN"/>
              </w:rPr>
              <w:t>2.3.3砼结构件生产工艺介绍</w:t>
            </w:r>
          </w:p>
          <w:p>
            <w:pPr>
              <w:numPr>
                <w:ilvl w:val="0"/>
                <w:numId w:val="0"/>
              </w:numPr>
              <w:autoSpaceDE w:val="0"/>
              <w:autoSpaceDN w:val="0"/>
              <w:spacing w:line="360" w:lineRule="auto"/>
              <w:ind w:firstLine="480" w:firstLineChars="200"/>
              <w:textAlignment w:val="bottom"/>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项目</w:t>
            </w:r>
            <w:r>
              <w:rPr>
                <w:rFonts w:hint="eastAsia" w:cs="Times New Roman"/>
                <w:color w:val="auto"/>
                <w:kern w:val="2"/>
                <w:sz w:val="24"/>
                <w:szCs w:val="24"/>
                <w:lang w:val="en-US" w:eastAsia="zh-CN" w:bidi="ar-SA"/>
              </w:rPr>
              <w:t>砼结构件</w:t>
            </w:r>
            <w:r>
              <w:rPr>
                <w:rFonts w:hint="eastAsia" w:ascii="Times New Roman" w:hAnsi="Times New Roman" w:eastAsia="宋体" w:cs="Times New Roman"/>
                <w:color w:val="auto"/>
                <w:kern w:val="2"/>
                <w:sz w:val="24"/>
                <w:szCs w:val="24"/>
                <w:lang w:val="en-US" w:eastAsia="zh-CN" w:bidi="ar-SA"/>
              </w:rPr>
              <w:t>生产工艺流程见下图。</w:t>
            </w:r>
          </w:p>
          <w:p>
            <w:pPr>
              <w:keepNext w:val="0"/>
              <w:keepLines w:val="0"/>
              <w:pageBreakBefore w:val="0"/>
              <w:widowControl w:val="0"/>
              <w:kinsoku/>
              <w:wordWrap/>
              <w:overflowPunct/>
              <w:topLinePunct w:val="0"/>
              <w:bidi w:val="0"/>
              <w:snapToGrid/>
              <w:spacing w:line="360" w:lineRule="auto"/>
              <w:ind w:left="0" w:leftChars="0" w:firstLine="0" w:firstLineChars="0"/>
              <w:jc w:val="center"/>
              <w:textAlignment w:val="auto"/>
              <w:rPr>
                <w:rFonts w:hint="eastAsia" w:ascii="Times New Roman" w:hAnsi="Times New Roman" w:eastAsia="宋体" w:cs="Times New Roman"/>
                <w:b/>
                <w:bCs/>
                <w:color w:val="auto"/>
                <w:sz w:val="24"/>
                <w:szCs w:val="24"/>
                <w:highlight w:val="none"/>
                <w:lang w:eastAsia="zh-CN"/>
              </w:rPr>
            </w:pPr>
          </w:p>
          <w:p>
            <w:pPr>
              <w:pStyle w:val="33"/>
              <w:bidi w:val="0"/>
              <w:rPr>
                <w:rFonts w:hint="default"/>
                <w:color w:val="auto"/>
                <w:sz w:val="24"/>
                <w:lang w:val="en-US" w:eastAsia="zh-CN"/>
              </w:rPr>
            </w:pPr>
            <w:r>
              <w:rPr>
                <w:rFonts w:hint="eastAsia"/>
                <w:color w:val="auto"/>
                <w:sz w:val="24"/>
                <w:lang w:eastAsia="zh-CN"/>
              </w:rPr>
              <w:t>图</w:t>
            </w:r>
            <w:r>
              <w:rPr>
                <w:rFonts w:hint="eastAsia"/>
                <w:color w:val="auto"/>
                <w:sz w:val="24"/>
                <w:lang w:val="en-US" w:eastAsia="zh-CN"/>
              </w:rPr>
              <w:t>2.3</w:t>
            </w:r>
            <w:r>
              <w:rPr>
                <w:rFonts w:hint="eastAsia"/>
                <w:color w:val="auto"/>
                <w:sz w:val="24"/>
                <w:szCs w:val="24"/>
                <w:lang w:val="en-US" w:eastAsia="zh-CN"/>
              </w:rPr>
              <w:t>-3</w:t>
            </w:r>
            <w:r>
              <w:rPr>
                <w:rFonts w:hint="eastAsia"/>
                <w:color w:val="auto"/>
                <w:sz w:val="24"/>
                <w:lang w:val="en-US" w:eastAsia="zh-CN"/>
              </w:rPr>
              <w:t>砼结构件生产工艺流程</w:t>
            </w:r>
          </w:p>
          <w:p>
            <w:pPr>
              <w:bidi w:val="0"/>
              <w:rPr>
                <w:rFonts w:hint="default"/>
                <w:color w:val="auto"/>
                <w:lang w:val="en-US"/>
              </w:rPr>
            </w:pPr>
          </w:p>
          <w:p>
            <w:pPr>
              <w:pStyle w:val="4"/>
              <w:bidi w:val="0"/>
              <w:rPr>
                <w:rFonts w:hint="default"/>
                <w:color w:val="auto"/>
                <w:lang w:eastAsia="zh-CN"/>
              </w:rPr>
            </w:pPr>
            <w:r>
              <w:rPr>
                <w:rFonts w:hint="default"/>
                <w:color w:val="auto"/>
                <w:lang w:val="en-US" w:eastAsia="zh-CN"/>
              </w:rPr>
              <w:t>2.3.</w:t>
            </w:r>
            <w:r>
              <w:rPr>
                <w:rFonts w:hint="eastAsia"/>
                <w:color w:val="auto"/>
                <w:lang w:val="en-US" w:eastAsia="zh-CN"/>
              </w:rPr>
              <w:t>4产污环节</w:t>
            </w:r>
            <w:r>
              <w:rPr>
                <w:rFonts w:hint="default"/>
                <w:color w:val="auto"/>
                <w:lang w:val="en-US" w:eastAsia="zh-CN"/>
              </w:rPr>
              <w:t>分析</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项目产污环节、污染物项目、排放形式及污染防治设施详见下表</w:t>
            </w:r>
            <w:r>
              <w:rPr>
                <w:rFonts w:hint="default" w:ascii="Times New Roman" w:hAnsi="Times New Roman" w:eastAsia="宋体" w:cs="Times New Roman"/>
                <w:color w:val="auto"/>
                <w:sz w:val="24"/>
                <w:szCs w:val="24"/>
                <w:highlight w:val="none"/>
                <w:lang w:val="en-US" w:eastAsia="zh-CN"/>
              </w:rPr>
              <w:t>2.3-1。</w:t>
            </w:r>
          </w:p>
          <w:p>
            <w:pPr>
              <w:pStyle w:val="19"/>
              <w:keepNext w:val="0"/>
              <w:keepLines w:val="0"/>
              <w:pageBreakBefore w:val="0"/>
              <w:widowControl w:val="0"/>
              <w:kinsoku/>
              <w:wordWrap/>
              <w:overflowPunct/>
              <w:topLinePunct w:val="0"/>
              <w:autoSpaceDE w:val="0"/>
              <w:autoSpaceDN w:val="0"/>
              <w:bidi w:val="0"/>
              <w:adjustRightInd w:val="0"/>
              <w:snapToGrid w:val="0"/>
              <w:spacing w:before="0" w:beforeAutospacing="0" w:after="0" w:afterAutospacing="0"/>
              <w:ind w:firstLine="0" w:firstLineChars="0"/>
              <w:jc w:val="center"/>
              <w:textAlignment w:val="baseline"/>
              <w:rPr>
                <w:rFonts w:hint="default" w:ascii="Times New Roman" w:hAnsi="Times New Roman" w:eastAsia="宋体" w:cs="Times New Roman"/>
                <w:b/>
                <w:bCs/>
                <w:color w:val="auto"/>
                <w:spacing w:val="6"/>
                <w:highlight w:val="none"/>
              </w:rPr>
            </w:pPr>
            <w:r>
              <w:rPr>
                <w:rFonts w:hint="default" w:ascii="Times New Roman" w:hAnsi="Times New Roman" w:eastAsia="宋体" w:cs="Times New Roman"/>
                <w:b/>
                <w:bCs/>
                <w:color w:val="auto"/>
                <w:spacing w:val="6"/>
                <w:highlight w:val="none"/>
              </w:rPr>
              <w:t>表</w:t>
            </w:r>
            <w:r>
              <w:rPr>
                <w:rFonts w:hint="default" w:ascii="Times New Roman" w:hAnsi="Times New Roman" w:eastAsia="宋体" w:cs="Times New Roman"/>
                <w:b/>
                <w:bCs/>
                <w:color w:val="auto"/>
                <w:spacing w:val="6"/>
                <w:highlight w:val="none"/>
                <w:lang w:val="en-US" w:eastAsia="zh-CN"/>
              </w:rPr>
              <w:t>2.3-1</w:t>
            </w:r>
            <w:r>
              <w:rPr>
                <w:rFonts w:hint="default" w:ascii="Times New Roman" w:hAnsi="Times New Roman" w:eastAsia="宋体" w:cs="Times New Roman"/>
                <w:b/>
                <w:bCs/>
                <w:color w:val="auto"/>
                <w:spacing w:val="6"/>
                <w:highlight w:val="none"/>
              </w:rPr>
              <w:t xml:space="preserve"> </w:t>
            </w:r>
            <w:r>
              <w:rPr>
                <w:rFonts w:hint="default" w:ascii="Times New Roman" w:hAnsi="Times New Roman" w:eastAsia="宋体" w:cs="Times New Roman"/>
                <w:b/>
                <w:bCs/>
                <w:color w:val="auto"/>
                <w:spacing w:val="6"/>
                <w:highlight w:val="none"/>
                <w:lang w:eastAsia="zh-CN"/>
              </w:rPr>
              <w:t>项目</w:t>
            </w:r>
            <w:r>
              <w:rPr>
                <w:rFonts w:hint="default" w:ascii="Times New Roman" w:hAnsi="Times New Roman" w:eastAsia="宋体" w:cs="Times New Roman"/>
                <w:b/>
                <w:bCs/>
                <w:color w:val="auto"/>
                <w:spacing w:val="6"/>
                <w:highlight w:val="none"/>
              </w:rPr>
              <w:t>产污</w:t>
            </w:r>
            <w:r>
              <w:rPr>
                <w:rFonts w:hint="eastAsia" w:ascii="Times New Roman" w:hAnsi="Times New Roman" w:eastAsia="宋体" w:cs="Times New Roman"/>
                <w:b/>
                <w:bCs/>
                <w:color w:val="auto"/>
                <w:spacing w:val="6"/>
                <w:highlight w:val="none"/>
                <w:lang w:eastAsia="zh-CN"/>
              </w:rPr>
              <w:t>环节说明</w:t>
            </w:r>
            <w:r>
              <w:rPr>
                <w:rFonts w:hint="default" w:ascii="Times New Roman" w:hAnsi="Times New Roman" w:eastAsia="宋体" w:cs="Times New Roman"/>
                <w:b/>
                <w:bCs/>
                <w:color w:val="auto"/>
                <w:spacing w:val="6"/>
                <w:highlight w:val="none"/>
              </w:rPr>
              <w:t>一览表</w:t>
            </w:r>
          </w:p>
          <w:p>
            <w:pPr>
              <w:rPr>
                <w:rFonts w:hint="default" w:ascii="Times New Roman" w:hAnsi="Times New Roman" w:eastAsia="宋体" w:cs="Times New Roman"/>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99" w:hRule="atLeast"/>
          <w:jc w:val="center"/>
        </w:trPr>
        <w:tc>
          <w:tcPr>
            <w:tcW w:w="707" w:type="dxa"/>
            <w:vAlign w:val="center"/>
          </w:tcPr>
          <w:p>
            <w:pPr>
              <w:pStyle w:val="28"/>
              <w:bidi w:val="0"/>
              <w:rPr>
                <w:rFonts w:hint="default" w:ascii="Times New Roman" w:hAnsi="Times New Roman" w:eastAsia="宋体" w:cs="Times New Roman"/>
                <w:color w:val="auto"/>
                <w:szCs w:val="21"/>
              </w:rPr>
            </w:pPr>
            <w:r>
              <w:rPr>
                <w:rFonts w:hint="default"/>
                <w:color w:val="auto"/>
                <w:sz w:val="24"/>
                <w:szCs w:val="32"/>
                <w:lang w:val="en-US" w:eastAsia="zh-CN"/>
              </w:rPr>
              <w:t>与项目有关的原有环境污染问题</w:t>
            </w:r>
          </w:p>
        </w:tc>
        <w:tc>
          <w:tcPr>
            <w:tcW w:w="8218" w:type="dxa"/>
            <w:vAlign w:val="center"/>
          </w:tcPr>
          <w:p>
            <w:pPr>
              <w:pStyle w:val="3"/>
              <w:bidi w:val="0"/>
              <w:rPr>
                <w:rFonts w:hint="eastAsia"/>
                <w:color w:val="auto"/>
                <w:lang w:val="en-US" w:eastAsia="zh-CN"/>
              </w:rPr>
            </w:pPr>
            <w:r>
              <w:rPr>
                <w:rFonts w:hint="eastAsia"/>
                <w:color w:val="auto"/>
                <w:lang w:val="en-US" w:eastAsia="zh-CN"/>
              </w:rPr>
              <w:t>2.4迁建前工程建设情况及污染源分析</w:t>
            </w:r>
          </w:p>
          <w:p>
            <w:pPr>
              <w:pStyle w:val="4"/>
              <w:bidi w:val="0"/>
              <w:rPr>
                <w:color w:val="auto"/>
              </w:rPr>
            </w:pPr>
            <w:r>
              <w:rPr>
                <w:color w:val="auto"/>
              </w:rPr>
              <w:t>2.</w:t>
            </w:r>
            <w:r>
              <w:rPr>
                <w:rFonts w:hint="eastAsia"/>
                <w:color w:val="auto"/>
                <w:lang w:val="en-US" w:eastAsia="zh-CN"/>
              </w:rPr>
              <w:t>4.1迁建前</w:t>
            </w:r>
            <w:r>
              <w:rPr>
                <w:rFonts w:hint="eastAsia"/>
                <w:color w:val="auto"/>
              </w:rPr>
              <w:t>工程概况</w:t>
            </w:r>
          </w:p>
          <w:p>
            <w:pPr>
              <w:rPr>
                <w:color w:val="auto"/>
                <w:sz w:val="24"/>
              </w:rPr>
            </w:pPr>
            <w:r>
              <w:rPr>
                <w:rFonts w:hint="eastAsia"/>
                <w:color w:val="auto"/>
                <w:sz w:val="24"/>
                <w:lang w:val="en-US" w:eastAsia="zh-CN"/>
              </w:rPr>
              <w:t>迁建前</w:t>
            </w:r>
            <w:r>
              <w:rPr>
                <w:color w:val="auto"/>
                <w:sz w:val="24"/>
              </w:rPr>
              <w:t>工程环评批复及验收情况详见下表：</w:t>
            </w:r>
          </w:p>
          <w:p>
            <w:pPr>
              <w:pStyle w:val="33"/>
              <w:bidi w:val="0"/>
              <w:rPr>
                <w:color w:val="auto"/>
                <w:sz w:val="24"/>
                <w:szCs w:val="24"/>
              </w:rPr>
            </w:pPr>
          </w:p>
          <w:p>
            <w:pPr>
              <w:pStyle w:val="33"/>
              <w:bidi w:val="0"/>
              <w:rPr>
                <w:b/>
                <w:color w:val="auto"/>
                <w:sz w:val="24"/>
                <w:szCs w:val="24"/>
              </w:rPr>
            </w:pPr>
            <w:r>
              <w:rPr>
                <w:color w:val="auto"/>
                <w:sz w:val="24"/>
                <w:szCs w:val="24"/>
              </w:rPr>
              <w:t>表</w:t>
            </w:r>
            <w:r>
              <w:rPr>
                <w:rFonts w:hint="eastAsia"/>
                <w:color w:val="auto"/>
                <w:sz w:val="24"/>
                <w:szCs w:val="24"/>
                <w:lang w:val="en-US" w:eastAsia="zh-CN"/>
              </w:rPr>
              <w:t>2.4-1</w:t>
            </w:r>
            <w:r>
              <w:rPr>
                <w:rFonts w:hint="eastAsia"/>
                <w:color w:val="auto"/>
                <w:sz w:val="24"/>
                <w:szCs w:val="24"/>
              </w:rPr>
              <w:t xml:space="preserve"> 现有</w:t>
            </w:r>
            <w:r>
              <w:rPr>
                <w:color w:val="auto"/>
                <w:sz w:val="24"/>
                <w:szCs w:val="24"/>
              </w:rPr>
              <w:t>工程环评批复及验收情况一览表</w:t>
            </w:r>
          </w:p>
          <w:p>
            <w:pPr>
              <w:pStyle w:val="4"/>
              <w:bidi w:val="0"/>
              <w:rPr>
                <w:rFonts w:hint="default"/>
                <w:color w:val="auto"/>
                <w:lang w:val="en-US" w:eastAsia="zh-CN"/>
              </w:rPr>
            </w:pPr>
            <w:r>
              <w:rPr>
                <w:rFonts w:hint="eastAsia"/>
                <w:color w:val="auto"/>
                <w:lang w:val="en-US" w:eastAsia="zh-CN"/>
              </w:rPr>
              <w:t>2.4.2迁建前</w:t>
            </w:r>
            <w:r>
              <w:rPr>
                <w:rFonts w:hint="eastAsia"/>
                <w:color w:val="auto"/>
              </w:rPr>
              <w:t>工程建设情况</w:t>
            </w:r>
          </w:p>
          <w:p>
            <w:pPr>
              <w:bidi w:val="0"/>
              <w:rPr>
                <w:rFonts w:hint="default"/>
                <w:color w:val="auto"/>
                <w:lang w:val="en-US" w:eastAsia="zh-CN"/>
              </w:rPr>
            </w:pPr>
            <w:r>
              <w:rPr>
                <w:rFonts w:hint="eastAsia"/>
                <w:color w:val="auto"/>
                <w:lang w:val="en-US" w:eastAsia="zh-CN"/>
              </w:rPr>
              <w:t>迁建前的工程为原</w:t>
            </w:r>
            <w:r>
              <w:rPr>
                <w:rFonts w:hint="default"/>
                <w:color w:val="auto"/>
                <w:lang w:val="en-US" w:eastAsia="zh-CN"/>
              </w:rPr>
              <w:t>福建融瀚建材有限公司</w:t>
            </w:r>
            <w:r>
              <w:rPr>
                <w:rFonts w:hint="eastAsia"/>
                <w:color w:val="auto"/>
                <w:lang w:val="en-US" w:eastAsia="zh-CN"/>
              </w:rPr>
              <w:t>，工程</w:t>
            </w:r>
            <w:r>
              <w:rPr>
                <w:rFonts w:hint="default"/>
                <w:color w:val="auto"/>
                <w:lang w:val="en-US" w:eastAsia="zh-CN"/>
              </w:rPr>
              <w:t>位于福建省福州市福清市海口镇东阁村真大线21公里处，总投资6800万元，占地面积5565</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，建筑面积4000</w:t>
            </w:r>
            <w:r>
              <w:rPr>
                <w:rFonts w:hint="eastAsia"/>
                <w:color w:val="auto"/>
                <w:lang w:val="en-US" w:eastAsia="zh-CN"/>
              </w:rPr>
              <w:t>m</w:t>
            </w:r>
            <w:r>
              <w:rPr>
                <w:rFonts w:hint="eastAsia"/>
                <w:color w:val="auto"/>
                <w:vertAlign w:val="superscript"/>
                <w:lang w:val="en-US" w:eastAsia="zh-CN"/>
              </w:rPr>
              <w:t>2</w:t>
            </w:r>
            <w:r>
              <w:rPr>
                <w:rFonts w:hint="default"/>
                <w:color w:val="auto"/>
                <w:lang w:val="en-US" w:eastAsia="zh-CN"/>
              </w:rPr>
              <w:t>。租赁福清市日盛饲料有限公司土地，从事商品混凝土生产项目，年产80万吨预拌商品混凝土。</w:t>
            </w:r>
            <w:r>
              <w:rPr>
                <w:rFonts w:hint="eastAsia"/>
                <w:color w:val="auto"/>
                <w:lang w:val="en-US" w:eastAsia="zh-CN"/>
              </w:rPr>
              <w:t>原工程企业员工58人，均不住厂，厂内不设食堂、公厕等辅助设施，年工作天数350天，单班制，每班8小时。</w:t>
            </w:r>
          </w:p>
          <w:p>
            <w:pPr>
              <w:pStyle w:val="4"/>
              <w:bidi w:val="0"/>
              <w:rPr>
                <w:rFonts w:hint="eastAsia"/>
                <w:color w:val="auto"/>
                <w:lang w:val="en-US" w:eastAsia="zh-CN"/>
              </w:rPr>
            </w:pPr>
            <w:r>
              <w:rPr>
                <w:rFonts w:hint="eastAsia"/>
                <w:color w:val="auto"/>
                <w:lang w:val="en-US" w:eastAsia="zh-CN"/>
              </w:rPr>
              <w:t>2.4.3迁建前工程组成</w:t>
            </w:r>
          </w:p>
          <w:p>
            <w:pPr>
              <w:keepNext w:val="0"/>
              <w:keepLines w:val="0"/>
              <w:widowControl/>
              <w:suppressLineNumbers w:val="0"/>
              <w:jc w:val="left"/>
              <w:rPr>
                <w:rFonts w:hint="eastAsia"/>
                <w:color w:val="auto"/>
                <w:lang w:val="en-US" w:eastAsia="zh-CN"/>
              </w:rPr>
            </w:pPr>
            <w:r>
              <w:rPr>
                <w:rFonts w:hint="eastAsia"/>
                <w:color w:val="auto"/>
                <w:lang w:val="en-US" w:eastAsia="zh-CN"/>
              </w:rPr>
              <w:t>根据项目人员对原工程现状进行实地踏勘后，对照原工程所做《</w:t>
            </w:r>
            <w:r>
              <w:rPr>
                <w:rFonts w:hint="eastAsia" w:ascii="宋体" w:hAnsi="宋体" w:eastAsia="宋体" w:cs="宋体"/>
                <w:color w:val="auto"/>
                <w:kern w:val="0"/>
                <w:sz w:val="24"/>
                <w:szCs w:val="24"/>
                <w:lang w:val="en-US" w:eastAsia="zh-CN" w:bidi="ar"/>
              </w:rPr>
              <w:t>福建融瀚建材有限公司年产</w:t>
            </w:r>
            <w:r>
              <w:rPr>
                <w:rFonts w:hint="default" w:ascii="Times New Roman" w:hAnsi="Times New Roman" w:eastAsia="宋体" w:cs="Times New Roman"/>
                <w:color w:val="auto"/>
                <w:kern w:val="0"/>
                <w:sz w:val="24"/>
                <w:szCs w:val="24"/>
                <w:lang w:val="en-US" w:eastAsia="zh-CN" w:bidi="ar"/>
              </w:rPr>
              <w:t>80</w:t>
            </w:r>
            <w:r>
              <w:rPr>
                <w:rFonts w:hint="eastAsia" w:ascii="宋体" w:hAnsi="宋体" w:eastAsia="宋体" w:cs="宋体"/>
                <w:color w:val="auto"/>
                <w:kern w:val="0"/>
                <w:sz w:val="24"/>
                <w:szCs w:val="24"/>
                <w:lang w:val="en-US" w:eastAsia="zh-CN" w:bidi="ar"/>
              </w:rPr>
              <w:t>万吨预拌商品混凝土环境影响报告表</w:t>
            </w:r>
            <w:r>
              <w:rPr>
                <w:rFonts w:hint="eastAsia"/>
                <w:color w:val="auto"/>
                <w:lang w:val="en-US" w:eastAsia="zh-CN"/>
              </w:rPr>
              <w:t>》相关内容，企业迁建前的工程项目组成如下表2.4-2。</w:t>
            </w:r>
          </w:p>
          <w:p>
            <w:pPr>
              <w:pStyle w:val="33"/>
              <w:bidi w:val="0"/>
              <w:rPr>
                <w:color w:val="auto"/>
                <w:sz w:val="24"/>
                <w:szCs w:val="24"/>
              </w:rPr>
            </w:pPr>
            <w:r>
              <w:rPr>
                <w:color w:val="auto"/>
                <w:sz w:val="24"/>
                <w:szCs w:val="24"/>
              </w:rPr>
              <w:t>表2</w:t>
            </w:r>
            <w:r>
              <w:rPr>
                <w:rFonts w:hint="eastAsia"/>
                <w:color w:val="auto"/>
                <w:sz w:val="24"/>
                <w:szCs w:val="24"/>
                <w:lang w:val="en-US" w:eastAsia="zh-CN"/>
              </w:rPr>
              <w:t>.4-2</w:t>
            </w:r>
            <w:r>
              <w:rPr>
                <w:color w:val="auto"/>
                <w:sz w:val="24"/>
                <w:szCs w:val="24"/>
              </w:rPr>
              <w:t xml:space="preserve"> </w:t>
            </w:r>
            <w:r>
              <w:rPr>
                <w:rFonts w:hint="eastAsia"/>
                <w:color w:val="auto"/>
                <w:sz w:val="24"/>
                <w:szCs w:val="24"/>
                <w:lang w:val="en-US" w:eastAsia="zh-CN"/>
              </w:rPr>
              <w:t>迁建前工程</w:t>
            </w:r>
            <w:r>
              <w:rPr>
                <w:color w:val="auto"/>
                <w:sz w:val="24"/>
                <w:szCs w:val="24"/>
              </w:rPr>
              <w:t>组成一览表</w:t>
            </w:r>
          </w:p>
          <w:p>
            <w:pPr>
              <w:pStyle w:val="4"/>
              <w:bidi w:val="0"/>
              <w:rPr>
                <w:rFonts w:hint="eastAsia"/>
                <w:color w:val="auto"/>
                <w:lang w:val="en-US" w:eastAsia="zh-CN"/>
              </w:rPr>
            </w:pPr>
            <w:r>
              <w:rPr>
                <w:rFonts w:hint="eastAsia"/>
                <w:color w:val="auto"/>
                <w:lang w:val="en-US" w:eastAsia="zh-CN"/>
              </w:rPr>
              <w:t>2.4.4迁建前工程污染物排放情况分析</w:t>
            </w:r>
          </w:p>
          <w:p>
            <w:pPr>
              <w:bidi w:val="0"/>
              <w:rPr>
                <w:b/>
                <w:bCs/>
                <w:color w:val="auto"/>
              </w:rPr>
            </w:pPr>
            <w:r>
              <w:rPr>
                <w:b/>
                <w:bCs/>
                <w:color w:val="auto"/>
              </w:rPr>
              <w:t>（1）废水</w:t>
            </w:r>
          </w:p>
          <w:p>
            <w:pPr>
              <w:bidi w:val="0"/>
              <w:rPr>
                <w:rFonts w:hint="default"/>
                <w:color w:val="auto"/>
                <w:lang w:val="en-US" w:eastAsia="zh-CN"/>
              </w:rPr>
            </w:pPr>
            <w:r>
              <w:rPr>
                <w:rFonts w:hint="eastAsia"/>
                <w:color w:val="auto"/>
                <w:lang w:val="en-US" w:eastAsia="zh-CN"/>
              </w:rPr>
              <w:t>迁建前工程的废水主要来源于生产废水和生活废水，生产废水主要来源于生产过程中设备和运输车辆的清洗，生活废水来源于职工生活用水，迁建前项目职工不住厂，不设宿舍、不设食堂，无厕所。生产废水和日常用水经三级沉淀池处理后全部循环回用于设备和车辆清洗用水，不外排。</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根据《福建融瀚建材有限公司年产80万吨预拌商品混凝土项目竣工环境保护验收监测报告》，迁建前工程厂区水平衡如下：</w:t>
            </w:r>
          </w:p>
          <w:p>
            <w:pPr>
              <w:pStyle w:val="10"/>
              <w:ind w:left="0" w:leftChars="0" w:firstLine="0" w:firstLineChars="0"/>
              <w:jc w:val="center"/>
              <w:rPr>
                <w:color w:val="auto"/>
              </w:rPr>
            </w:pPr>
          </w:p>
          <w:p>
            <w:pPr>
              <w:pStyle w:val="26"/>
              <w:bidi w:val="0"/>
              <w:rPr>
                <w:rFonts w:hint="eastAsia"/>
                <w:color w:val="auto"/>
                <w:lang w:val="en-US" w:eastAsia="zh-CN"/>
              </w:rPr>
            </w:pPr>
            <w:r>
              <w:rPr>
                <w:rFonts w:hint="eastAsia"/>
                <w:color w:val="auto"/>
                <w:lang w:val="en-US" w:eastAsia="zh-CN"/>
              </w:rPr>
              <w:t>图2.4-1 迁建前项目厂区水平衡图</w:t>
            </w:r>
          </w:p>
          <w:p>
            <w:pPr>
              <w:numPr>
                <w:ilvl w:val="0"/>
                <w:numId w:val="0"/>
              </w:numPr>
              <w:bidi w:val="0"/>
              <w:rPr>
                <w:rFonts w:hint="eastAsia"/>
                <w:b/>
                <w:bCs/>
                <w:color w:val="auto"/>
                <w:lang w:val="en-US" w:eastAsia="zh-CN"/>
              </w:rPr>
            </w:pPr>
          </w:p>
          <w:p>
            <w:pPr>
              <w:numPr>
                <w:ilvl w:val="0"/>
                <w:numId w:val="5"/>
              </w:numPr>
              <w:bidi w:val="0"/>
              <w:rPr>
                <w:rFonts w:hint="eastAsia"/>
                <w:b/>
                <w:bCs/>
                <w:color w:val="auto"/>
                <w:lang w:val="en-US" w:eastAsia="zh-CN"/>
              </w:rPr>
            </w:pPr>
            <w:r>
              <w:rPr>
                <w:rFonts w:hint="eastAsia"/>
                <w:b/>
                <w:bCs/>
                <w:color w:val="auto"/>
                <w:lang w:val="en-US" w:eastAsia="zh-CN"/>
              </w:rPr>
              <w:t>废气</w:t>
            </w:r>
          </w:p>
          <w:p>
            <w:pPr>
              <w:bidi w:val="0"/>
              <w:rPr>
                <w:rFonts w:hint="eastAsia"/>
                <w:color w:val="auto"/>
                <w:lang w:val="en-US" w:eastAsia="zh-CN"/>
              </w:rPr>
            </w:pPr>
            <w:r>
              <w:rPr>
                <w:rFonts w:hint="eastAsia"/>
                <w:color w:val="auto"/>
                <w:lang w:val="en-US" w:eastAsia="zh-CN"/>
              </w:rPr>
              <w:t>有组织废气：迁建前项目生产过程中的水泥、粉煤灰输送至筒仓，进行搅拌的过程中产生的粉尘经由筒仓顶部配备的脉冲除尘装置处理后于20米高处直接排放；搅拌主楼的粉尘经除尘器处理后于15米高处直接排放。</w:t>
            </w:r>
          </w:p>
          <w:p>
            <w:pPr>
              <w:bidi w:val="0"/>
              <w:rPr>
                <w:rFonts w:hint="eastAsia"/>
                <w:color w:val="auto"/>
                <w:lang w:val="en-US" w:eastAsia="zh-CN"/>
              </w:rPr>
            </w:pPr>
            <w:r>
              <w:rPr>
                <w:rFonts w:hint="eastAsia"/>
                <w:color w:val="auto"/>
                <w:lang w:val="en-US" w:eastAsia="zh-CN"/>
              </w:rPr>
              <w:t>无组织废气：搅拌过程中石子、砂卸车粉尘剂铲车喂料产生的粉尘；石子、砂原料堆场产生的扬尘搅拌站车间的不严密性逸散的粉尘；厂内各车辆运输行驶产生的二次扬尘；这些粉尘均为无组织排放，无组织排放废气通过安装10台雾炮机以及靠马路边墙及搅拌楼布设大量水喷淋设施降低环境空气中的粉尘污染。</w:t>
            </w:r>
          </w:p>
          <w:p>
            <w:pPr>
              <w:bidi w:val="0"/>
              <w:rPr>
                <w:rFonts w:hint="eastAsia"/>
                <w:bCs/>
                <w:snapToGrid w:val="0"/>
                <w:color w:val="auto"/>
                <w:sz w:val="24"/>
              </w:rPr>
            </w:pPr>
            <w:r>
              <w:rPr>
                <w:rFonts w:hint="eastAsia"/>
                <w:bCs/>
                <w:snapToGrid w:val="0"/>
                <w:color w:val="auto"/>
                <w:sz w:val="24"/>
              </w:rPr>
              <w:t>根据《</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rPr>
              <w:t>》，</w:t>
            </w:r>
            <w:r>
              <w:rPr>
                <w:rFonts w:hint="eastAsia"/>
                <w:bCs/>
                <w:snapToGrid w:val="0"/>
                <w:color w:val="auto"/>
                <w:sz w:val="24"/>
                <w:szCs w:val="24"/>
                <w:lang w:val="en-US" w:eastAsia="zh-CN"/>
              </w:rPr>
              <w:t>迁建前工程厂界</w:t>
            </w:r>
            <w:r>
              <w:rPr>
                <w:rFonts w:hint="eastAsia"/>
                <w:bCs/>
                <w:snapToGrid w:val="0"/>
                <w:color w:val="auto"/>
                <w:sz w:val="24"/>
              </w:rPr>
              <w:t>无</w:t>
            </w:r>
            <w:r>
              <w:rPr>
                <w:rFonts w:hint="eastAsia"/>
                <w:bCs/>
                <w:snapToGrid w:val="0"/>
                <w:color w:val="auto"/>
                <w:sz w:val="24"/>
                <w:szCs w:val="24"/>
                <w:lang w:val="en-US" w:eastAsia="zh-CN"/>
              </w:rPr>
              <w:t>组织废气监测结果见表2.4-3</w:t>
            </w:r>
            <w:r>
              <w:rPr>
                <w:rFonts w:hint="eastAsia"/>
                <w:bCs/>
                <w:snapToGrid w:val="0"/>
                <w:color w:val="auto"/>
                <w:sz w:val="24"/>
              </w:rPr>
              <w:t>。</w:t>
            </w:r>
          </w:p>
          <w:p>
            <w:pPr>
              <w:pStyle w:val="33"/>
              <w:bidi w:val="0"/>
              <w:rPr>
                <w:color w:val="auto"/>
                <w:sz w:val="24"/>
                <w:szCs w:val="24"/>
              </w:rPr>
            </w:pPr>
            <w:r>
              <w:rPr>
                <w:color w:val="auto"/>
                <w:sz w:val="24"/>
                <w:szCs w:val="24"/>
              </w:rPr>
              <w:t>表</w:t>
            </w:r>
            <w:r>
              <w:rPr>
                <w:rFonts w:hint="eastAsia"/>
                <w:color w:val="auto"/>
                <w:sz w:val="24"/>
                <w:szCs w:val="24"/>
              </w:rPr>
              <w:t>2</w:t>
            </w:r>
            <w:r>
              <w:rPr>
                <w:rFonts w:hint="eastAsia"/>
                <w:color w:val="auto"/>
                <w:sz w:val="24"/>
                <w:szCs w:val="24"/>
                <w:lang w:val="en-US" w:eastAsia="zh-CN"/>
              </w:rPr>
              <w:t>.4-3</w:t>
            </w:r>
            <w:r>
              <w:rPr>
                <w:rFonts w:hint="eastAsia"/>
                <w:color w:val="auto"/>
                <w:sz w:val="24"/>
                <w:szCs w:val="24"/>
              </w:rPr>
              <w:t xml:space="preserve"> </w:t>
            </w:r>
            <w:r>
              <w:rPr>
                <w:rFonts w:hint="eastAsia"/>
                <w:color w:val="auto"/>
                <w:sz w:val="24"/>
                <w:szCs w:val="24"/>
                <w:lang w:val="en-US" w:eastAsia="zh-CN"/>
              </w:rPr>
              <w:t>迁建前</w:t>
            </w:r>
            <w:r>
              <w:rPr>
                <w:rFonts w:hint="eastAsia"/>
                <w:color w:val="auto"/>
                <w:sz w:val="24"/>
                <w:szCs w:val="24"/>
              </w:rPr>
              <w:t>工程</w:t>
            </w:r>
            <w:r>
              <w:rPr>
                <w:rFonts w:hint="eastAsia"/>
                <w:color w:val="auto"/>
                <w:sz w:val="24"/>
                <w:szCs w:val="24"/>
                <w:lang w:val="en-US" w:eastAsia="zh-CN"/>
              </w:rPr>
              <w:t>无组织</w:t>
            </w:r>
            <w:r>
              <w:rPr>
                <w:rFonts w:hint="eastAsia"/>
                <w:color w:val="auto"/>
                <w:sz w:val="24"/>
                <w:szCs w:val="24"/>
              </w:rPr>
              <w:t>废气排放检测结果</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eastAsia="宋体"/>
                <w:color w:val="auto"/>
                <w:vertAlign w:val="baseline"/>
                <w:lang w:val="en-US" w:eastAsia="zh-CN"/>
              </w:rPr>
            </w:pPr>
            <w:r>
              <w:rPr>
                <w:rFonts w:hint="eastAsia"/>
                <w:color w:val="auto"/>
                <w:sz w:val="24"/>
                <w:szCs w:val="24"/>
              </w:rPr>
              <w:t>根据验收监测结果，</w:t>
            </w:r>
            <w:r>
              <w:rPr>
                <w:rFonts w:hint="eastAsia"/>
                <w:color w:val="auto"/>
                <w:sz w:val="24"/>
                <w:szCs w:val="24"/>
                <w:lang w:val="en-US" w:eastAsia="zh-CN"/>
              </w:rPr>
              <w:t>迁建前</w:t>
            </w:r>
            <w:r>
              <w:rPr>
                <w:rFonts w:hint="eastAsia"/>
                <w:color w:val="auto"/>
                <w:sz w:val="24"/>
                <w:szCs w:val="24"/>
              </w:rPr>
              <w:t>工程</w:t>
            </w:r>
            <w:r>
              <w:rPr>
                <w:rFonts w:hint="eastAsia"/>
                <w:color w:val="auto"/>
                <w:sz w:val="24"/>
                <w:szCs w:val="24"/>
                <w:lang w:val="en-US" w:eastAsia="zh-CN"/>
              </w:rPr>
              <w:t>厂界下风向颗粒物无组织排放的监控浓度为0.395</w:t>
            </w:r>
            <w:r>
              <w:rPr>
                <w:rFonts w:hint="eastAsia"/>
                <w:color w:val="auto"/>
                <w:lang w:val="en-US" w:eastAsia="zh-CN"/>
              </w:rPr>
              <w:t>mg/m</w:t>
            </w:r>
            <w:r>
              <w:rPr>
                <w:rFonts w:hint="eastAsia"/>
                <w:color w:val="auto"/>
                <w:vertAlign w:val="superscript"/>
                <w:lang w:val="en-US" w:eastAsia="zh-CN"/>
              </w:rPr>
              <w:t>3</w:t>
            </w:r>
            <w:r>
              <w:rPr>
                <w:rFonts w:hint="eastAsia"/>
                <w:color w:val="auto"/>
                <w:vertAlign w:val="baseline"/>
                <w:lang w:val="en-US" w:eastAsia="zh-CN"/>
              </w:rPr>
              <w:t>和0.383</w:t>
            </w:r>
            <w:r>
              <w:rPr>
                <w:rFonts w:hint="eastAsia"/>
                <w:color w:val="auto"/>
                <w:lang w:val="en-US" w:eastAsia="zh-CN"/>
              </w:rPr>
              <w:t>mg/m</w:t>
            </w:r>
            <w:r>
              <w:rPr>
                <w:rFonts w:hint="eastAsia"/>
                <w:color w:val="auto"/>
                <w:vertAlign w:val="superscript"/>
                <w:lang w:val="en-US" w:eastAsia="zh-CN"/>
              </w:rPr>
              <w:t>3</w:t>
            </w:r>
            <w:r>
              <w:rPr>
                <w:rFonts w:hint="eastAsia"/>
                <w:color w:val="auto"/>
                <w:vertAlign w:val="baseline"/>
                <w:lang w:val="en-US" w:eastAsia="zh-CN"/>
              </w:rPr>
              <w:t>，可以达到《水泥工业大气污染物排放标准》（</w:t>
            </w:r>
            <w:r>
              <w:rPr>
                <w:rFonts w:hint="eastAsia"/>
                <w:color w:val="auto"/>
                <w:lang w:val="en-US" w:eastAsia="zh-CN"/>
              </w:rPr>
              <w:t>DB35 1311-2013</w:t>
            </w:r>
            <w:r>
              <w:rPr>
                <w:rFonts w:hint="eastAsia"/>
                <w:color w:val="auto"/>
                <w:vertAlign w:val="baseline"/>
                <w:lang w:val="en-US" w:eastAsia="zh-CN"/>
              </w:rPr>
              <w:t>）表3中的无组织排放限值（</w:t>
            </w:r>
            <w:r>
              <w:rPr>
                <w:rFonts w:hint="eastAsia"/>
                <w:color w:val="auto"/>
                <w:lang w:val="en-US" w:eastAsia="zh-CN"/>
              </w:rPr>
              <w:t>0.5mg/m</w:t>
            </w:r>
            <w:r>
              <w:rPr>
                <w:rFonts w:hint="eastAsia"/>
                <w:color w:val="auto"/>
                <w:vertAlign w:val="superscript"/>
                <w:lang w:val="en-US" w:eastAsia="zh-CN"/>
              </w:rPr>
              <w:t>3</w:t>
            </w:r>
            <w:r>
              <w:rPr>
                <w:rFonts w:hint="eastAsia"/>
                <w:color w:val="auto"/>
                <w:vertAlign w:val="baseline"/>
                <w:lang w:val="en-US" w:eastAsia="zh-CN"/>
              </w:rPr>
              <w:t>）。</w:t>
            </w:r>
          </w:p>
          <w:p>
            <w:pPr>
              <w:numPr>
                <w:ilvl w:val="0"/>
                <w:numId w:val="5"/>
              </w:numPr>
              <w:bidi w:val="0"/>
              <w:ind w:left="0" w:leftChars="0" w:firstLine="482" w:firstLineChars="200"/>
              <w:rPr>
                <w:rFonts w:hint="eastAsia"/>
                <w:b/>
                <w:bCs/>
                <w:color w:val="auto"/>
                <w:lang w:val="en-US" w:eastAsia="zh-CN"/>
              </w:rPr>
            </w:pPr>
            <w:r>
              <w:rPr>
                <w:rFonts w:hint="eastAsia"/>
                <w:b/>
                <w:bCs/>
                <w:color w:val="auto"/>
                <w:lang w:val="en-US" w:eastAsia="zh-CN"/>
              </w:rPr>
              <w:t>噪声</w:t>
            </w:r>
          </w:p>
          <w:p>
            <w:pPr>
              <w:bidi w:val="0"/>
              <w:rPr>
                <w:rFonts w:hint="eastAsia"/>
                <w:color w:val="auto"/>
                <w:lang w:val="en-US" w:eastAsia="zh-CN"/>
              </w:rPr>
            </w:pPr>
            <w:r>
              <w:rPr>
                <w:rFonts w:hint="eastAsia"/>
                <w:color w:val="auto"/>
                <w:lang w:val="en-US" w:eastAsia="zh-CN"/>
              </w:rPr>
              <w:t>根据《福建融瀚建材有限公司年产80万吨预拌商品混凝土项目竣工环境保护验收监测报告》，迁建前工程厂区2018年10月18-19日各生产设备正常运作，在验收监测的工况条件下，迁建前工程厂界噪声（N1-N4）监测点位，N1、N3、N4的噪声范围为56.0-59.1dB，符合《工业厂界环境噪声排放标准》（GB12348-2008）2类区标准限值的要求；N2的噪声范围为63.3-65dB，符合《工业厂界环境噪声排放标准》（GB12348-2008）4a类区标准限值的要求，具体监测结果如下表2.4-4所示。</w:t>
            </w:r>
          </w:p>
          <w:p>
            <w:pPr>
              <w:pStyle w:val="33"/>
              <w:bidi w:val="0"/>
              <w:rPr>
                <w:rFonts w:hint="eastAsia"/>
                <w:color w:val="auto"/>
                <w:sz w:val="24"/>
                <w:szCs w:val="24"/>
                <w:lang w:val="en-US" w:eastAsia="zh-CN"/>
              </w:rPr>
            </w:pPr>
            <w:r>
              <w:rPr>
                <w:rFonts w:hint="eastAsia"/>
                <w:color w:val="auto"/>
                <w:sz w:val="24"/>
                <w:szCs w:val="24"/>
                <w:lang w:val="en-US" w:eastAsia="zh-CN"/>
              </w:rPr>
              <w:t>表2.4-4 迁建前工程验收期间昼间噪声监测结果（单位：L</w:t>
            </w:r>
            <w:r>
              <w:rPr>
                <w:rFonts w:hint="eastAsia"/>
                <w:color w:val="auto"/>
                <w:sz w:val="24"/>
                <w:szCs w:val="24"/>
                <w:vertAlign w:val="subscript"/>
                <w:lang w:val="en-US" w:eastAsia="zh-CN"/>
              </w:rPr>
              <w:t>Aeq</w:t>
            </w:r>
            <w:r>
              <w:rPr>
                <w:rFonts w:hint="eastAsia"/>
                <w:color w:val="auto"/>
                <w:sz w:val="24"/>
                <w:szCs w:val="24"/>
                <w:lang w:val="en-US" w:eastAsia="zh-CN"/>
              </w:rPr>
              <w:t>（dB））</w:t>
            </w:r>
          </w:p>
          <w:p>
            <w:pPr>
              <w:keepNext w:val="0"/>
              <w:keepLines w:val="0"/>
              <w:pageBreakBefore w:val="0"/>
              <w:widowControl w:val="0"/>
              <w:numPr>
                <w:ilvl w:val="0"/>
                <w:numId w:val="5"/>
              </w:numPr>
              <w:kinsoku/>
              <w:wordWrap/>
              <w:overflowPunct/>
              <w:topLinePunct w:val="0"/>
              <w:autoSpaceDE/>
              <w:autoSpaceDN/>
              <w:bidi w:val="0"/>
              <w:adjustRightInd/>
              <w:snapToGrid/>
              <w:spacing w:before="157" w:beforeLines="50"/>
              <w:ind w:left="0" w:leftChars="0" w:firstLine="480" w:firstLineChars="200"/>
              <w:textAlignment w:val="auto"/>
              <w:rPr>
                <w:rFonts w:hint="eastAsia"/>
                <w:color w:val="auto"/>
                <w:lang w:val="en-US" w:eastAsia="zh-CN"/>
              </w:rPr>
            </w:pPr>
            <w:r>
              <w:rPr>
                <w:rFonts w:hint="eastAsia"/>
                <w:color w:val="auto"/>
                <w:lang w:val="en-US" w:eastAsia="zh-CN"/>
              </w:rPr>
              <w:t>固体废物</w:t>
            </w:r>
          </w:p>
          <w:p>
            <w:pPr>
              <w:bidi w:val="0"/>
              <w:rPr>
                <w:rFonts w:hint="eastAsia"/>
                <w:color w:val="auto"/>
                <w:lang w:val="en-US" w:eastAsia="zh-CN"/>
              </w:rPr>
            </w:pPr>
            <w:r>
              <w:rPr>
                <w:rFonts w:hint="eastAsia"/>
                <w:color w:val="auto"/>
                <w:lang w:val="en-US" w:eastAsia="zh-CN"/>
              </w:rPr>
              <w:t>迁建前项目生产过程中固体废物由生产固废和生活垃圾组成。</w:t>
            </w:r>
          </w:p>
          <w:p>
            <w:pPr>
              <w:bidi w:val="0"/>
              <w:rPr>
                <w:rFonts w:hint="eastAsia"/>
                <w:color w:val="auto"/>
                <w:lang w:val="en-US" w:eastAsia="zh-CN"/>
              </w:rPr>
            </w:pPr>
            <w:r>
              <w:rPr>
                <w:rFonts w:hint="eastAsia"/>
                <w:color w:val="auto"/>
                <w:lang w:val="en-US" w:eastAsia="zh-CN"/>
              </w:rPr>
              <w:t>①生产固废：</w:t>
            </w:r>
          </w:p>
          <w:p>
            <w:pPr>
              <w:bidi w:val="0"/>
              <w:rPr>
                <w:rFonts w:hint="eastAsia"/>
                <w:color w:val="auto"/>
                <w:lang w:val="en-US" w:eastAsia="zh-CN"/>
              </w:rPr>
            </w:pPr>
            <w:r>
              <w:rPr>
                <w:rFonts w:hint="eastAsia"/>
                <w:color w:val="auto"/>
                <w:lang w:val="en-US" w:eastAsia="zh-CN"/>
              </w:rPr>
              <w:t>散落的砂浆、混凝土，根据业主提供资料，其产生量约4010t/a。返回生产系统。</w:t>
            </w:r>
          </w:p>
          <w:p>
            <w:pPr>
              <w:bidi w:val="0"/>
              <w:rPr>
                <w:rFonts w:hint="default"/>
                <w:color w:val="auto"/>
                <w:lang w:val="en-US" w:eastAsia="zh-CN"/>
              </w:rPr>
            </w:pPr>
            <w:r>
              <w:rPr>
                <w:rFonts w:hint="eastAsia"/>
                <w:color w:val="auto"/>
                <w:lang w:val="en-US" w:eastAsia="zh-CN"/>
              </w:rPr>
              <w:t>由搅拌机和混凝土运输车冲洗水夹带的沉淀物，多为残留混凝土，产生量约1000t/a。</w:t>
            </w:r>
          </w:p>
          <w:p>
            <w:pPr>
              <w:bidi w:val="0"/>
              <w:rPr>
                <w:rFonts w:hint="default"/>
                <w:color w:val="auto"/>
                <w:lang w:val="en-US" w:eastAsia="zh-CN"/>
              </w:rPr>
            </w:pPr>
            <w:r>
              <w:rPr>
                <w:rFonts w:hint="eastAsia"/>
                <w:color w:val="auto"/>
                <w:lang w:val="en-US" w:eastAsia="zh-CN"/>
              </w:rPr>
              <w:t>迁建前项目年产生粉尘约862.4t，除尘器收集的效率为99.6%，年收集的粉尘量约为859t。</w:t>
            </w:r>
          </w:p>
          <w:p>
            <w:pPr>
              <w:bidi w:val="0"/>
              <w:rPr>
                <w:rFonts w:hint="default"/>
                <w:color w:val="auto"/>
                <w:lang w:val="en-US" w:eastAsia="zh-CN"/>
              </w:rPr>
            </w:pPr>
            <w:r>
              <w:rPr>
                <w:rFonts w:hint="eastAsia"/>
                <w:color w:val="auto"/>
                <w:lang w:val="en-US" w:eastAsia="zh-CN"/>
              </w:rPr>
              <w:t>此外少量的包装袋约1t/a。</w:t>
            </w:r>
          </w:p>
          <w:p>
            <w:pPr>
              <w:bidi w:val="0"/>
              <w:rPr>
                <w:rFonts w:hint="eastAsia"/>
                <w:color w:val="auto"/>
                <w:lang w:val="en-US" w:eastAsia="zh-CN"/>
              </w:rPr>
            </w:pPr>
            <w:r>
              <w:rPr>
                <w:rFonts w:hint="eastAsia"/>
                <w:color w:val="auto"/>
                <w:lang w:val="en-US" w:eastAsia="zh-CN"/>
              </w:rPr>
              <w:t>②生活垃圾：迁建前项目共有职工58人（不住厂），垃圾排放系数取0.5kg/人·天，则每年排放生活垃圾约10.2t。</w:t>
            </w:r>
          </w:p>
          <w:p>
            <w:pPr>
              <w:bidi w:val="0"/>
              <w:rPr>
                <w:rFonts w:hint="eastAsia"/>
                <w:color w:val="auto"/>
                <w:lang w:val="en-US" w:eastAsia="zh-CN"/>
              </w:rPr>
            </w:pPr>
            <w:r>
              <w:rPr>
                <w:rFonts w:hint="eastAsia"/>
                <w:color w:val="auto"/>
                <w:lang w:val="en-US" w:eastAsia="zh-CN"/>
              </w:rPr>
              <w:t>迁建前项目的固体废物产生及处置情况见下表2.4-5。</w:t>
            </w:r>
          </w:p>
          <w:p>
            <w:pPr>
              <w:pStyle w:val="33"/>
              <w:bidi w:val="0"/>
              <w:rPr>
                <w:rFonts w:hint="eastAsia"/>
                <w:color w:val="auto"/>
                <w:sz w:val="24"/>
                <w:szCs w:val="24"/>
                <w:lang w:val="en-US" w:eastAsia="zh-CN"/>
              </w:rPr>
            </w:pPr>
            <w:r>
              <w:rPr>
                <w:rFonts w:hint="eastAsia"/>
                <w:color w:val="auto"/>
                <w:sz w:val="24"/>
                <w:szCs w:val="24"/>
                <w:lang w:val="en-US" w:eastAsia="zh-CN"/>
              </w:rPr>
              <w:t>表2.4-5 迁建前项目固体废物产生及处置情况表</w:t>
            </w:r>
          </w:p>
          <w:p>
            <w:pPr>
              <w:pStyle w:val="4"/>
              <w:bidi w:val="0"/>
              <w:rPr>
                <w:rFonts w:hint="eastAsia"/>
                <w:color w:val="auto"/>
                <w:lang w:val="en-US" w:eastAsia="zh-CN"/>
              </w:rPr>
            </w:pPr>
            <w:r>
              <w:rPr>
                <w:rFonts w:hint="eastAsia"/>
                <w:color w:val="auto"/>
                <w:lang w:val="en-US" w:eastAsia="zh-CN"/>
              </w:rPr>
              <w:t>2.4.5</w:t>
            </w:r>
            <w:r>
              <w:rPr>
                <w:color w:val="auto"/>
              </w:rPr>
              <w:t>迁建前工程主要环保问题及</w:t>
            </w:r>
            <w:r>
              <w:rPr>
                <w:rFonts w:hint="eastAsia"/>
                <w:color w:val="auto"/>
              </w:rPr>
              <w:t>整改要求</w:t>
            </w:r>
          </w:p>
          <w:p>
            <w:pPr>
              <w:bidi w:val="0"/>
              <w:rPr>
                <w:rFonts w:hint="eastAsia" w:cs="Times New Roman"/>
                <w:color w:val="auto"/>
                <w:sz w:val="24"/>
                <w:szCs w:val="24"/>
                <w:highlight w:val="none"/>
                <w:lang w:val="en-US" w:eastAsia="zh-CN"/>
              </w:rPr>
            </w:pPr>
            <w:r>
              <w:rPr>
                <w:color w:val="auto"/>
                <w:sz w:val="24"/>
                <w:highlight w:val="none"/>
              </w:rPr>
              <w:t>根据</w:t>
            </w:r>
            <w:r>
              <w:rPr>
                <w:rFonts w:hint="eastAsia"/>
                <w:color w:val="auto"/>
                <w:highlight w:val="none"/>
                <w:lang w:val="en-US" w:eastAsia="zh-CN"/>
              </w:rPr>
              <w:t>《</w:t>
            </w:r>
            <w:r>
              <w:rPr>
                <w:rFonts w:hint="eastAsia"/>
                <w:color w:val="auto"/>
                <w:lang w:val="en-US" w:eastAsia="zh-CN"/>
              </w:rPr>
              <w:t>福建融瀚建材有限公司年产80万吨预拌商品混凝土项目竣工环境保护验收监测报告》</w:t>
            </w:r>
            <w:r>
              <w:rPr>
                <w:rFonts w:hint="eastAsia"/>
                <w:bCs/>
                <w:snapToGrid w:val="0"/>
                <w:color w:val="auto"/>
                <w:sz w:val="24"/>
                <w:highlight w:val="none"/>
              </w:rPr>
              <w:t>结论</w:t>
            </w:r>
            <w:r>
              <w:rPr>
                <w:rFonts w:hint="eastAsia"/>
                <w:color w:val="auto"/>
                <w:sz w:val="24"/>
                <w:highlight w:val="none"/>
              </w:rPr>
              <w:t>：</w:t>
            </w:r>
            <w:r>
              <w:rPr>
                <w:rFonts w:hint="eastAsia" w:cs="Times New Roman"/>
                <w:color w:val="auto"/>
                <w:sz w:val="24"/>
                <w:szCs w:val="24"/>
                <w:highlight w:val="none"/>
                <w:lang w:val="en-US" w:eastAsia="zh-CN"/>
              </w:rPr>
              <w:t>迁建前项目当时已按环境影响报告表及福清市环保局批复要求建成环境保护设施，环境保护设施能与主体工程同时投产。该项目的建设性质、规模、地点、采用的生产工艺或者防治污染、防止生态破坏的措施未发生重大变动，具备竣工环保验收条件。</w:t>
            </w:r>
          </w:p>
          <w:p>
            <w:pPr>
              <w:bidi w:val="0"/>
              <w:rPr>
                <w:rFonts w:hint="eastAsia"/>
                <w:color w:val="auto"/>
                <w:highlight w:val="none"/>
              </w:rPr>
            </w:pPr>
            <w:r>
              <w:rPr>
                <w:rFonts w:hint="eastAsia"/>
                <w:color w:val="auto"/>
                <w:sz w:val="24"/>
                <w:highlight w:val="none"/>
              </w:rPr>
              <w:t>另经现场踏</w:t>
            </w:r>
            <w:r>
              <w:rPr>
                <w:rFonts w:hint="eastAsia"/>
                <w:color w:val="auto"/>
                <w:sz w:val="24"/>
                <w:highlight w:val="none"/>
                <w:lang w:val="en-US" w:eastAsia="zh-CN"/>
              </w:rPr>
              <w:t>看</w:t>
            </w:r>
            <w:r>
              <w:rPr>
                <w:rFonts w:hint="eastAsia"/>
                <w:color w:val="auto"/>
                <w:sz w:val="24"/>
                <w:highlight w:val="none"/>
              </w:rPr>
              <w:t>，发现</w:t>
            </w:r>
            <w:r>
              <w:rPr>
                <w:color w:val="auto"/>
                <w:sz w:val="24"/>
                <w:highlight w:val="none"/>
              </w:rPr>
              <w:t>迁建前工程</w:t>
            </w:r>
            <w:r>
              <w:rPr>
                <w:rFonts w:hint="eastAsia"/>
                <w:color w:val="auto"/>
                <w:sz w:val="24"/>
                <w:highlight w:val="none"/>
              </w:rPr>
              <w:t>存在</w:t>
            </w:r>
            <w:r>
              <w:rPr>
                <w:rFonts w:hint="eastAsia"/>
                <w:color w:val="auto"/>
                <w:sz w:val="24"/>
                <w:highlight w:val="none"/>
                <w:lang w:val="en-US" w:eastAsia="zh-CN"/>
              </w:rPr>
              <w:t>部分环保问题，如厂区地面日常未及时清洗，导致现场地面较为泥泞脏乱；停车场区域未硬化导致地面粉尘堆积较多；少部分混凝土实验产生的水泥试块未按规定存放于一般固废暂存间内，而是堆放于厂区角落</w:t>
            </w:r>
            <w:r>
              <w:rPr>
                <w:rFonts w:hint="eastAsia"/>
                <w:color w:val="auto"/>
                <w:highlight w:val="none"/>
              </w:rPr>
              <w:t>。</w:t>
            </w:r>
          </w:p>
          <w:p>
            <w:pPr>
              <w:pStyle w:val="30"/>
              <w:rPr>
                <w:rFonts w:hint="eastAsia"/>
                <w:color w:val="auto"/>
                <w:highlight w:val="none"/>
                <w:lang w:val="en-US" w:eastAsia="zh-CN"/>
              </w:rPr>
            </w:pPr>
            <w:r>
              <w:rPr>
                <w:rFonts w:hint="eastAsia"/>
                <w:color w:val="auto"/>
                <w:highlight w:val="none"/>
                <w:lang w:val="en-US" w:eastAsia="zh-CN"/>
              </w:rPr>
              <w:t>针对上述现场踏勘发现的问题，建议目前仍在生产的原工程做好以下几点：</w:t>
            </w:r>
          </w:p>
          <w:p>
            <w:pPr>
              <w:numPr>
                <w:ilvl w:val="0"/>
                <w:numId w:val="6"/>
              </w:numPr>
              <w:bidi w:val="0"/>
              <w:rPr>
                <w:rFonts w:hint="eastAsia"/>
                <w:color w:val="auto"/>
                <w:lang w:val="en-US" w:eastAsia="zh-CN"/>
              </w:rPr>
            </w:pPr>
            <w:r>
              <w:rPr>
                <w:rFonts w:hint="eastAsia"/>
                <w:color w:val="auto"/>
                <w:lang w:val="en-US" w:eastAsia="zh-CN"/>
              </w:rPr>
              <w:t>对原工程现状地面进行清理，并做好定期清扫和冲洗工作；</w:t>
            </w:r>
          </w:p>
          <w:p>
            <w:pPr>
              <w:numPr>
                <w:ilvl w:val="0"/>
                <w:numId w:val="6"/>
              </w:numPr>
              <w:bidi w:val="0"/>
              <w:rPr>
                <w:rFonts w:hint="default"/>
                <w:color w:val="auto"/>
                <w:lang w:val="en-US" w:eastAsia="zh-CN"/>
              </w:rPr>
            </w:pPr>
            <w:r>
              <w:rPr>
                <w:rFonts w:hint="eastAsia"/>
                <w:color w:val="auto"/>
                <w:lang w:val="en-US" w:eastAsia="zh-CN"/>
              </w:rPr>
              <w:t>厂区内停车场区域做好日常的洒水降尘工作；</w:t>
            </w:r>
          </w:p>
          <w:p>
            <w:pPr>
              <w:bidi w:val="0"/>
              <w:rPr>
                <w:rFonts w:hint="default"/>
                <w:color w:val="auto"/>
                <w:lang w:val="en-US" w:eastAsia="zh-CN"/>
              </w:rPr>
            </w:pPr>
            <w:r>
              <w:rPr>
                <w:rFonts w:hint="eastAsia"/>
                <w:color w:val="auto"/>
                <w:lang w:val="en-US" w:eastAsia="zh-CN"/>
              </w:rPr>
              <w:t>3、规范企业日常的危固废暂存制度，将日常生产产生的危固废及时入库。</w:t>
            </w:r>
          </w:p>
          <w:p>
            <w:pPr>
              <w:pStyle w:val="4"/>
              <w:bidi w:val="0"/>
              <w:rPr>
                <w:rFonts w:hint="eastAsia"/>
                <w:color w:val="auto"/>
                <w:lang w:val="en-US" w:eastAsia="zh-CN"/>
              </w:rPr>
            </w:pPr>
            <w:bookmarkStart w:id="12" w:name="_Toc103869765"/>
            <w:bookmarkStart w:id="13" w:name="_Toc103525220"/>
            <w:bookmarkStart w:id="14" w:name="_Toc13747"/>
            <w:r>
              <w:rPr>
                <w:rFonts w:hint="eastAsia"/>
                <w:color w:val="auto"/>
                <w:lang w:val="en-US" w:eastAsia="zh-CN"/>
              </w:rPr>
              <w:t>2.4.6</w:t>
            </w:r>
            <w:bookmarkEnd w:id="12"/>
            <w:bookmarkEnd w:id="13"/>
            <w:bookmarkEnd w:id="14"/>
            <w:r>
              <w:rPr>
                <w:rFonts w:hint="eastAsia"/>
                <w:color w:val="auto"/>
              </w:rPr>
              <w:t>迁建前工程退役期环保要求</w:t>
            </w:r>
          </w:p>
          <w:p>
            <w:pPr>
              <w:bidi w:val="0"/>
              <w:rPr>
                <w:b/>
                <w:bCs/>
                <w:color w:val="auto"/>
              </w:rPr>
            </w:pPr>
            <w:r>
              <w:rPr>
                <w:rFonts w:hint="eastAsia"/>
                <w:b/>
                <w:bCs/>
                <w:color w:val="auto"/>
                <w:lang w:val="en-US" w:eastAsia="zh-CN"/>
              </w:rPr>
              <w:t>一、原材料处置</w:t>
            </w:r>
          </w:p>
          <w:p>
            <w:pPr>
              <w:bidi w:val="0"/>
              <w:rPr>
                <w:color w:val="auto"/>
              </w:rPr>
            </w:pPr>
            <w:r>
              <w:rPr>
                <w:rFonts w:hint="eastAsia"/>
                <w:color w:val="auto"/>
                <w:lang w:val="en-US" w:eastAsia="zh-CN"/>
              </w:rPr>
              <w:t>项目所使用的原料与本项目所使用部分原材料一致，本项目建成后，迁建前工程剩余原材料转运至本项目用于生产，对环境无影响。</w:t>
            </w:r>
          </w:p>
          <w:p>
            <w:pPr>
              <w:bidi w:val="0"/>
              <w:rPr>
                <w:b/>
                <w:bCs/>
                <w:color w:val="auto"/>
              </w:rPr>
            </w:pPr>
            <w:r>
              <w:rPr>
                <w:rFonts w:hint="eastAsia"/>
                <w:b/>
                <w:bCs/>
                <w:color w:val="auto"/>
                <w:lang w:val="en-US" w:eastAsia="zh-CN"/>
              </w:rPr>
              <w:t>二、设备处置</w:t>
            </w:r>
          </w:p>
          <w:p>
            <w:pPr>
              <w:bidi w:val="0"/>
              <w:rPr>
                <w:color w:val="auto"/>
              </w:rPr>
            </w:pPr>
            <w:r>
              <w:rPr>
                <w:rFonts w:hint="eastAsia"/>
                <w:color w:val="auto"/>
                <w:lang w:val="en-US" w:eastAsia="zh-CN"/>
              </w:rPr>
              <w:t>项目退役后，其设备处置应遵循以下几方面原则：</w:t>
            </w:r>
          </w:p>
          <w:p>
            <w:pPr>
              <w:bidi w:val="0"/>
              <w:rPr>
                <w:color w:val="auto"/>
              </w:rPr>
            </w:pPr>
            <w:r>
              <w:rPr>
                <w:rFonts w:hint="default"/>
                <w:color w:val="auto"/>
                <w:lang w:val="en-US" w:eastAsia="zh-CN"/>
              </w:rPr>
              <w:t>1)</w:t>
            </w:r>
            <w:r>
              <w:rPr>
                <w:rFonts w:hint="eastAsia"/>
                <w:color w:val="auto"/>
                <w:lang w:val="en-US" w:eastAsia="zh-CN"/>
              </w:rPr>
              <w:t>在退役时，尚不属于行业淘汰范围的且尚符合当时国家产业政策和地方政策要求的设备，可出售给其他相关企业。</w:t>
            </w:r>
          </w:p>
          <w:p>
            <w:pPr>
              <w:bidi w:val="0"/>
              <w:rPr>
                <w:color w:val="auto"/>
              </w:rPr>
            </w:pPr>
            <w:r>
              <w:rPr>
                <w:rFonts w:hint="default"/>
                <w:color w:val="auto"/>
                <w:lang w:val="en-US" w:eastAsia="zh-CN"/>
              </w:rPr>
              <w:t>2)</w:t>
            </w:r>
            <w:r>
              <w:rPr>
                <w:rFonts w:hint="eastAsia"/>
                <w:color w:val="auto"/>
                <w:lang w:val="en-US" w:eastAsia="zh-CN"/>
              </w:rPr>
              <w:t>在退役时，属于行业淘汰范围、不符合当时国家产业政策或地方政策要求的，应予以报废处置，设备经清洗后可按废品出售给物质回收单位。</w:t>
            </w:r>
          </w:p>
          <w:p>
            <w:pPr>
              <w:bidi w:val="0"/>
              <w:rPr>
                <w:rFonts w:hint="eastAsia"/>
                <w:color w:val="auto"/>
                <w:lang w:val="en-US" w:eastAsia="zh-CN"/>
              </w:rPr>
            </w:pPr>
            <w:r>
              <w:rPr>
                <w:rFonts w:hint="default"/>
                <w:color w:val="auto"/>
                <w:lang w:val="en-US" w:eastAsia="zh-CN"/>
              </w:rPr>
              <w:t>3)</w:t>
            </w:r>
            <w:r>
              <w:rPr>
                <w:rFonts w:hint="eastAsia"/>
                <w:color w:val="auto"/>
                <w:lang w:val="en-US" w:eastAsia="zh-CN"/>
              </w:rPr>
              <w:t>本项目所使用的设备在退役后应根据上述两个原则将生产设备售给相关的企业或予以报废、出售给物质回收单位。</w:t>
            </w:r>
          </w:p>
          <w:p>
            <w:pPr>
              <w:bidi w:val="0"/>
              <w:rPr>
                <w:rFonts w:hint="default"/>
                <w:color w:val="auto"/>
                <w:lang w:val="en-US" w:eastAsia="zh-CN"/>
              </w:rPr>
            </w:pPr>
            <w:r>
              <w:rPr>
                <w:rFonts w:hint="eastAsia"/>
                <w:color w:val="auto"/>
                <w:lang w:val="en-US" w:eastAsia="zh-CN"/>
              </w:rPr>
              <w:t>本项目所有设备均为全新购买安装，迁建前工程所有设备均依照上述三类原则进行处置，不用于本项目生产。</w:t>
            </w:r>
          </w:p>
          <w:p>
            <w:pPr>
              <w:bidi w:val="0"/>
              <w:rPr>
                <w:b/>
                <w:bCs/>
                <w:color w:val="auto"/>
              </w:rPr>
            </w:pPr>
            <w:r>
              <w:rPr>
                <w:rFonts w:hint="eastAsia"/>
                <w:b/>
                <w:bCs/>
                <w:color w:val="auto"/>
                <w:lang w:val="en-US" w:eastAsia="zh-CN"/>
              </w:rPr>
              <w:t>三、厂房处置</w:t>
            </w:r>
          </w:p>
          <w:p>
            <w:pPr>
              <w:bidi w:val="0"/>
              <w:rPr>
                <w:rFonts w:hint="default"/>
                <w:color w:val="auto"/>
                <w:lang w:val="en-US" w:eastAsia="zh-CN"/>
              </w:rPr>
            </w:pPr>
            <w:r>
              <w:rPr>
                <w:rFonts w:hint="eastAsia"/>
                <w:color w:val="auto"/>
                <w:lang w:val="en-US" w:eastAsia="zh-CN"/>
              </w:rPr>
              <w:t>项目退役后，厂房可出租或转让其他单位转换为其它工业用地。</w:t>
            </w:r>
          </w:p>
        </w:tc>
      </w:tr>
    </w:tbl>
    <w:p>
      <w:pPr>
        <w:rPr>
          <w:rFonts w:hint="default" w:ascii="Times New Roman" w:hAnsi="Times New Roman" w:eastAsia="宋体"/>
          <w:color w:val="auto"/>
        </w:rPr>
        <w:sectPr>
          <w:pgSz w:w="11906" w:h="16838"/>
          <w:pgMar w:top="1417" w:right="1417" w:bottom="1417" w:left="1417" w:header="851" w:footer="1077"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2"/>
        <w:bidi w:val="0"/>
        <w:jc w:val="center"/>
        <w:rPr>
          <w:rFonts w:hint="default"/>
          <w:color w:val="auto"/>
        </w:rPr>
      </w:pPr>
      <w:bookmarkStart w:id="15" w:name="_Toc9695"/>
      <w:bookmarkStart w:id="16" w:name="_Toc3559"/>
      <w:r>
        <w:rPr>
          <w:rFonts w:hint="default"/>
          <w:color w:val="auto"/>
        </w:rPr>
        <w:t>三、区域环境质量现状、环境保护目标及评价标准</w:t>
      </w:r>
      <w:bookmarkEnd w:id="15"/>
      <w:bookmarkEnd w:id="16"/>
    </w:p>
    <w:tbl>
      <w:tblPr>
        <w:tblStyle w:val="24"/>
        <w:tblW w:w="89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vAlign w:val="center"/>
          </w:tcPr>
          <w:p>
            <w:pPr>
              <w:pStyle w:val="28"/>
              <w:bidi w:val="0"/>
              <w:rPr>
                <w:rFonts w:hint="default"/>
                <w:color w:val="auto"/>
              </w:rPr>
            </w:pPr>
            <w:r>
              <w:rPr>
                <w:rFonts w:hint="default"/>
                <w:color w:val="auto"/>
              </w:rPr>
              <w:t>区域</w:t>
            </w:r>
          </w:p>
          <w:p>
            <w:pPr>
              <w:pStyle w:val="28"/>
              <w:bidi w:val="0"/>
              <w:rPr>
                <w:rFonts w:hint="default"/>
                <w:color w:val="auto"/>
              </w:rPr>
            </w:pPr>
            <w:r>
              <w:rPr>
                <w:rFonts w:hint="default"/>
                <w:color w:val="auto"/>
              </w:rPr>
              <w:t>环境</w:t>
            </w:r>
          </w:p>
          <w:p>
            <w:pPr>
              <w:pStyle w:val="28"/>
              <w:bidi w:val="0"/>
              <w:rPr>
                <w:rFonts w:hint="default"/>
                <w:color w:val="auto"/>
              </w:rPr>
            </w:pPr>
            <w:r>
              <w:rPr>
                <w:rFonts w:hint="default"/>
                <w:color w:val="auto"/>
              </w:rPr>
              <w:t>质量</w:t>
            </w:r>
          </w:p>
          <w:p>
            <w:pPr>
              <w:pStyle w:val="28"/>
              <w:bidi w:val="0"/>
              <w:rPr>
                <w:rFonts w:hint="default" w:ascii="Times New Roman" w:hAnsi="Times New Roman" w:eastAsia="宋体" w:cs="Times New Roman"/>
                <w:color w:val="auto"/>
                <w:kern w:val="0"/>
                <w:szCs w:val="21"/>
              </w:rPr>
            </w:pPr>
            <w:r>
              <w:rPr>
                <w:rFonts w:hint="default"/>
                <w:color w:val="auto"/>
              </w:rPr>
              <w:t>现状</w:t>
            </w:r>
          </w:p>
        </w:tc>
        <w:tc>
          <w:tcPr>
            <w:tcW w:w="8310" w:type="dxa"/>
            <w:vAlign w:val="center"/>
          </w:tcPr>
          <w:p>
            <w:pPr>
              <w:pStyle w:val="3"/>
              <w:bidi w:val="0"/>
              <w:rPr>
                <w:rFonts w:hint="default"/>
                <w:color w:val="auto"/>
              </w:rPr>
            </w:pPr>
            <w:r>
              <w:rPr>
                <w:rFonts w:hint="default"/>
                <w:color w:val="auto"/>
              </w:rPr>
              <w:t>3.</w:t>
            </w:r>
            <w:r>
              <w:rPr>
                <w:rFonts w:hint="default"/>
                <w:color w:val="auto"/>
                <w:lang w:val="en-US" w:eastAsia="zh-CN"/>
              </w:rPr>
              <w:t>1</w:t>
            </w:r>
            <w:r>
              <w:rPr>
                <w:rFonts w:hint="default"/>
                <w:color w:val="auto"/>
              </w:rPr>
              <w:t>大气环境质量现状</w:t>
            </w:r>
          </w:p>
          <w:p>
            <w:pPr>
              <w:pStyle w:val="4"/>
              <w:bidi w:val="0"/>
              <w:rPr>
                <w:rFonts w:hint="default"/>
                <w:color w:val="auto"/>
              </w:rPr>
            </w:pPr>
            <w:r>
              <w:rPr>
                <w:rFonts w:hint="default"/>
                <w:color w:val="auto"/>
              </w:rPr>
              <w:t>3.1.1环境空气质量功能区划</w:t>
            </w:r>
          </w:p>
          <w:p>
            <w:pPr>
              <w:bidi w:val="0"/>
              <w:rPr>
                <w:rFonts w:hint="default"/>
                <w:color w:val="auto"/>
              </w:rPr>
            </w:pPr>
            <w:bookmarkStart w:id="17" w:name="_Toc339964236"/>
            <w:bookmarkStart w:id="18" w:name="_Toc338850492"/>
            <w:r>
              <w:rPr>
                <w:rFonts w:hint="default"/>
                <w:color w:val="auto"/>
              </w:rPr>
              <w:t>根据福州市人民政府榕政综</w:t>
            </w:r>
            <w:r>
              <w:rPr>
                <w:rFonts w:hint="eastAsia"/>
                <w:color w:val="auto"/>
                <w:lang w:eastAsia="zh-CN"/>
              </w:rPr>
              <w:t>〔2014〕30号</w:t>
            </w:r>
            <w:r>
              <w:rPr>
                <w:rFonts w:hint="default"/>
                <w:color w:val="auto"/>
              </w:rPr>
              <w:t>文件正式批准实施《福州市环境空气质量功能区划(报批稿)》的规定，</w:t>
            </w:r>
            <w:r>
              <w:rPr>
                <w:rFonts w:hint="default"/>
                <w:color w:val="auto"/>
                <w:lang w:eastAsia="zh-CN"/>
              </w:rPr>
              <w:t>项目所在区域</w:t>
            </w:r>
            <w:r>
              <w:rPr>
                <w:rFonts w:hint="default"/>
                <w:color w:val="auto"/>
              </w:rPr>
              <w:t>环境空气功能规划为二类区</w:t>
            </w:r>
            <w:r>
              <w:rPr>
                <w:rFonts w:hint="default"/>
                <w:color w:val="auto"/>
                <w:lang w:eastAsia="zh-CN"/>
              </w:rPr>
              <w:t>，</w:t>
            </w:r>
            <w:r>
              <w:rPr>
                <w:rFonts w:hint="default"/>
                <w:color w:val="auto"/>
              </w:rPr>
              <w:t>环境空气质量执行</w:t>
            </w:r>
            <w:r>
              <w:rPr>
                <w:rFonts w:hint="default"/>
                <w:color w:val="auto"/>
                <w:lang w:eastAsia="zh-CN"/>
              </w:rPr>
              <w:t>《环境空气质量标准》(GB3095-2012)及其修改单</w:t>
            </w:r>
            <w:r>
              <w:rPr>
                <w:rFonts w:hint="default"/>
                <w:color w:val="auto"/>
              </w:rPr>
              <w:t>中的二级标准</w:t>
            </w:r>
            <w:r>
              <w:rPr>
                <w:rFonts w:hint="eastAsia"/>
                <w:color w:val="auto"/>
                <w:lang w:val="en-US" w:eastAsia="zh-CN"/>
              </w:rPr>
              <w:t>，</w:t>
            </w:r>
            <w:r>
              <w:rPr>
                <w:rFonts w:hint="default"/>
                <w:color w:val="auto"/>
              </w:rPr>
              <w:t>具体详见表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w:t>
            </w:r>
          </w:p>
          <w:bookmarkEnd w:id="17"/>
          <w:bookmarkEnd w:id="18"/>
          <w:p>
            <w:pPr>
              <w:pStyle w:val="33"/>
              <w:bidi w:val="0"/>
              <w:rPr>
                <w:rFonts w:hint="default"/>
                <w:color w:val="auto"/>
              </w:rPr>
            </w:pPr>
            <w:r>
              <w:rPr>
                <w:rFonts w:hint="default"/>
                <w:color w:val="auto"/>
              </w:rPr>
              <w:t>表</w:t>
            </w:r>
            <w:r>
              <w:rPr>
                <w:rFonts w:hint="default"/>
                <w:color w:val="auto"/>
                <w:lang w:eastAsia="zh-CN"/>
              </w:rPr>
              <w:t>3.</w:t>
            </w:r>
            <w:r>
              <w:rPr>
                <w:rFonts w:hint="default"/>
                <w:color w:val="auto"/>
                <w:lang w:val="en-US" w:eastAsia="zh-CN"/>
              </w:rPr>
              <w:t>1</w:t>
            </w:r>
            <w:r>
              <w:rPr>
                <w:rFonts w:hint="default"/>
                <w:color w:val="auto"/>
              </w:rPr>
              <w:t>-</w:t>
            </w:r>
            <w:r>
              <w:rPr>
                <w:rFonts w:hint="default"/>
                <w:color w:val="auto"/>
                <w:lang w:val="en-US" w:eastAsia="zh-CN"/>
              </w:rPr>
              <w:t>1</w:t>
            </w:r>
            <w:r>
              <w:rPr>
                <w:rFonts w:hint="default"/>
                <w:color w:val="auto"/>
              </w:rPr>
              <w:t xml:space="preserve">  本项目环境空气</w:t>
            </w:r>
            <w:r>
              <w:rPr>
                <w:rFonts w:hint="eastAsia"/>
                <w:color w:val="auto"/>
                <w:lang w:val="en-US" w:eastAsia="zh-CN"/>
              </w:rPr>
              <w:t>质量</w:t>
            </w:r>
            <w:r>
              <w:rPr>
                <w:rFonts w:hint="default"/>
                <w:color w:val="auto"/>
              </w:rPr>
              <w:t>标准一览表</w:t>
            </w:r>
          </w:p>
          <w:tbl>
            <w:tblPr>
              <w:tblStyle w:val="24"/>
              <w:tblW w:w="8094" w:type="dxa"/>
              <w:jc w:val="center"/>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506"/>
              <w:gridCol w:w="2049"/>
              <w:gridCol w:w="1577"/>
              <w:gridCol w:w="29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Align w:val="center"/>
                </w:tcPr>
                <w:p>
                  <w:pPr>
                    <w:pStyle w:val="28"/>
                    <w:bidi w:val="0"/>
                    <w:rPr>
                      <w:rFonts w:hint="default"/>
                      <w:color w:val="auto"/>
                    </w:rPr>
                  </w:pPr>
                  <w:r>
                    <w:rPr>
                      <w:rFonts w:hint="default"/>
                      <w:color w:val="auto"/>
                    </w:rPr>
                    <w:t>污染物名称</w:t>
                  </w:r>
                </w:p>
              </w:tc>
              <w:tc>
                <w:tcPr>
                  <w:tcW w:w="2049" w:type="dxa"/>
                  <w:vAlign w:val="center"/>
                </w:tcPr>
                <w:p>
                  <w:pPr>
                    <w:pStyle w:val="28"/>
                    <w:bidi w:val="0"/>
                    <w:rPr>
                      <w:rFonts w:hint="default"/>
                      <w:color w:val="auto"/>
                    </w:rPr>
                  </w:pPr>
                  <w:r>
                    <w:rPr>
                      <w:rFonts w:hint="default"/>
                      <w:color w:val="auto"/>
                    </w:rPr>
                    <w:t>取值时间</w:t>
                  </w:r>
                </w:p>
              </w:tc>
              <w:tc>
                <w:tcPr>
                  <w:tcW w:w="1577" w:type="dxa"/>
                  <w:vAlign w:val="center"/>
                </w:tcPr>
                <w:p>
                  <w:pPr>
                    <w:pStyle w:val="28"/>
                    <w:bidi w:val="0"/>
                    <w:rPr>
                      <w:rFonts w:hint="default"/>
                      <w:color w:val="auto"/>
                    </w:rPr>
                  </w:pPr>
                  <w:r>
                    <w:rPr>
                      <w:rFonts w:hint="default"/>
                      <w:color w:val="auto"/>
                    </w:rPr>
                    <w:t>浓度限值</w:t>
                  </w:r>
                </w:p>
              </w:tc>
              <w:tc>
                <w:tcPr>
                  <w:tcW w:w="2962" w:type="dxa"/>
                  <w:vAlign w:val="center"/>
                </w:tcPr>
                <w:p>
                  <w:pPr>
                    <w:pStyle w:val="28"/>
                    <w:bidi w:val="0"/>
                    <w:rPr>
                      <w:rFonts w:hint="default"/>
                      <w:color w:val="auto"/>
                    </w:rPr>
                  </w:pPr>
                  <w:r>
                    <w:rPr>
                      <w:rFonts w:hint="default"/>
                      <w:color w:val="auto"/>
                    </w:rPr>
                    <w:t>标准来源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rPr>
                  </w:pPr>
                  <w:r>
                    <w:rPr>
                      <w:rFonts w:hint="default"/>
                      <w:color w:val="auto"/>
                    </w:rPr>
                    <w:t>PM10</w:t>
                  </w:r>
                </w:p>
              </w:tc>
              <w:tc>
                <w:tcPr>
                  <w:tcW w:w="2049" w:type="dxa"/>
                  <w:vAlign w:val="center"/>
                </w:tcPr>
                <w:p>
                  <w:pPr>
                    <w:pStyle w:val="28"/>
                    <w:bidi w:val="0"/>
                    <w:rPr>
                      <w:rFonts w:hint="default"/>
                      <w:color w:val="auto"/>
                    </w:rPr>
                  </w:pPr>
                  <w:r>
                    <w:rPr>
                      <w:rFonts w:hint="default"/>
                      <w:color w:val="auto"/>
                    </w:rPr>
                    <w:t>年平均</w:t>
                  </w:r>
                </w:p>
              </w:tc>
              <w:tc>
                <w:tcPr>
                  <w:tcW w:w="1577" w:type="dxa"/>
                  <w:vAlign w:val="center"/>
                </w:tcPr>
                <w:p>
                  <w:pPr>
                    <w:pStyle w:val="28"/>
                    <w:bidi w:val="0"/>
                    <w:rPr>
                      <w:rFonts w:hint="default"/>
                      <w:color w:val="auto"/>
                    </w:rPr>
                  </w:pPr>
                  <w:r>
                    <w:rPr>
                      <w:rFonts w:hint="default"/>
                      <w:color w:val="auto"/>
                    </w:rPr>
                    <w:t>70μg/m</w:t>
                  </w:r>
                  <w:r>
                    <w:rPr>
                      <w:rFonts w:hint="default"/>
                      <w:color w:val="auto"/>
                      <w:vertAlign w:val="superscript"/>
                    </w:rPr>
                    <w:t>3</w:t>
                  </w:r>
                </w:p>
              </w:tc>
              <w:tc>
                <w:tcPr>
                  <w:tcW w:w="2962" w:type="dxa"/>
                  <w:vMerge w:val="restart"/>
                  <w:vAlign w:val="center"/>
                </w:tcPr>
                <w:p>
                  <w:pPr>
                    <w:pStyle w:val="28"/>
                    <w:bidi w:val="0"/>
                    <w:rPr>
                      <w:rFonts w:hint="default"/>
                      <w:color w:val="auto"/>
                      <w:lang w:eastAsia="zh-CN"/>
                    </w:rPr>
                  </w:pPr>
                  <w:r>
                    <w:rPr>
                      <w:rFonts w:hint="default"/>
                      <w:color w:val="auto"/>
                      <w:lang w:eastAsia="zh-CN"/>
                    </w:rPr>
                    <w:t>《环境空气质量标准》(GB3095-2012)及其修改</w:t>
                  </w:r>
                </w:p>
                <w:p>
                  <w:pPr>
                    <w:pStyle w:val="28"/>
                    <w:bidi w:val="0"/>
                    <w:rPr>
                      <w:rFonts w:hint="default"/>
                      <w:color w:val="auto"/>
                    </w:rPr>
                  </w:pPr>
                  <w:r>
                    <w:rPr>
                      <w:rFonts w:hint="default"/>
                      <w:color w:val="auto"/>
                      <w:lang w:eastAsia="zh-CN"/>
                    </w:rPr>
                    <w:t>单</w:t>
                  </w:r>
                  <w:r>
                    <w:rPr>
                      <w:rFonts w:hint="default"/>
                      <w:color w:val="auto"/>
                    </w:rPr>
                    <w:t>中的二级标准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24小时平均</w:t>
                  </w:r>
                </w:p>
              </w:tc>
              <w:tc>
                <w:tcPr>
                  <w:tcW w:w="1577" w:type="dxa"/>
                  <w:vAlign w:val="center"/>
                </w:tcPr>
                <w:p>
                  <w:pPr>
                    <w:pStyle w:val="28"/>
                    <w:bidi w:val="0"/>
                    <w:rPr>
                      <w:rFonts w:hint="default"/>
                      <w:color w:val="auto"/>
                    </w:rPr>
                  </w:pPr>
                  <w:r>
                    <w:rPr>
                      <w:rFonts w:hint="default"/>
                      <w:color w:val="auto"/>
                    </w:rPr>
                    <w:t>150μg/m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lang w:val="en-US" w:eastAsia="zh-CN"/>
                    </w:rPr>
                  </w:pPr>
                  <w:r>
                    <w:rPr>
                      <w:rFonts w:hint="default"/>
                      <w:color w:val="auto"/>
                      <w:lang w:val="en-US" w:eastAsia="zh-CN"/>
                    </w:rPr>
                    <w:t>PM2.5</w:t>
                  </w:r>
                </w:p>
              </w:tc>
              <w:tc>
                <w:tcPr>
                  <w:tcW w:w="2049" w:type="dxa"/>
                  <w:vAlign w:val="center"/>
                </w:tcPr>
                <w:p>
                  <w:pPr>
                    <w:pStyle w:val="28"/>
                    <w:bidi w:val="0"/>
                    <w:rPr>
                      <w:rFonts w:hint="default"/>
                      <w:color w:val="auto"/>
                    </w:rPr>
                  </w:pPr>
                  <w:r>
                    <w:rPr>
                      <w:rFonts w:hint="default"/>
                      <w:color w:val="auto"/>
                    </w:rPr>
                    <w:t>年平均</w:t>
                  </w:r>
                </w:p>
              </w:tc>
              <w:tc>
                <w:tcPr>
                  <w:tcW w:w="1577" w:type="dxa"/>
                  <w:vAlign w:val="center"/>
                </w:tcPr>
                <w:p>
                  <w:pPr>
                    <w:pStyle w:val="28"/>
                    <w:bidi w:val="0"/>
                    <w:rPr>
                      <w:rFonts w:hint="default"/>
                      <w:color w:val="auto"/>
                    </w:rPr>
                  </w:pPr>
                  <w:r>
                    <w:rPr>
                      <w:rFonts w:hint="default"/>
                      <w:color w:val="auto"/>
                      <w:lang w:val="en-US" w:eastAsia="zh-CN"/>
                    </w:rPr>
                    <w:t>35</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24小时平均</w:t>
                  </w:r>
                </w:p>
              </w:tc>
              <w:tc>
                <w:tcPr>
                  <w:tcW w:w="1577" w:type="dxa"/>
                  <w:vAlign w:val="center"/>
                </w:tcPr>
                <w:p>
                  <w:pPr>
                    <w:pStyle w:val="28"/>
                    <w:bidi w:val="0"/>
                    <w:rPr>
                      <w:rFonts w:hint="default"/>
                      <w:color w:val="auto"/>
                    </w:rPr>
                  </w:pPr>
                  <w:r>
                    <w:rPr>
                      <w:rFonts w:hint="default"/>
                      <w:color w:val="auto"/>
                      <w:lang w:val="en-US" w:eastAsia="zh-CN"/>
                    </w:rPr>
                    <w:t>75</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rPr>
                  </w:pPr>
                  <w:r>
                    <w:rPr>
                      <w:rFonts w:hint="default"/>
                      <w:color w:val="auto"/>
                    </w:rPr>
                    <w:t>SO</w:t>
                  </w:r>
                  <w:r>
                    <w:rPr>
                      <w:rFonts w:hint="default"/>
                      <w:color w:val="auto"/>
                      <w:vertAlign w:val="subscript"/>
                    </w:rPr>
                    <w:t>2</w:t>
                  </w:r>
                </w:p>
              </w:tc>
              <w:tc>
                <w:tcPr>
                  <w:tcW w:w="2049" w:type="dxa"/>
                  <w:vAlign w:val="center"/>
                </w:tcPr>
                <w:p>
                  <w:pPr>
                    <w:pStyle w:val="28"/>
                    <w:bidi w:val="0"/>
                    <w:rPr>
                      <w:rFonts w:hint="default"/>
                      <w:color w:val="auto"/>
                    </w:rPr>
                  </w:pPr>
                  <w:r>
                    <w:rPr>
                      <w:rFonts w:hint="default"/>
                      <w:color w:val="auto"/>
                    </w:rPr>
                    <w:t>年平均</w:t>
                  </w:r>
                </w:p>
              </w:tc>
              <w:tc>
                <w:tcPr>
                  <w:tcW w:w="1577" w:type="dxa"/>
                  <w:vAlign w:val="center"/>
                </w:tcPr>
                <w:p>
                  <w:pPr>
                    <w:pStyle w:val="28"/>
                    <w:bidi w:val="0"/>
                    <w:rPr>
                      <w:rFonts w:hint="default"/>
                      <w:color w:val="auto"/>
                    </w:rPr>
                  </w:pPr>
                  <w:r>
                    <w:rPr>
                      <w:rFonts w:hint="default"/>
                      <w:color w:val="auto"/>
                    </w:rPr>
                    <w:t>60μg/m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24小时平均</w:t>
                  </w:r>
                </w:p>
              </w:tc>
              <w:tc>
                <w:tcPr>
                  <w:tcW w:w="1577" w:type="dxa"/>
                  <w:vAlign w:val="center"/>
                </w:tcPr>
                <w:p>
                  <w:pPr>
                    <w:pStyle w:val="28"/>
                    <w:bidi w:val="0"/>
                    <w:rPr>
                      <w:rFonts w:hint="default"/>
                      <w:color w:val="auto"/>
                    </w:rPr>
                  </w:pPr>
                  <w:r>
                    <w:rPr>
                      <w:rFonts w:hint="default"/>
                      <w:color w:val="auto"/>
                    </w:rPr>
                    <w:t>150μg/m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1小时平均</w:t>
                  </w:r>
                </w:p>
              </w:tc>
              <w:tc>
                <w:tcPr>
                  <w:tcW w:w="1577" w:type="dxa"/>
                  <w:vAlign w:val="center"/>
                </w:tcPr>
                <w:p>
                  <w:pPr>
                    <w:pStyle w:val="28"/>
                    <w:bidi w:val="0"/>
                    <w:rPr>
                      <w:rFonts w:hint="default"/>
                      <w:color w:val="auto"/>
                    </w:rPr>
                  </w:pPr>
                  <w:r>
                    <w:rPr>
                      <w:rFonts w:hint="eastAsia"/>
                      <w:color w:val="auto"/>
                      <w:lang w:val="en-US" w:eastAsia="zh-CN"/>
                    </w:rPr>
                    <w:t>500</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rPr>
                  </w:pPr>
                  <w:r>
                    <w:rPr>
                      <w:rFonts w:hint="default"/>
                      <w:color w:val="auto"/>
                    </w:rPr>
                    <w:t>NO</w:t>
                  </w:r>
                  <w:r>
                    <w:rPr>
                      <w:rFonts w:hint="default"/>
                      <w:color w:val="auto"/>
                      <w:vertAlign w:val="subscript"/>
                    </w:rPr>
                    <w:t>2</w:t>
                  </w:r>
                </w:p>
              </w:tc>
              <w:tc>
                <w:tcPr>
                  <w:tcW w:w="2049" w:type="dxa"/>
                  <w:vAlign w:val="center"/>
                </w:tcPr>
                <w:p>
                  <w:pPr>
                    <w:pStyle w:val="28"/>
                    <w:bidi w:val="0"/>
                    <w:rPr>
                      <w:rFonts w:hint="default"/>
                      <w:color w:val="auto"/>
                    </w:rPr>
                  </w:pPr>
                  <w:r>
                    <w:rPr>
                      <w:rFonts w:hint="default"/>
                      <w:color w:val="auto"/>
                    </w:rPr>
                    <w:t>年平均</w:t>
                  </w:r>
                </w:p>
              </w:tc>
              <w:tc>
                <w:tcPr>
                  <w:tcW w:w="1577" w:type="dxa"/>
                  <w:vAlign w:val="center"/>
                </w:tcPr>
                <w:p>
                  <w:pPr>
                    <w:pStyle w:val="28"/>
                    <w:bidi w:val="0"/>
                    <w:rPr>
                      <w:rFonts w:hint="default"/>
                      <w:color w:val="auto"/>
                    </w:rPr>
                  </w:pPr>
                  <w:r>
                    <w:rPr>
                      <w:rFonts w:hint="default"/>
                      <w:color w:val="auto"/>
                    </w:rPr>
                    <w:t>40μg/m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24小时平均</w:t>
                  </w:r>
                </w:p>
              </w:tc>
              <w:tc>
                <w:tcPr>
                  <w:tcW w:w="1577" w:type="dxa"/>
                  <w:vAlign w:val="center"/>
                </w:tcPr>
                <w:p>
                  <w:pPr>
                    <w:pStyle w:val="28"/>
                    <w:bidi w:val="0"/>
                    <w:rPr>
                      <w:rFonts w:hint="default"/>
                      <w:color w:val="auto"/>
                    </w:rPr>
                  </w:pPr>
                  <w:r>
                    <w:rPr>
                      <w:rFonts w:hint="default"/>
                      <w:color w:val="auto"/>
                    </w:rPr>
                    <w:t>80μg/m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rPr>
                    <w:t>1小时平均</w:t>
                  </w:r>
                </w:p>
              </w:tc>
              <w:tc>
                <w:tcPr>
                  <w:tcW w:w="1577" w:type="dxa"/>
                  <w:vAlign w:val="center"/>
                </w:tcPr>
                <w:p>
                  <w:pPr>
                    <w:pStyle w:val="28"/>
                    <w:bidi w:val="0"/>
                    <w:rPr>
                      <w:rFonts w:hint="default"/>
                      <w:color w:val="auto"/>
                    </w:rPr>
                  </w:pPr>
                  <w:r>
                    <w:rPr>
                      <w:rFonts w:hint="default"/>
                      <w:color w:val="auto"/>
                    </w:rPr>
                    <w:t>200μg/m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rPr>
                  </w:pPr>
                  <w:r>
                    <w:rPr>
                      <w:rFonts w:hint="default"/>
                      <w:color w:val="auto"/>
                      <w:lang w:val="en-US" w:eastAsia="zh-CN"/>
                    </w:rPr>
                    <w:t>CO</w:t>
                  </w:r>
                </w:p>
              </w:tc>
              <w:tc>
                <w:tcPr>
                  <w:tcW w:w="2049" w:type="dxa"/>
                  <w:vAlign w:val="center"/>
                </w:tcPr>
                <w:p>
                  <w:pPr>
                    <w:pStyle w:val="28"/>
                    <w:bidi w:val="0"/>
                    <w:rPr>
                      <w:rFonts w:hint="default"/>
                      <w:color w:val="auto"/>
                    </w:rPr>
                  </w:pPr>
                  <w:r>
                    <w:rPr>
                      <w:rFonts w:hint="default"/>
                      <w:color w:val="auto"/>
                    </w:rPr>
                    <w:t>24小时平均</w:t>
                  </w:r>
                </w:p>
              </w:tc>
              <w:tc>
                <w:tcPr>
                  <w:tcW w:w="1577" w:type="dxa"/>
                  <w:vAlign w:val="center"/>
                </w:tcPr>
                <w:p>
                  <w:pPr>
                    <w:pStyle w:val="28"/>
                    <w:bidi w:val="0"/>
                    <w:rPr>
                      <w:rFonts w:hint="default"/>
                      <w:color w:val="auto"/>
                    </w:rPr>
                  </w:pPr>
                  <w:r>
                    <w:rPr>
                      <w:rFonts w:hint="default"/>
                      <w:color w:val="auto"/>
                      <w:lang w:val="en-US" w:eastAsia="zh-CN"/>
                    </w:rPr>
                    <w:t>4mg/</w:t>
                  </w:r>
                  <w:r>
                    <w:rPr>
                      <w:rFonts w:hint="default"/>
                      <w:color w:val="auto"/>
                    </w:rPr>
                    <w:t>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lang w:val="en-US" w:eastAsia="zh-CN"/>
                    </w:rPr>
                    <w:t>1小时平均</w:t>
                  </w:r>
                </w:p>
              </w:tc>
              <w:tc>
                <w:tcPr>
                  <w:tcW w:w="1577" w:type="dxa"/>
                  <w:vAlign w:val="center"/>
                </w:tcPr>
                <w:p>
                  <w:pPr>
                    <w:pStyle w:val="28"/>
                    <w:bidi w:val="0"/>
                    <w:rPr>
                      <w:rFonts w:hint="default"/>
                      <w:color w:val="auto"/>
                    </w:rPr>
                  </w:pPr>
                  <w:r>
                    <w:rPr>
                      <w:rFonts w:hint="default"/>
                      <w:color w:val="auto"/>
                      <w:lang w:val="en-US" w:eastAsia="zh-CN"/>
                    </w:rPr>
                    <w:t>10mg/</w:t>
                  </w:r>
                  <w:r>
                    <w:rPr>
                      <w:rFonts w:hint="default"/>
                      <w:color w:val="auto"/>
                    </w:rPr>
                    <w:t>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rPr>
                  </w:pPr>
                  <w:r>
                    <w:rPr>
                      <w:rFonts w:hint="default"/>
                      <w:color w:val="auto"/>
                      <w:lang w:val="en-US" w:eastAsia="zh-CN"/>
                    </w:rPr>
                    <w:t>O</w:t>
                  </w:r>
                  <w:r>
                    <w:rPr>
                      <w:rFonts w:hint="default"/>
                      <w:color w:val="auto"/>
                      <w:vertAlign w:val="subscript"/>
                      <w:lang w:val="en-US" w:eastAsia="zh-CN"/>
                    </w:rPr>
                    <w:t>3</w:t>
                  </w:r>
                </w:p>
              </w:tc>
              <w:tc>
                <w:tcPr>
                  <w:tcW w:w="2049" w:type="dxa"/>
                  <w:vAlign w:val="center"/>
                </w:tcPr>
                <w:p>
                  <w:pPr>
                    <w:pStyle w:val="28"/>
                    <w:bidi w:val="0"/>
                    <w:rPr>
                      <w:rFonts w:hint="default"/>
                      <w:color w:val="auto"/>
                    </w:rPr>
                  </w:pPr>
                  <w:r>
                    <w:rPr>
                      <w:rFonts w:hint="default"/>
                      <w:color w:val="auto"/>
                      <w:lang w:val="en-US" w:eastAsia="zh-CN"/>
                    </w:rPr>
                    <w:t>日最大8小时平均</w:t>
                  </w:r>
                </w:p>
              </w:tc>
              <w:tc>
                <w:tcPr>
                  <w:tcW w:w="1577" w:type="dxa"/>
                  <w:vAlign w:val="center"/>
                </w:tcPr>
                <w:p>
                  <w:pPr>
                    <w:pStyle w:val="28"/>
                    <w:bidi w:val="0"/>
                    <w:rPr>
                      <w:rFonts w:hint="default"/>
                      <w:color w:val="auto"/>
                    </w:rPr>
                  </w:pPr>
                  <w:r>
                    <w:rPr>
                      <w:rFonts w:hint="default"/>
                      <w:color w:val="auto"/>
                      <w:lang w:val="en-US" w:eastAsia="zh-CN"/>
                    </w:rPr>
                    <w:t>160</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rPr>
                  </w:pPr>
                  <w:r>
                    <w:rPr>
                      <w:rFonts w:hint="default"/>
                      <w:color w:val="auto"/>
                      <w:lang w:val="en-US" w:eastAsia="zh-CN"/>
                    </w:rPr>
                    <w:t>1小时平均</w:t>
                  </w:r>
                </w:p>
              </w:tc>
              <w:tc>
                <w:tcPr>
                  <w:tcW w:w="1577" w:type="dxa"/>
                  <w:vAlign w:val="center"/>
                </w:tcPr>
                <w:p>
                  <w:pPr>
                    <w:pStyle w:val="28"/>
                    <w:bidi w:val="0"/>
                    <w:rPr>
                      <w:rFonts w:hint="default"/>
                      <w:color w:val="auto"/>
                    </w:rPr>
                  </w:pPr>
                  <w:r>
                    <w:rPr>
                      <w:rFonts w:hint="default"/>
                      <w:color w:val="auto"/>
                      <w:lang w:val="en-US" w:eastAsia="zh-CN"/>
                    </w:rPr>
                    <w:t>200</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restart"/>
                  <w:vAlign w:val="center"/>
                </w:tcPr>
                <w:p>
                  <w:pPr>
                    <w:pStyle w:val="28"/>
                    <w:bidi w:val="0"/>
                    <w:rPr>
                      <w:rFonts w:hint="default"/>
                      <w:color w:val="auto"/>
                      <w:lang w:val="en-US" w:eastAsia="zh-CN"/>
                    </w:rPr>
                  </w:pPr>
                  <w:r>
                    <w:rPr>
                      <w:rFonts w:hint="eastAsia"/>
                      <w:color w:val="auto"/>
                      <w:lang w:val="en-US" w:eastAsia="zh-CN"/>
                    </w:rPr>
                    <w:t>TSP</w:t>
                  </w:r>
                </w:p>
              </w:tc>
              <w:tc>
                <w:tcPr>
                  <w:tcW w:w="2049" w:type="dxa"/>
                  <w:vAlign w:val="center"/>
                </w:tcPr>
                <w:p>
                  <w:pPr>
                    <w:pStyle w:val="28"/>
                    <w:bidi w:val="0"/>
                    <w:rPr>
                      <w:rFonts w:hint="default"/>
                      <w:color w:val="auto"/>
                      <w:lang w:val="en-US" w:eastAsia="zh-CN"/>
                    </w:rPr>
                  </w:pPr>
                  <w:r>
                    <w:rPr>
                      <w:rFonts w:hint="eastAsia"/>
                      <w:color w:val="auto"/>
                      <w:lang w:val="en-US" w:eastAsia="zh-CN"/>
                    </w:rPr>
                    <w:t>年平均</w:t>
                  </w:r>
                </w:p>
              </w:tc>
              <w:tc>
                <w:tcPr>
                  <w:tcW w:w="1577" w:type="dxa"/>
                  <w:vAlign w:val="center"/>
                </w:tcPr>
                <w:p>
                  <w:pPr>
                    <w:pStyle w:val="28"/>
                    <w:bidi w:val="0"/>
                    <w:rPr>
                      <w:rFonts w:hint="default"/>
                      <w:color w:val="auto"/>
                      <w:lang w:val="en-US" w:eastAsia="zh-CN"/>
                    </w:rPr>
                  </w:pPr>
                  <w:r>
                    <w:rPr>
                      <w:rFonts w:hint="eastAsia"/>
                      <w:color w:val="auto"/>
                      <w:lang w:val="en-US" w:eastAsia="zh-CN"/>
                    </w:rPr>
                    <w:t>200</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Ex>
              <w:trPr>
                <w:cantSplit/>
                <w:trHeight w:val="0" w:hRule="atLeast"/>
                <w:jc w:val="center"/>
              </w:trPr>
              <w:tc>
                <w:tcPr>
                  <w:tcW w:w="1506" w:type="dxa"/>
                  <w:vMerge w:val="continue"/>
                  <w:vAlign w:val="center"/>
                </w:tcPr>
                <w:p>
                  <w:pPr>
                    <w:pStyle w:val="28"/>
                    <w:bidi w:val="0"/>
                    <w:rPr>
                      <w:rFonts w:hint="default"/>
                      <w:color w:val="auto"/>
                    </w:rPr>
                  </w:pPr>
                </w:p>
              </w:tc>
              <w:tc>
                <w:tcPr>
                  <w:tcW w:w="2049" w:type="dxa"/>
                  <w:vAlign w:val="center"/>
                </w:tcPr>
                <w:p>
                  <w:pPr>
                    <w:pStyle w:val="28"/>
                    <w:bidi w:val="0"/>
                    <w:rPr>
                      <w:rFonts w:hint="default"/>
                      <w:color w:val="auto"/>
                      <w:lang w:val="en-US" w:eastAsia="zh-CN"/>
                    </w:rPr>
                  </w:pPr>
                  <w:r>
                    <w:rPr>
                      <w:rFonts w:hint="default"/>
                      <w:color w:val="auto"/>
                    </w:rPr>
                    <w:t>24小时平均</w:t>
                  </w:r>
                </w:p>
              </w:tc>
              <w:tc>
                <w:tcPr>
                  <w:tcW w:w="1577" w:type="dxa"/>
                  <w:vAlign w:val="center"/>
                </w:tcPr>
                <w:p>
                  <w:pPr>
                    <w:pStyle w:val="28"/>
                    <w:bidi w:val="0"/>
                    <w:rPr>
                      <w:rFonts w:hint="default"/>
                      <w:color w:val="auto"/>
                      <w:lang w:val="en-US" w:eastAsia="zh-CN"/>
                    </w:rPr>
                  </w:pPr>
                  <w:r>
                    <w:rPr>
                      <w:rFonts w:hint="eastAsia"/>
                      <w:color w:val="auto"/>
                      <w:lang w:val="en-US" w:eastAsia="zh-CN"/>
                    </w:rPr>
                    <w:t>3</w:t>
                  </w:r>
                  <w:r>
                    <w:rPr>
                      <w:rFonts w:hint="default"/>
                      <w:color w:val="auto"/>
                      <w:lang w:val="en-US" w:eastAsia="zh-CN"/>
                    </w:rPr>
                    <w:t>00</w:t>
                  </w:r>
                  <w:r>
                    <w:rPr>
                      <w:rFonts w:hint="default"/>
                      <w:color w:val="auto"/>
                    </w:rPr>
                    <w:t>μg/m</w:t>
                  </w:r>
                  <w:r>
                    <w:rPr>
                      <w:rFonts w:hint="default"/>
                      <w:color w:val="auto"/>
                      <w:vertAlign w:val="superscript"/>
                    </w:rPr>
                    <w:t>3</w:t>
                  </w:r>
                </w:p>
              </w:tc>
              <w:tc>
                <w:tcPr>
                  <w:tcW w:w="2962" w:type="dxa"/>
                  <w:vMerge w:val="continue"/>
                  <w:vAlign w:val="center"/>
                </w:tcPr>
                <w:p>
                  <w:pPr>
                    <w:pStyle w:val="28"/>
                    <w:bidi w:val="0"/>
                    <w:rPr>
                      <w:rFonts w:hint="default"/>
                      <w:color w:val="auto"/>
                    </w:rPr>
                  </w:pPr>
                </w:p>
              </w:tc>
            </w:tr>
          </w:tbl>
          <w:p>
            <w:pPr>
              <w:pStyle w:val="4"/>
              <w:bidi w:val="0"/>
              <w:rPr>
                <w:rFonts w:hint="default"/>
                <w:color w:val="auto"/>
              </w:rPr>
            </w:pPr>
            <w:r>
              <w:rPr>
                <w:rFonts w:hint="default"/>
                <w:color w:val="auto"/>
                <w:lang w:val="en-US" w:eastAsia="zh-CN"/>
              </w:rPr>
              <w:t>3.1.2</w:t>
            </w:r>
            <w:r>
              <w:rPr>
                <w:rFonts w:hint="default"/>
                <w:color w:val="auto"/>
              </w:rPr>
              <w:t>区域大气环境质量现状</w:t>
            </w:r>
          </w:p>
          <w:p>
            <w:pPr>
              <w:bidi w:val="0"/>
              <w:rPr>
                <w:rFonts w:hint="default"/>
                <w:b/>
                <w:bCs/>
                <w:color w:val="auto"/>
                <w:lang w:val="en-US" w:eastAsia="zh-CN"/>
              </w:rPr>
            </w:pPr>
            <w:r>
              <w:rPr>
                <w:rFonts w:hint="eastAsia"/>
                <w:b/>
                <w:bCs/>
                <w:color w:val="auto"/>
                <w:lang w:val="en-US" w:eastAsia="zh-CN"/>
              </w:rPr>
              <w:t>（1）</w:t>
            </w:r>
            <w:r>
              <w:rPr>
                <w:rFonts w:hint="default"/>
                <w:b/>
                <w:bCs/>
                <w:color w:val="auto"/>
                <w:lang w:val="en-US" w:eastAsia="zh-CN"/>
              </w:rPr>
              <w:t>城市达标区域判断</w:t>
            </w:r>
          </w:p>
          <w:p>
            <w:pPr>
              <w:bidi w:val="0"/>
              <w:rPr>
                <w:rFonts w:hint="default"/>
                <w:color w:val="auto"/>
                <w:lang w:val="en-US" w:eastAsia="zh-CN"/>
              </w:rPr>
            </w:pPr>
            <w:r>
              <w:rPr>
                <w:rFonts w:hint="default"/>
                <w:color w:val="auto"/>
              </w:rPr>
              <w:t>城市环境空气质量达标情况评价指标为SO</w:t>
            </w:r>
            <w:r>
              <w:rPr>
                <w:rFonts w:hint="default"/>
                <w:color w:val="auto"/>
                <w:vertAlign w:val="subscript"/>
              </w:rPr>
              <w:t>2</w:t>
            </w:r>
            <w:r>
              <w:rPr>
                <w:rFonts w:hint="default"/>
                <w:color w:val="auto"/>
              </w:rPr>
              <w:t>、NO</w:t>
            </w:r>
            <w:r>
              <w:rPr>
                <w:rFonts w:hint="default"/>
                <w:color w:val="auto"/>
                <w:vertAlign w:val="subscript"/>
              </w:rPr>
              <w:t>2</w:t>
            </w:r>
            <w:r>
              <w:rPr>
                <w:rFonts w:hint="default"/>
                <w:color w:val="auto"/>
              </w:rPr>
              <w:t>、PM</w:t>
            </w:r>
            <w:r>
              <w:rPr>
                <w:rFonts w:hint="default"/>
                <w:color w:val="auto"/>
                <w:vertAlign w:val="subscript"/>
              </w:rPr>
              <w:t>10</w:t>
            </w:r>
            <w:r>
              <w:rPr>
                <w:rFonts w:hint="default"/>
                <w:color w:val="auto"/>
              </w:rPr>
              <w:t>、PM</w:t>
            </w:r>
            <w:r>
              <w:rPr>
                <w:rFonts w:hint="default"/>
                <w:color w:val="auto"/>
                <w:vertAlign w:val="subscript"/>
              </w:rPr>
              <w:t>2.5</w:t>
            </w:r>
            <w:r>
              <w:rPr>
                <w:rFonts w:hint="default"/>
                <w:color w:val="auto"/>
              </w:rPr>
              <w:t>、CO和O</w:t>
            </w:r>
            <w:r>
              <w:rPr>
                <w:rFonts w:hint="default"/>
                <w:color w:val="auto"/>
                <w:vertAlign w:val="subscript"/>
              </w:rPr>
              <w:t>3</w:t>
            </w:r>
            <w:r>
              <w:rPr>
                <w:rFonts w:hint="default"/>
                <w:color w:val="auto"/>
              </w:rPr>
              <w:t>，</w:t>
            </w:r>
            <w:r>
              <w:rPr>
                <w:rFonts w:hint="default"/>
                <w:color w:val="auto"/>
                <w:lang w:val="en-US" w:eastAsia="zh-CN"/>
              </w:rPr>
              <w:t>六项污染物全部达标即为城市环境空气质量达标。</w:t>
            </w:r>
          </w:p>
          <w:p>
            <w:pPr>
              <w:bidi w:val="0"/>
              <w:rPr>
                <w:rFonts w:hint="default"/>
                <w:color w:val="auto"/>
                <w:lang w:val="zh-CN" w:eastAsia="zh-CN"/>
              </w:rPr>
            </w:pPr>
            <w:r>
              <w:rPr>
                <w:rFonts w:hint="eastAsia"/>
                <w:color w:val="auto"/>
                <w:lang w:val="en-US" w:eastAsia="zh-CN"/>
              </w:rPr>
              <w:t>根据福清市人民政府网站公布的2024年1月-12月福清市空气环境质量各月报可知（网址：http://www.fuqing.gov.cn/xjwz/zwgk/ztzl/sdgjz/dhwrfzgjz/hjzl/），福清市2024年连续1年的大气常规因子环境空气质量监测数据如下。</w:t>
            </w:r>
          </w:p>
          <w:p>
            <w:pPr>
              <w:pStyle w:val="33"/>
              <w:bidi w:val="0"/>
              <w:rPr>
                <w:rFonts w:hint="default"/>
                <w:color w:val="auto"/>
                <w:sz w:val="24"/>
                <w:szCs w:val="24"/>
                <w:lang w:val="zh-CN" w:eastAsia="zh-CN"/>
              </w:rPr>
            </w:pPr>
            <w:r>
              <w:rPr>
                <w:rFonts w:hint="default"/>
                <w:color w:val="auto"/>
                <w:sz w:val="24"/>
                <w:szCs w:val="24"/>
                <w:lang w:val="zh-CN" w:eastAsia="zh-CN"/>
              </w:rPr>
              <w:t>表3.1-</w:t>
            </w:r>
            <w:r>
              <w:rPr>
                <w:rFonts w:hint="eastAsia"/>
                <w:color w:val="auto"/>
                <w:sz w:val="24"/>
                <w:szCs w:val="24"/>
                <w:lang w:val="en-US" w:eastAsia="zh-CN"/>
              </w:rPr>
              <w:t xml:space="preserve">2 </w:t>
            </w:r>
            <w:r>
              <w:rPr>
                <w:rFonts w:hint="eastAsia"/>
                <w:color w:val="auto"/>
                <w:sz w:val="24"/>
                <w:szCs w:val="24"/>
                <w:lang w:val="zh-CN" w:eastAsia="zh-CN"/>
              </w:rPr>
              <w:t>福</w:t>
            </w:r>
            <w:r>
              <w:rPr>
                <w:rFonts w:hint="eastAsia"/>
                <w:color w:val="auto"/>
                <w:sz w:val="24"/>
                <w:szCs w:val="24"/>
                <w:lang w:val="en-US" w:eastAsia="zh-CN"/>
              </w:rPr>
              <w:t>清市</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年1月份</w:t>
            </w:r>
            <w:r>
              <w:rPr>
                <w:rFonts w:hint="eastAsia"/>
                <w:color w:val="auto"/>
                <w:sz w:val="24"/>
                <w:szCs w:val="24"/>
                <w:lang w:val="zh-CN" w:eastAsia="zh-CN"/>
              </w:rPr>
              <w:t>～</w:t>
            </w:r>
            <w:r>
              <w:rPr>
                <w:rFonts w:hint="default"/>
                <w:color w:val="auto"/>
                <w:sz w:val="24"/>
                <w:szCs w:val="24"/>
                <w:lang w:val="zh-CN" w:eastAsia="zh-CN"/>
              </w:rPr>
              <w:t>202</w:t>
            </w:r>
            <w:r>
              <w:rPr>
                <w:rFonts w:hint="eastAsia"/>
                <w:color w:val="auto"/>
                <w:sz w:val="24"/>
                <w:szCs w:val="24"/>
                <w:lang w:val="en-US" w:eastAsia="zh-CN"/>
              </w:rPr>
              <w:t>4</w:t>
            </w:r>
            <w:r>
              <w:rPr>
                <w:rFonts w:hint="default"/>
                <w:color w:val="auto"/>
                <w:sz w:val="24"/>
                <w:szCs w:val="24"/>
                <w:lang w:val="zh-CN" w:eastAsia="zh-CN"/>
              </w:rPr>
              <w:t>年1</w:t>
            </w:r>
            <w:r>
              <w:rPr>
                <w:rFonts w:hint="eastAsia"/>
                <w:color w:val="auto"/>
                <w:sz w:val="24"/>
                <w:szCs w:val="24"/>
                <w:lang w:val="en-US" w:eastAsia="zh-CN"/>
              </w:rPr>
              <w:t>2</w:t>
            </w:r>
            <w:r>
              <w:rPr>
                <w:rFonts w:hint="default"/>
                <w:color w:val="auto"/>
                <w:sz w:val="24"/>
                <w:szCs w:val="24"/>
                <w:lang w:val="zh-CN" w:eastAsia="zh-CN"/>
              </w:rPr>
              <w:t>月份环境空气质量统计</w:t>
            </w:r>
          </w:p>
          <w:tbl>
            <w:tblPr>
              <w:tblStyle w:val="24"/>
              <w:tblW w:w="80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953"/>
              <w:gridCol w:w="942"/>
              <w:gridCol w:w="1008"/>
              <w:gridCol w:w="1008"/>
              <w:gridCol w:w="1019"/>
              <w:gridCol w:w="1119"/>
              <w:gridCol w:w="10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vMerge w:val="restart"/>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6141" w:type="dxa"/>
                  <w:gridSpan w:val="6"/>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月均值m</w:t>
                  </w:r>
                  <w:r>
                    <w:rPr>
                      <w:rFonts w:hint="default" w:ascii="Times New Roman" w:hAnsi="Times New Roman" w:eastAsia="宋体" w:cs="Times New Roman"/>
                      <w:b/>
                      <w:bCs/>
                      <w:color w:val="auto"/>
                      <w:sz w:val="21"/>
                      <w:szCs w:val="21"/>
                      <w:highlight w:val="none"/>
                    </w:rPr>
                    <w:t>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vMerge w:val="continue"/>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SO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NO</w:t>
                  </w:r>
                  <w:r>
                    <w:rPr>
                      <w:rFonts w:hint="default" w:ascii="Times New Roman" w:hAnsi="Times New Roman" w:eastAsia="宋体" w:cs="Times New Roman"/>
                      <w:b/>
                      <w:bCs/>
                      <w:color w:val="auto"/>
                      <w:sz w:val="21"/>
                      <w:szCs w:val="21"/>
                      <w:highlight w:val="none"/>
                      <w:vertAlign w:val="subscript"/>
                    </w:rPr>
                    <w:t>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10</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PM</w:t>
                  </w:r>
                  <w:r>
                    <w:rPr>
                      <w:rFonts w:hint="default" w:ascii="Times New Roman" w:hAnsi="Times New Roman" w:eastAsia="宋体" w:cs="Times New Roman"/>
                      <w:b/>
                      <w:bCs/>
                      <w:color w:val="auto"/>
                      <w:sz w:val="21"/>
                      <w:szCs w:val="21"/>
                      <w:highlight w:val="none"/>
                      <w:vertAlign w:val="subscript"/>
                    </w:rPr>
                    <w:t>2.5</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CO</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O</w:t>
                  </w:r>
                  <w:r>
                    <w:rPr>
                      <w:rFonts w:hint="default" w:ascii="Times New Roman" w:hAnsi="Times New Roman" w:eastAsia="宋体" w:cs="Times New Roman"/>
                      <w:b/>
                      <w:bCs/>
                      <w:color w:val="auto"/>
                      <w:sz w:val="21"/>
                      <w:szCs w:val="21"/>
                      <w:highlight w:val="none"/>
                      <w:vertAlign w:val="subscript"/>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0.048</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0.030</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0.9</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年2月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0.038</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年3月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0.018</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0.050</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年4月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0.003</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0.016</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0.041</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年5月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0.011</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0.028</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年6月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年7月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年8月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0.004</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0.009</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0.032</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0.017</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0.5</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90"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年9月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0.007</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0.020</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0.010</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年10月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0.005</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0.022</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0.013</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r>
                    <w:rPr>
                      <w:rFonts w:hint="eastAsia"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年11月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0.008</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0.023</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0.012</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202</w:t>
                  </w:r>
                  <w:r>
                    <w:rPr>
                      <w:rFonts w:hint="eastAsia"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val="en-US" w:eastAsia="zh-CN"/>
                    </w:rPr>
                    <w:t>年12月</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0.002</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0.014</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0.036</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0.019</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0.6</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环境空气质量标准</w:t>
                  </w:r>
                </w:p>
              </w:tc>
              <w:tc>
                <w:tcPr>
                  <w:tcW w:w="942"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0.060</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0.040</w:t>
                  </w:r>
                </w:p>
              </w:tc>
              <w:tc>
                <w:tcPr>
                  <w:tcW w:w="1008"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0.07</w:t>
                  </w:r>
                </w:p>
              </w:tc>
              <w:tc>
                <w:tcPr>
                  <w:tcW w:w="10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w:t>
                  </w:r>
                </w:p>
              </w:tc>
              <w:tc>
                <w:tcPr>
                  <w:tcW w:w="1119"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0.160</w:t>
                  </w:r>
                </w:p>
              </w:tc>
              <w:tc>
                <w:tcPr>
                  <w:tcW w:w="1045"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23" w:hRule="atLeast"/>
                <w:jc w:val="center"/>
              </w:trPr>
              <w:tc>
                <w:tcPr>
                  <w:tcW w:w="1953" w:type="dxa"/>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c>
                <w:tcPr>
                  <w:tcW w:w="6141" w:type="dxa"/>
                  <w:gridSpan w:val="6"/>
                  <w:tcBorders>
                    <w:tl2br w:val="nil"/>
                    <w:tr2bl w:val="nil"/>
                  </w:tcBorders>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Ex>
              <w:trPr>
                <w:trHeight w:val="23" w:hRule="atLeast"/>
                <w:jc w:val="center"/>
              </w:trPr>
              <w:tc>
                <w:tcPr>
                  <w:tcW w:w="8094" w:type="dxa"/>
                  <w:gridSpan w:val="7"/>
                  <w:tcBorders>
                    <w:tl2br w:val="nil"/>
                    <w:tr2bl w:val="nil"/>
                  </w:tcBorders>
                  <w:vAlign w:val="center"/>
                </w:tcPr>
                <w:p>
                  <w:pPr>
                    <w:spacing w:line="240" w:lineRule="auto"/>
                    <w:ind w:firstLine="0" w:firstLineChars="0"/>
                    <w:jc w:val="both"/>
                    <w:rPr>
                      <w:rFonts w:hint="default" w:ascii="Times New Roman" w:hAnsi="Times New Roman" w:eastAsia="宋体"/>
                      <w:color w:val="auto"/>
                      <w:highlight w:val="none"/>
                      <w:lang w:val="en-US" w:eastAsia="zh-CN"/>
                    </w:rPr>
                  </w:pPr>
                  <w:r>
                    <w:rPr>
                      <w:rFonts w:hint="default" w:ascii="Times New Roman" w:hAnsi="Times New Roman" w:eastAsia="宋体"/>
                      <w:color w:val="auto"/>
                      <w:sz w:val="18"/>
                      <w:szCs w:val="18"/>
                      <w:highlight w:val="none"/>
                    </w:rPr>
                    <w:t>注：CO为日均值第95百分位数，O</w:t>
                  </w:r>
                  <w:r>
                    <w:rPr>
                      <w:rFonts w:hint="default" w:ascii="Times New Roman" w:hAnsi="Times New Roman" w:eastAsia="宋体"/>
                      <w:color w:val="auto"/>
                      <w:sz w:val="18"/>
                      <w:szCs w:val="18"/>
                      <w:highlight w:val="none"/>
                      <w:vertAlign w:val="subscript"/>
                    </w:rPr>
                    <w:t>3</w:t>
                  </w:r>
                  <w:r>
                    <w:rPr>
                      <w:rFonts w:hint="default" w:ascii="Times New Roman" w:hAnsi="Times New Roman" w:eastAsia="宋体"/>
                      <w:color w:val="auto"/>
                      <w:sz w:val="18"/>
                      <w:szCs w:val="18"/>
                      <w:highlight w:val="none"/>
                    </w:rPr>
                    <w:t>为日最大8小时值第90百分位数。</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由上表可知，</w:t>
            </w:r>
            <w:r>
              <w:rPr>
                <w:rFonts w:hint="eastAsia" w:cs="Times New Roman"/>
                <w:color w:val="auto"/>
                <w:sz w:val="24"/>
                <w:szCs w:val="24"/>
                <w:highlight w:val="none"/>
                <w:lang w:val="en-US" w:eastAsia="zh-CN"/>
              </w:rPr>
              <w:t>福清市</w:t>
            </w:r>
            <w:r>
              <w:rPr>
                <w:rFonts w:hint="default" w:ascii="Times New Roman" w:hAnsi="Times New Roman" w:eastAsia="宋体" w:cs="Times New Roman"/>
                <w:color w:val="auto"/>
                <w:sz w:val="24"/>
                <w:szCs w:val="24"/>
                <w:highlight w:val="none"/>
                <w:lang w:val="en-US" w:eastAsia="zh-CN"/>
              </w:rPr>
              <w:t>202</w:t>
            </w:r>
            <w:r>
              <w:rPr>
                <w:rFonts w:hint="eastAsia"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en-US" w:eastAsia="zh-CN"/>
              </w:rPr>
              <w:t>年1月</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12月份环境</w:t>
            </w:r>
            <w:r>
              <w:rPr>
                <w:rFonts w:hint="eastAsia" w:ascii="Times New Roman" w:hAnsi="Times New Roman" w:eastAsia="宋体" w:cs="Times New Roman"/>
                <w:color w:val="auto"/>
                <w:sz w:val="24"/>
                <w:szCs w:val="24"/>
                <w:highlight w:val="none"/>
                <w:lang w:val="en-US" w:eastAsia="zh-CN"/>
              </w:rPr>
              <w:t>空气</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bCs/>
                <w:color w:val="auto"/>
                <w:sz w:val="24"/>
                <w:szCs w:val="24"/>
              </w:rPr>
              <w:t>SO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、NO</w:t>
            </w:r>
            <w:r>
              <w:rPr>
                <w:rFonts w:hint="default" w:ascii="Times New Roman" w:hAnsi="Times New Roman" w:eastAsia="宋体" w:cs="Times New Roman"/>
                <w:bCs/>
                <w:color w:val="auto"/>
                <w:sz w:val="24"/>
                <w:szCs w:val="24"/>
                <w:vertAlign w:val="subscript"/>
              </w:rPr>
              <w:t>2</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10</w:t>
            </w:r>
            <w:r>
              <w:rPr>
                <w:rFonts w:hint="default" w:ascii="Times New Roman" w:hAnsi="Times New Roman" w:eastAsia="宋体" w:cs="Times New Roman"/>
                <w:bCs/>
                <w:color w:val="auto"/>
                <w:sz w:val="24"/>
                <w:szCs w:val="24"/>
              </w:rPr>
              <w:t>、PM</w:t>
            </w:r>
            <w:r>
              <w:rPr>
                <w:rFonts w:hint="default" w:ascii="Times New Roman" w:hAnsi="Times New Roman" w:eastAsia="宋体" w:cs="Times New Roman"/>
                <w:bCs/>
                <w:color w:val="auto"/>
                <w:sz w:val="24"/>
                <w:szCs w:val="24"/>
                <w:vertAlign w:val="subscript"/>
              </w:rPr>
              <w:t>2.5</w:t>
            </w:r>
            <w:r>
              <w:rPr>
                <w:rFonts w:hint="default" w:ascii="Times New Roman" w:hAnsi="Times New Roman" w:eastAsia="宋体" w:cs="Times New Roman"/>
                <w:bCs/>
                <w:color w:val="auto"/>
                <w:sz w:val="24"/>
                <w:szCs w:val="24"/>
              </w:rPr>
              <w:t>、CO、O</w:t>
            </w:r>
            <w:r>
              <w:rPr>
                <w:rFonts w:hint="default" w:ascii="Times New Roman" w:hAnsi="Times New Roman" w:eastAsia="宋体" w:cs="Times New Roman"/>
                <w:bCs/>
                <w:color w:val="auto"/>
                <w:sz w:val="24"/>
                <w:szCs w:val="24"/>
                <w:vertAlign w:val="subscript"/>
              </w:rPr>
              <w:t>3</w:t>
            </w:r>
            <w:r>
              <w:rPr>
                <w:rFonts w:hint="default" w:ascii="Times New Roman" w:hAnsi="Times New Roman" w:eastAsia="宋体" w:cs="Times New Roman"/>
                <w:bCs/>
                <w:color w:val="auto"/>
                <w:sz w:val="24"/>
                <w:szCs w:val="24"/>
              </w:rPr>
              <w:t>六项污染物</w:t>
            </w:r>
            <w:r>
              <w:rPr>
                <w:rFonts w:hint="eastAsia" w:ascii="Times New Roman" w:hAnsi="Times New Roman" w:eastAsia="宋体" w:cs="Times New Roman"/>
                <w:bCs/>
                <w:color w:val="auto"/>
                <w:sz w:val="24"/>
                <w:szCs w:val="24"/>
                <w:lang w:eastAsia="zh-CN"/>
              </w:rPr>
              <w:t>浓度指标可达</w:t>
            </w:r>
            <w:r>
              <w:rPr>
                <w:rFonts w:hint="default" w:ascii="Times New Roman" w:hAnsi="Times New Roman" w:eastAsia="宋体" w:cs="Times New Roman"/>
                <w:bCs/>
                <w:color w:val="auto"/>
                <w:sz w:val="24"/>
                <w:szCs w:val="24"/>
              </w:rPr>
              <w:t>《环境空气质量标准》</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GB3095-2012</w:t>
            </w:r>
            <w:r>
              <w:rPr>
                <w:rFonts w:hint="default" w:ascii="Times New Roman" w:hAnsi="Times New Roman" w:eastAsia="宋体" w:cs="Times New Roman"/>
                <w:bCs/>
                <w:color w:val="auto"/>
                <w:sz w:val="24"/>
                <w:szCs w:val="24"/>
                <w:lang w:val="en-US" w:eastAsia="zh-CN"/>
              </w:rPr>
              <w:t>)及其修改单</w:t>
            </w:r>
            <w:r>
              <w:rPr>
                <w:rFonts w:hint="default" w:ascii="Times New Roman" w:hAnsi="Times New Roman" w:eastAsia="宋体" w:cs="Times New Roman"/>
                <w:bCs/>
                <w:color w:val="auto"/>
                <w:sz w:val="24"/>
                <w:szCs w:val="24"/>
              </w:rPr>
              <w:t>中的二级标准要求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szCs w:val="24"/>
                <w:highlight w:val="none"/>
                <w:lang w:val="en-US" w:eastAsia="zh-CN"/>
              </w:rPr>
              <w:t>因此，项目所在区域属于大气环境达标区。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其他</w:t>
            </w:r>
            <w:r>
              <w:rPr>
                <w:rFonts w:hint="default" w:ascii="Times New Roman" w:hAnsi="Times New Roman" w:eastAsia="宋体" w:cs="Times New Roman"/>
                <w:b/>
                <w:bCs/>
                <w:color w:val="auto"/>
                <w:sz w:val="24"/>
                <w:szCs w:val="24"/>
                <w:highlight w:val="none"/>
                <w:lang w:eastAsia="zh-CN"/>
              </w:rPr>
              <w:t>污染因子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为了解本项目特征污染因子TSP在区域的环境空气质量现状</w:t>
            </w:r>
            <w:r>
              <w:rPr>
                <w:rFonts w:hint="eastAsia" w:ascii="Times New Roman" w:hAnsi="Times New Roman" w:eastAsia="宋体" w:cs="Times New Roman"/>
                <w:b w:val="0"/>
                <w:bCs w:val="0"/>
                <w:color w:val="auto"/>
                <w:sz w:val="24"/>
                <w:szCs w:val="24"/>
                <w:highlight w:val="none"/>
                <w:lang w:val="en-US" w:eastAsia="zh-CN"/>
              </w:rPr>
              <w:t>，本</w:t>
            </w:r>
            <w:r>
              <w:rPr>
                <w:rFonts w:hint="eastAsia" w:cs="Times New Roman"/>
                <w:b w:val="0"/>
                <w:bCs w:val="0"/>
                <w:color w:val="auto"/>
                <w:sz w:val="24"/>
                <w:szCs w:val="24"/>
                <w:highlight w:val="none"/>
                <w:lang w:val="en-US" w:eastAsia="zh-CN"/>
              </w:rPr>
              <w:t>次</w:t>
            </w:r>
            <w:r>
              <w:rPr>
                <w:rFonts w:hint="eastAsia" w:ascii="Times New Roman" w:hAnsi="Times New Roman" w:eastAsia="宋体" w:cs="Times New Roman"/>
                <w:b w:val="0"/>
                <w:bCs w:val="0"/>
                <w:color w:val="auto"/>
                <w:sz w:val="24"/>
                <w:szCs w:val="24"/>
                <w:highlight w:val="none"/>
                <w:lang w:val="en-US" w:eastAsia="zh-CN"/>
              </w:rPr>
              <w:t>评价引用安正计量检测有限公司于2024年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检测报告编号：AZJC24</w:t>
            </w:r>
            <w:r>
              <w:rPr>
                <w:rFonts w:hint="eastAsia" w:cs="Times New Roman"/>
                <w:b w:val="0"/>
                <w:bCs w:val="0"/>
                <w:color w:val="auto"/>
                <w:sz w:val="24"/>
                <w:szCs w:val="24"/>
                <w:highlight w:val="none"/>
                <w:lang w:val="en-US" w:eastAsia="zh-CN"/>
              </w:rPr>
              <w:t>0321001</w:t>
            </w:r>
            <w:r>
              <w:rPr>
                <w:rFonts w:hint="default" w:ascii="Times New Roman" w:hAnsi="Times New Roman" w:eastAsia="宋体"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TSP监测结果见表3.1-</w:t>
            </w:r>
            <w:r>
              <w:rPr>
                <w:rFonts w:hint="eastAsia"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en-US" w:eastAsia="zh-CN"/>
              </w:rPr>
              <w:t>，监测点位置见</w:t>
            </w:r>
            <w:r>
              <w:rPr>
                <w:rFonts w:hint="eastAsia" w:ascii="Times New Roman" w:hAnsi="Times New Roman" w:eastAsia="宋体" w:cs="Times New Roman"/>
                <w:b w:val="0"/>
                <w:bCs w:val="0"/>
                <w:color w:val="auto"/>
                <w:sz w:val="24"/>
                <w:szCs w:val="24"/>
                <w:highlight w:val="none"/>
                <w:lang w:val="en-US" w:eastAsia="zh-CN"/>
              </w:rPr>
              <w:t>附图</w:t>
            </w:r>
            <w:r>
              <w:rPr>
                <w:rFonts w:hint="eastAsia" w:cs="Times New Roman"/>
                <w:b w:val="0"/>
                <w:bCs w:val="0"/>
                <w:color w:val="auto"/>
                <w:sz w:val="24"/>
                <w:szCs w:val="24"/>
                <w:highlight w:val="none"/>
                <w:lang w:val="en-US" w:eastAsia="zh-CN"/>
              </w:rPr>
              <w:t>十三</w:t>
            </w:r>
            <w:r>
              <w:rPr>
                <w:rFonts w:hint="eastAsia" w:ascii="Times New Roman" w:hAnsi="Times New Roman" w:eastAsia="宋体" w:cs="Times New Roman"/>
                <w:b w:val="0"/>
                <w:bCs w:val="0"/>
                <w:color w:val="auto"/>
                <w:sz w:val="24"/>
                <w:szCs w:val="24"/>
                <w:highlight w:val="none"/>
                <w:lang w:val="en-US" w:eastAsia="zh-CN"/>
              </w:rPr>
              <w:t>，监测报告见附件</w:t>
            </w:r>
            <w:r>
              <w:rPr>
                <w:rFonts w:hint="eastAsia" w:cs="Times New Roman"/>
                <w:b w:val="0"/>
                <w:bCs w:val="0"/>
                <w:color w:val="auto"/>
                <w:sz w:val="24"/>
                <w:szCs w:val="24"/>
                <w:highlight w:val="none"/>
                <w:lang w:val="en-US" w:eastAsia="zh-CN"/>
              </w:rPr>
              <w:t>七</w:t>
            </w:r>
            <w:r>
              <w:rPr>
                <w:rFonts w:hint="eastAsia" w:ascii="Times New Roman" w:hAnsi="Times New Roman" w:eastAsia="宋体" w:cs="Times New Roman"/>
                <w:b w:val="0"/>
                <w:bCs w:val="0"/>
                <w:color w:val="auto"/>
                <w:sz w:val="24"/>
                <w:szCs w:val="24"/>
                <w:highlight w:val="none"/>
                <w:lang w:val="en-US" w:eastAsia="zh-CN"/>
              </w:rPr>
              <w:t>。</w:t>
            </w:r>
          </w:p>
          <w:p>
            <w:pPr>
              <w:pStyle w:val="33"/>
              <w:bidi w:val="0"/>
              <w:rPr>
                <w:rFonts w:hint="eastAsia"/>
                <w:color w:val="auto"/>
                <w:sz w:val="24"/>
                <w:szCs w:val="24"/>
                <w:lang w:val="en-US" w:eastAsia="zh-CN"/>
              </w:rPr>
            </w:pPr>
            <w:r>
              <w:rPr>
                <w:rFonts w:hint="eastAsia"/>
                <w:color w:val="auto"/>
                <w:sz w:val="24"/>
                <w:szCs w:val="24"/>
                <w:lang w:val="en-US" w:eastAsia="zh-CN"/>
              </w:rPr>
              <w:t>表3.1-3 项目区域TSP环境监测数据</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根据上表监测结果可知，项目所在区域</w:t>
            </w:r>
            <w:r>
              <w:rPr>
                <w:rFonts w:hint="eastAsia" w:cs="Times New Roman"/>
                <w:color w:val="auto"/>
                <w:sz w:val="24"/>
                <w:szCs w:val="24"/>
                <w:lang w:val="en-US" w:eastAsia="zh-CN"/>
              </w:rPr>
              <w:t>石溪</w:t>
            </w:r>
            <w:r>
              <w:rPr>
                <w:rFonts w:hint="eastAsia" w:ascii="Times New Roman" w:hAnsi="Times New Roman" w:eastAsia="宋体" w:cs="Times New Roman"/>
                <w:color w:val="auto"/>
                <w:sz w:val="24"/>
                <w:szCs w:val="24"/>
                <w:lang w:val="en-US" w:eastAsia="zh-CN"/>
              </w:rPr>
              <w:t>村TSP的24小时平均浓度值符合《环境空气质量标准》（GB3095-2012）及其修改单中的二级标准，即≤0.3mg/m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vertAlign w:val="baseline"/>
                <w:lang w:val="en-US" w:eastAsia="zh-CN"/>
              </w:rPr>
              <w:t>，环境质量现状良好</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eastAsia="zh-CN"/>
              </w:rPr>
              <w:t>引用资料的有效性</w:t>
            </w:r>
            <w:r>
              <w:rPr>
                <w:rFonts w:hint="eastAsia" w:cs="Times New Roman"/>
                <w:b/>
                <w:bCs/>
                <w:color w:val="auto"/>
                <w:sz w:val="24"/>
                <w:szCs w:val="24"/>
                <w:lang w:val="en-US" w:eastAsia="zh-CN"/>
              </w:rPr>
              <w:t>及可行性</w:t>
            </w:r>
            <w:r>
              <w:rPr>
                <w:rFonts w:hint="default" w:ascii="Times New Roman" w:hAnsi="Times New Roman" w:eastAsia="宋体" w:cs="Times New Roman"/>
                <w:b/>
                <w:bCs/>
                <w:color w:val="auto"/>
                <w:sz w:val="24"/>
                <w:szCs w:val="24"/>
                <w:lang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根据《建设项目环境影响报告表编制技术指南</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污染影响类</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试行</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环办环评〔2020〕33号</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的要求：“大气环境区域环境质量现状常规污染物引用与建设项目距离近的有效数据，包括近3年的规划环境影响评价的监测数据，国家、地方环境空气质量监测网数据或生态环境主管部门公开发布的质量数据等，排放国家、地方环境空气质量标准中有标准限值要求的特征污染物时，引用建设项目周边5千米范围内近3年的现有监测数据</w:t>
            </w:r>
            <w:r>
              <w:rPr>
                <w:rFonts w:hint="eastAsia" w:ascii="Times New Roman" w:hAnsi="Times New Roman" w:eastAsia="宋体" w:cs="Times New Roman"/>
                <w:color w:val="auto"/>
                <w:sz w:val="24"/>
                <w:szCs w:val="24"/>
                <w:lang w:eastAsia="zh-CN"/>
              </w:rPr>
              <w:t>，无相关数据的选择当季主导风向下风向1个点位补充不少于3天的监测数据</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本评价常规污染因子选取</w:t>
            </w:r>
            <w:r>
              <w:rPr>
                <w:rFonts w:hint="eastAsia" w:ascii="Times New Roman" w:hAnsi="Times New Roman" w:eastAsia="宋体" w:cs="Times New Roman"/>
                <w:color w:val="auto"/>
                <w:sz w:val="24"/>
                <w:szCs w:val="24"/>
                <w:lang w:val="en-US" w:eastAsia="zh-CN"/>
              </w:rPr>
              <w:t>福</w:t>
            </w:r>
            <w:r>
              <w:rPr>
                <w:rFonts w:hint="eastAsia" w:cs="Times New Roman"/>
                <w:color w:val="auto"/>
                <w:sz w:val="24"/>
                <w:szCs w:val="24"/>
                <w:lang w:val="en-US" w:eastAsia="zh-CN"/>
              </w:rPr>
              <w:t>清市</w:t>
            </w:r>
            <w:r>
              <w:rPr>
                <w:rFonts w:hint="eastAsia" w:ascii="Times New Roman" w:hAnsi="Times New Roman" w:eastAsia="宋体" w:cs="Times New Roman"/>
                <w:color w:val="auto"/>
                <w:sz w:val="24"/>
                <w:szCs w:val="24"/>
                <w:lang w:val="en-US" w:eastAsia="zh-CN"/>
              </w:rPr>
              <w:t>人民政府</w:t>
            </w:r>
            <w:r>
              <w:rPr>
                <w:rFonts w:hint="default" w:ascii="Times New Roman" w:hAnsi="Times New Roman" w:eastAsia="宋体" w:cs="Times New Roman"/>
                <w:color w:val="auto"/>
                <w:sz w:val="24"/>
                <w:szCs w:val="24"/>
                <w:lang w:eastAsia="zh-CN"/>
              </w:rPr>
              <w:t>发布的</w:t>
            </w:r>
            <w:r>
              <w:rPr>
                <w:rFonts w:hint="eastAsia" w:cs="Times New Roman"/>
                <w:color w:val="auto"/>
                <w:sz w:val="24"/>
                <w:szCs w:val="24"/>
                <w:lang w:val="en-US" w:eastAsia="zh-CN"/>
              </w:rPr>
              <w:t>2024年1-12月份</w:t>
            </w:r>
            <w:r>
              <w:rPr>
                <w:rFonts w:hint="default" w:ascii="Times New Roman" w:hAnsi="Times New Roman" w:eastAsia="宋体" w:cs="Times New Roman"/>
                <w:color w:val="auto"/>
                <w:sz w:val="24"/>
                <w:szCs w:val="24"/>
                <w:lang w:eastAsia="zh-CN"/>
              </w:rPr>
              <w:t>环境空气质量现状信息，特征污染因子TSP</w:t>
            </w:r>
            <w:r>
              <w:rPr>
                <w:rFonts w:hint="eastAsia" w:ascii="Times New Roman" w:hAnsi="Times New Roman" w:eastAsia="宋体" w:cs="Times New Roman"/>
                <w:color w:val="auto"/>
                <w:sz w:val="24"/>
                <w:szCs w:val="24"/>
                <w:lang w:val="en-US" w:eastAsia="zh-CN"/>
              </w:rPr>
              <w:t>引用</w:t>
            </w:r>
            <w:r>
              <w:rPr>
                <w:rFonts w:hint="default" w:ascii="Times New Roman" w:hAnsi="Times New Roman" w:eastAsia="宋体" w:cs="Times New Roman"/>
                <w:color w:val="auto"/>
                <w:sz w:val="24"/>
                <w:szCs w:val="24"/>
                <w:lang w:eastAsia="zh-CN"/>
              </w:rPr>
              <w:t>项目周边</w:t>
            </w:r>
            <w:r>
              <w:rPr>
                <w:rFonts w:hint="eastAsia" w:ascii="Times New Roman" w:hAnsi="Times New Roman" w:eastAsia="宋体" w:cs="Times New Roman"/>
                <w:color w:val="auto"/>
                <w:sz w:val="24"/>
                <w:szCs w:val="24"/>
                <w:lang w:val="en-US" w:eastAsia="zh-CN"/>
              </w:rPr>
              <w:t>5千米范围内</w:t>
            </w:r>
            <w:r>
              <w:rPr>
                <w:rFonts w:hint="default" w:ascii="Times New Roman" w:hAnsi="Times New Roman" w:eastAsia="宋体" w:cs="Times New Roman"/>
                <w:color w:val="auto"/>
                <w:sz w:val="24"/>
                <w:szCs w:val="24"/>
                <w:lang w:eastAsia="zh-CN"/>
              </w:rPr>
              <w:t>监测点</w:t>
            </w:r>
            <w:r>
              <w:rPr>
                <w:rFonts w:hint="eastAsia" w:ascii="Times New Roman" w:hAnsi="Times New Roman" w:eastAsia="宋体" w:cs="Times New Roman"/>
                <w:color w:val="auto"/>
                <w:sz w:val="24"/>
                <w:szCs w:val="24"/>
                <w:lang w:val="en-US" w:eastAsia="zh-CN"/>
              </w:rPr>
              <w:t>近3年内监测</w:t>
            </w:r>
            <w:r>
              <w:rPr>
                <w:rFonts w:hint="eastAsia" w:cs="Times New Roman"/>
                <w:color w:val="auto"/>
                <w:sz w:val="24"/>
                <w:szCs w:val="24"/>
                <w:lang w:val="en-US" w:eastAsia="zh-CN"/>
              </w:rPr>
              <w:t>数据</w:t>
            </w:r>
            <w:r>
              <w:rPr>
                <w:rFonts w:hint="default" w:ascii="Times New Roman" w:hAnsi="Times New Roman" w:eastAsia="宋体" w:cs="Times New Roman"/>
                <w:color w:val="auto"/>
                <w:sz w:val="24"/>
                <w:szCs w:val="24"/>
                <w:lang w:eastAsia="zh-CN"/>
              </w:rPr>
              <w:t>，符合《建设项目环境影响报告表编制技术指南（污染影响类）（试行）》（环办环评〔2020〕33号）的要求。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本项目引用</w:t>
            </w:r>
            <w:r>
              <w:rPr>
                <w:rFonts w:hint="eastAsia" w:ascii="Times New Roman" w:hAnsi="Times New Roman" w:eastAsia="宋体" w:cs="Times New Roman"/>
                <w:b w:val="0"/>
                <w:bCs w:val="0"/>
                <w:color w:val="auto"/>
                <w:sz w:val="24"/>
                <w:szCs w:val="24"/>
                <w:highlight w:val="none"/>
                <w:lang w:val="en-US" w:eastAsia="zh-CN"/>
              </w:rPr>
              <w:t>安正计量检测有限公司于2024年</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月</w:t>
            </w:r>
            <w:r>
              <w:rPr>
                <w:rFonts w:hint="eastAsia" w:cs="Times New Roman"/>
                <w:b w:val="0"/>
                <w:bCs w:val="0"/>
                <w:color w:val="auto"/>
                <w:sz w:val="24"/>
                <w:szCs w:val="24"/>
                <w:highlight w:val="none"/>
                <w:lang w:val="en-US" w:eastAsia="zh-CN"/>
              </w:rPr>
              <w:t>01</w:t>
            </w:r>
            <w:r>
              <w:rPr>
                <w:rFonts w:hint="eastAsia" w:ascii="Times New Roman" w:hAnsi="Times New Roman" w:eastAsia="宋体" w:cs="Times New Roman"/>
                <w:b w:val="0"/>
                <w:bCs w:val="0"/>
                <w:color w:val="auto"/>
                <w:sz w:val="24"/>
                <w:szCs w:val="24"/>
                <w:highlight w:val="none"/>
                <w:lang w:val="en-US" w:eastAsia="zh-CN"/>
              </w:rPr>
              <w:t>日～</w:t>
            </w:r>
            <w:r>
              <w:rPr>
                <w:rFonts w:hint="eastAsia" w:cs="Times New Roman"/>
                <w:b w:val="0"/>
                <w:bCs w:val="0"/>
                <w:color w:val="auto"/>
                <w:sz w:val="24"/>
                <w:szCs w:val="24"/>
                <w:highlight w:val="none"/>
                <w:lang w:val="en-US" w:eastAsia="zh-CN"/>
              </w:rPr>
              <w:t>04</w:t>
            </w:r>
            <w:r>
              <w:rPr>
                <w:rFonts w:hint="eastAsia" w:ascii="Times New Roman" w:hAnsi="Times New Roman" w:eastAsia="宋体" w:cs="Times New Roman"/>
                <w:b w:val="0"/>
                <w:bCs w:val="0"/>
                <w:color w:val="auto"/>
                <w:sz w:val="24"/>
                <w:szCs w:val="24"/>
                <w:highlight w:val="none"/>
                <w:lang w:val="en-US" w:eastAsia="zh-CN"/>
              </w:rPr>
              <w:t>日</w:t>
            </w:r>
            <w:r>
              <w:rPr>
                <w:rFonts w:hint="default" w:ascii="Times New Roman" w:hAnsi="Times New Roman" w:eastAsia="宋体" w:cs="Times New Roman"/>
                <w:b w:val="0"/>
                <w:bCs w:val="0"/>
                <w:color w:val="auto"/>
                <w:sz w:val="24"/>
                <w:szCs w:val="24"/>
                <w:highlight w:val="none"/>
                <w:lang w:val="en-US" w:eastAsia="zh-CN"/>
              </w:rPr>
              <w:t>对</w:t>
            </w:r>
            <w:r>
              <w:rPr>
                <w:rFonts w:hint="eastAsia" w:ascii="Times New Roman" w:hAnsi="Times New Roman" w:eastAsia="宋体" w:cs="Times New Roman"/>
                <w:b w:val="0"/>
                <w:bCs w:val="0"/>
                <w:color w:val="auto"/>
                <w:sz w:val="24"/>
                <w:szCs w:val="24"/>
                <w:highlight w:val="none"/>
                <w:lang w:val="en-US" w:eastAsia="zh-CN"/>
              </w:rPr>
              <w:t>项目所在区域</w:t>
            </w:r>
            <w:r>
              <w:rPr>
                <w:rFonts w:hint="eastAsia" w:cs="Times New Roman"/>
                <w:b w:val="0"/>
                <w:bCs w:val="0"/>
                <w:color w:val="auto"/>
                <w:sz w:val="24"/>
                <w:szCs w:val="24"/>
                <w:highlight w:val="none"/>
                <w:lang w:val="en-US" w:eastAsia="zh-CN"/>
              </w:rPr>
              <w:t>石溪</w:t>
            </w:r>
            <w:r>
              <w:rPr>
                <w:rFonts w:hint="eastAsia" w:ascii="Times New Roman" w:hAnsi="Times New Roman" w:eastAsia="宋体" w:cs="Times New Roman"/>
                <w:b w:val="0"/>
                <w:bCs w:val="0"/>
                <w:color w:val="auto"/>
                <w:sz w:val="24"/>
                <w:szCs w:val="24"/>
                <w:highlight w:val="none"/>
                <w:lang w:val="en-US" w:eastAsia="zh-CN"/>
              </w:rPr>
              <w:t>村</w:t>
            </w:r>
            <w:r>
              <w:rPr>
                <w:rFonts w:hint="default" w:ascii="Times New Roman" w:hAnsi="Times New Roman" w:eastAsia="宋体" w:cs="Times New Roman"/>
                <w:b w:val="0"/>
                <w:bCs w:val="0"/>
                <w:color w:val="auto"/>
                <w:sz w:val="24"/>
                <w:szCs w:val="24"/>
                <w:highlight w:val="none"/>
                <w:lang w:val="en-US" w:eastAsia="zh-CN"/>
              </w:rPr>
              <w:t>点位TSP现状</w:t>
            </w:r>
            <w:r>
              <w:rPr>
                <w:rFonts w:hint="eastAsia" w:ascii="Times New Roman" w:hAnsi="Times New Roman" w:eastAsia="宋体" w:cs="Times New Roman"/>
                <w:b w:val="0"/>
                <w:bCs w:val="0"/>
                <w:color w:val="auto"/>
                <w:sz w:val="24"/>
                <w:szCs w:val="24"/>
                <w:highlight w:val="none"/>
                <w:lang w:val="en-US" w:eastAsia="zh-CN"/>
              </w:rPr>
              <w:t>监测数据（</w:t>
            </w:r>
            <w:r>
              <w:rPr>
                <w:rFonts w:hint="default" w:ascii="Times New Roman" w:hAnsi="Times New Roman" w:eastAsia="宋体" w:cs="Times New Roman"/>
                <w:b w:val="0"/>
                <w:bCs w:val="0"/>
                <w:color w:val="auto"/>
                <w:sz w:val="24"/>
                <w:szCs w:val="24"/>
                <w:highlight w:val="none"/>
                <w:lang w:val="en-US" w:eastAsia="zh-CN"/>
              </w:rPr>
              <w:t>检测报告编号：AZJC24</w:t>
            </w:r>
            <w:r>
              <w:rPr>
                <w:rFonts w:hint="eastAsia" w:cs="Times New Roman"/>
                <w:b w:val="0"/>
                <w:bCs w:val="0"/>
                <w:color w:val="auto"/>
                <w:sz w:val="24"/>
                <w:szCs w:val="24"/>
                <w:highlight w:val="none"/>
                <w:lang w:val="en-US" w:eastAsia="zh-CN"/>
              </w:rPr>
              <w:t>0321001</w:t>
            </w:r>
            <w:r>
              <w:rPr>
                <w:rFonts w:hint="default" w:ascii="Times New Roman" w:hAnsi="Times New Roman" w:eastAsia="宋体" w:cs="Times New Roman"/>
                <w:b w:val="0"/>
                <w:bCs w:val="0"/>
                <w:color w:val="auto"/>
                <w:sz w:val="24"/>
                <w:szCs w:val="24"/>
                <w:highlight w:val="none"/>
                <w:lang w:val="en-US" w:eastAsia="zh-CN"/>
              </w:rPr>
              <w:t>）</w:t>
            </w:r>
            <w:r>
              <w:rPr>
                <w:rFonts w:hint="eastAsia"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监测点位于本项目</w:t>
            </w:r>
            <w:r>
              <w:rPr>
                <w:rFonts w:hint="eastAsia" w:ascii="Times New Roman" w:hAnsi="Times New Roman" w:eastAsia="宋体" w:cs="Times New Roman"/>
                <w:b w:val="0"/>
                <w:bCs w:val="0"/>
                <w:color w:val="auto"/>
                <w:sz w:val="24"/>
                <w:szCs w:val="24"/>
                <w:highlight w:val="none"/>
                <w:lang w:val="en-US" w:eastAsia="zh-CN"/>
              </w:rPr>
              <w:t>厂区西</w:t>
            </w:r>
            <w:r>
              <w:rPr>
                <w:rFonts w:hint="eastAsia" w:cs="Times New Roman"/>
                <w:b w:val="0"/>
                <w:bCs w:val="0"/>
                <w:color w:val="auto"/>
                <w:sz w:val="24"/>
                <w:szCs w:val="24"/>
                <w:highlight w:val="none"/>
                <w:lang w:val="en-US" w:eastAsia="zh-CN"/>
              </w:rPr>
              <w:t>北</w:t>
            </w:r>
            <w:r>
              <w:rPr>
                <w:rFonts w:hint="eastAsia" w:ascii="Times New Roman" w:hAnsi="Times New Roman" w:eastAsia="宋体" w:cs="Times New Roman"/>
                <w:b w:val="0"/>
                <w:bCs w:val="0"/>
                <w:color w:val="auto"/>
                <w:sz w:val="24"/>
                <w:szCs w:val="24"/>
                <w:highlight w:val="none"/>
                <w:lang w:val="en-US" w:eastAsia="zh-CN"/>
              </w:rPr>
              <w:t>侧约</w:t>
            </w:r>
            <w:r>
              <w:rPr>
                <w:rFonts w:hint="eastAsia" w:cs="Times New Roman"/>
                <w:b w:val="0"/>
                <w:bCs w:val="0"/>
                <w:color w:val="auto"/>
                <w:sz w:val="24"/>
                <w:szCs w:val="24"/>
                <w:highlight w:val="none"/>
                <w:lang w:val="en-US" w:eastAsia="zh-CN"/>
              </w:rPr>
              <w:t>321</w:t>
            </w:r>
            <w:r>
              <w:rPr>
                <w:rFonts w:hint="eastAsia" w:ascii="Times New Roman" w:hAnsi="Times New Roman" w:eastAsia="宋体" w:cs="Times New Roman"/>
                <w:b w:val="0"/>
                <w:bCs w:val="0"/>
                <w:color w:val="auto"/>
                <w:sz w:val="24"/>
                <w:szCs w:val="24"/>
                <w:highlight w:val="none"/>
                <w:lang w:val="en-US" w:eastAsia="zh-CN"/>
              </w:rPr>
              <w:t>m</w:t>
            </w:r>
            <w:r>
              <w:rPr>
                <w:rFonts w:hint="eastAsia" w:cs="Times New Roman"/>
                <w:b w:val="0"/>
                <w:bCs w:val="0"/>
                <w:color w:val="auto"/>
                <w:sz w:val="24"/>
                <w:szCs w:val="24"/>
                <w:highlight w:val="none"/>
                <w:lang w:val="en-US" w:eastAsia="zh-CN"/>
              </w:rPr>
              <w:t>处的石溪村居民区内</w:t>
            </w:r>
            <w:r>
              <w:rPr>
                <w:rFonts w:hint="default" w:ascii="Times New Roman" w:hAnsi="Times New Roman" w:eastAsia="宋体" w:cs="Times New Roman"/>
                <w:b w:val="0"/>
                <w:bCs w:val="0"/>
                <w:color w:val="auto"/>
                <w:sz w:val="24"/>
                <w:szCs w:val="24"/>
                <w:highlight w:val="none"/>
                <w:lang w:val="en-US" w:eastAsia="zh-CN"/>
              </w:rPr>
              <w:t>，符合《建设项目环境影响报告表编制技术指南（污染影响类）</w:t>
            </w:r>
            <w:r>
              <w:rPr>
                <w:rFonts w:hint="eastAsia" w:cs="Times New Roman"/>
                <w:b w:val="0"/>
                <w:bCs w:val="0"/>
                <w:color w:val="auto"/>
                <w:sz w:val="24"/>
                <w:szCs w:val="24"/>
                <w:highlight w:val="none"/>
                <w:lang w:val="en-US" w:eastAsia="zh-CN"/>
              </w:rPr>
              <w:t>（试行）》</w:t>
            </w:r>
            <w:r>
              <w:rPr>
                <w:rFonts w:hint="default" w:ascii="Times New Roman" w:hAnsi="Times New Roman" w:eastAsia="宋体" w:cs="Times New Roman"/>
                <w:b w:val="0"/>
                <w:bCs w:val="0"/>
                <w:color w:val="auto"/>
                <w:sz w:val="24"/>
                <w:szCs w:val="24"/>
                <w:highlight w:val="none"/>
                <w:lang w:val="en-US" w:eastAsia="zh-CN"/>
              </w:rPr>
              <w:t>中“排放国家、地方环境空气质量标准中有标准限值要求的特征污染物时，引用建设项目周边5千米范围内近3年的现有监测数据”要求</w:t>
            </w:r>
            <w:r>
              <w:rPr>
                <w:rFonts w:hint="eastAsia" w:ascii="Times New Roman" w:hAnsi="Times New Roman" w:eastAsia="宋体" w:cs="Times New Roman"/>
                <w:b w:val="0"/>
                <w:bCs w:val="0"/>
                <w:color w:val="auto"/>
                <w:sz w:val="24"/>
                <w:szCs w:val="24"/>
                <w:highlight w:val="none"/>
                <w:lang w:val="en-US" w:eastAsia="zh-CN"/>
              </w:rPr>
              <w:t>，因此</w:t>
            </w:r>
            <w:r>
              <w:rPr>
                <w:rFonts w:hint="default" w:ascii="Times New Roman" w:hAnsi="Times New Roman" w:eastAsia="宋体" w:cs="Times New Roman"/>
                <w:b w:val="0"/>
                <w:bCs w:val="0"/>
                <w:color w:val="auto"/>
                <w:sz w:val="24"/>
                <w:szCs w:val="24"/>
                <w:highlight w:val="none"/>
                <w:lang w:val="en-US" w:eastAsia="zh-CN"/>
              </w:rPr>
              <w:t>可作为本项目所在区域</w:t>
            </w:r>
            <w:r>
              <w:rPr>
                <w:rFonts w:hint="eastAsia" w:ascii="Times New Roman" w:hAnsi="Times New Roman" w:eastAsia="宋体" w:cs="Times New Roman"/>
                <w:b w:val="0"/>
                <w:bCs w:val="0"/>
                <w:color w:val="auto"/>
                <w:sz w:val="24"/>
                <w:szCs w:val="24"/>
                <w:highlight w:val="none"/>
                <w:lang w:val="en-US" w:eastAsia="zh-CN"/>
              </w:rPr>
              <w:t>TSP</w:t>
            </w:r>
            <w:r>
              <w:rPr>
                <w:rFonts w:hint="default" w:ascii="Times New Roman" w:hAnsi="Times New Roman" w:eastAsia="宋体" w:cs="Times New Roman"/>
                <w:b w:val="0"/>
                <w:bCs w:val="0"/>
                <w:color w:val="auto"/>
                <w:sz w:val="24"/>
                <w:szCs w:val="24"/>
                <w:highlight w:val="none"/>
                <w:lang w:val="en-US" w:eastAsia="zh-CN"/>
              </w:rPr>
              <w:t>环境空气质量现状的参考。</w:t>
            </w:r>
          </w:p>
          <w:p>
            <w:pPr>
              <w:pStyle w:val="3"/>
              <w:bidi w:val="0"/>
              <w:rPr>
                <w:rFonts w:hint="default"/>
                <w:color w:val="auto"/>
              </w:rPr>
            </w:pPr>
            <w:r>
              <w:rPr>
                <w:rFonts w:hint="default"/>
                <w:color w:val="auto"/>
              </w:rPr>
              <w:t>3.2水环境质量现状</w:t>
            </w:r>
          </w:p>
          <w:p>
            <w:pPr>
              <w:pStyle w:val="4"/>
              <w:bidi w:val="0"/>
              <w:rPr>
                <w:color w:val="auto"/>
              </w:rPr>
            </w:pPr>
            <w:r>
              <w:rPr>
                <w:color w:val="auto"/>
              </w:rPr>
              <w:t>3.2.1地表水功能区划</w:t>
            </w:r>
          </w:p>
          <w:p>
            <w:pPr>
              <w:bidi w:val="0"/>
              <w:rPr>
                <w:color w:val="auto"/>
              </w:rPr>
            </w:pPr>
            <w:r>
              <w:rPr>
                <w:color w:val="auto"/>
              </w:rPr>
              <w:t>⑴水环境</w:t>
            </w:r>
          </w:p>
          <w:p>
            <w:pPr>
              <w:bidi w:val="0"/>
              <w:rPr>
                <w:rFonts w:ascii="Times New Roman" w:hAnsi="Times New Roman" w:eastAsia="宋体" w:cs="Times New Roman"/>
                <w:color w:val="auto"/>
              </w:rPr>
            </w:pPr>
            <w:r>
              <w:rPr>
                <w:rFonts w:hint="default"/>
                <w:color w:val="auto"/>
                <w:lang w:eastAsia="zh-CN"/>
              </w:rPr>
              <w:t>项目周边水域为南侧的南厝河，主要水环境功能为农业用水；根据福建省人民政府准《福州市地表水环境功能区划定方案》</w:t>
            </w:r>
            <w:r>
              <w:rPr>
                <w:rFonts w:hint="default"/>
                <w:color w:val="auto"/>
                <w:lang w:val="en-US" w:eastAsia="zh-CN"/>
              </w:rPr>
              <w:t>(</w:t>
            </w:r>
            <w:r>
              <w:rPr>
                <w:rFonts w:hint="default"/>
                <w:color w:val="auto"/>
                <w:lang w:eastAsia="zh-CN"/>
              </w:rPr>
              <w:t>闽政文[2006]133号</w:t>
            </w:r>
            <w:r>
              <w:rPr>
                <w:rFonts w:hint="default"/>
                <w:color w:val="auto"/>
                <w:lang w:val="en-US" w:eastAsia="zh-CN"/>
              </w:rPr>
              <w:t>)规定，</w:t>
            </w:r>
            <w:r>
              <w:rPr>
                <w:rFonts w:hint="default"/>
                <w:color w:val="auto"/>
                <w:lang w:eastAsia="zh-CN"/>
              </w:rPr>
              <w:t>附表1、附表2表中未提到的福州市辖区范围内的其他河流、河段及湖库执行Ⅲ类标准，因此，项目周边南厝河水质执行《地表水环境质量标准》(GB3838-2002)中Ⅲ类水质标准，</w:t>
            </w:r>
            <w:r>
              <w:rPr>
                <w:color w:val="auto"/>
              </w:rPr>
              <w:t>详见表3.2-1。</w:t>
            </w:r>
          </w:p>
          <w:p>
            <w:pPr>
              <w:pStyle w:val="33"/>
              <w:bidi w:val="0"/>
              <w:rPr>
                <w:rFonts w:eastAsia="黑体"/>
                <w:color w:val="auto"/>
                <w:sz w:val="24"/>
                <w:szCs w:val="24"/>
              </w:rPr>
            </w:pPr>
            <w:r>
              <w:rPr>
                <w:color w:val="auto"/>
                <w:sz w:val="24"/>
                <w:szCs w:val="24"/>
              </w:rPr>
              <w:t>表3.2-1 地表水环境质量标准(GB3838-2002)(摘录) 单位：mg/L(pH除外)</w:t>
            </w:r>
          </w:p>
          <w:tbl>
            <w:tblPr>
              <w:tblStyle w:val="24"/>
              <w:tblW w:w="8094" w:type="dxa"/>
              <w:jc w:val="center"/>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39"/>
              <w:gridCol w:w="2404"/>
              <w:gridCol w:w="1237"/>
              <w:gridCol w:w="1198"/>
              <w:gridCol w:w="1157"/>
              <w:gridCol w:w="115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序号</w:t>
                  </w:r>
                </w:p>
              </w:tc>
              <w:tc>
                <w:tcPr>
                  <w:tcW w:w="2404" w:type="dxa"/>
                  <w:shd w:val="clear" w:color="auto" w:fill="auto"/>
                  <w:vAlign w:val="center"/>
                </w:tcPr>
                <w:p>
                  <w:pPr>
                    <w:pStyle w:val="28"/>
                    <w:bidi w:val="0"/>
                    <w:rPr>
                      <w:color w:val="auto"/>
                    </w:rPr>
                  </w:pPr>
                  <w:r>
                    <w:rPr>
                      <w:color w:val="auto"/>
                    </w:rPr>
                    <w:t>项目</w:t>
                  </w:r>
                </w:p>
              </w:tc>
              <w:tc>
                <w:tcPr>
                  <w:tcW w:w="1237" w:type="dxa"/>
                  <w:shd w:val="clear" w:color="auto" w:fill="auto"/>
                  <w:vAlign w:val="center"/>
                </w:tcPr>
                <w:p>
                  <w:pPr>
                    <w:pStyle w:val="28"/>
                    <w:bidi w:val="0"/>
                    <w:rPr>
                      <w:color w:val="auto"/>
                    </w:rPr>
                  </w:pPr>
                  <w:r>
                    <w:rPr>
                      <w:color w:val="auto"/>
                    </w:rPr>
                    <w:t>Ⅱ类</w:t>
                  </w:r>
                </w:p>
              </w:tc>
              <w:tc>
                <w:tcPr>
                  <w:tcW w:w="1198" w:type="dxa"/>
                  <w:shd w:val="clear" w:color="auto" w:fill="BEBEBE" w:themeFill="background1" w:themeFillShade="BF"/>
                  <w:vAlign w:val="center"/>
                </w:tcPr>
                <w:p>
                  <w:pPr>
                    <w:pStyle w:val="28"/>
                    <w:bidi w:val="0"/>
                    <w:rPr>
                      <w:color w:val="auto"/>
                      <w:highlight w:val="none"/>
                    </w:rPr>
                  </w:pPr>
                  <w:r>
                    <w:rPr>
                      <w:color w:val="auto"/>
                      <w:highlight w:val="none"/>
                    </w:rPr>
                    <w:t>Ⅲ类</w:t>
                  </w:r>
                </w:p>
              </w:tc>
              <w:tc>
                <w:tcPr>
                  <w:tcW w:w="1157" w:type="dxa"/>
                  <w:shd w:val="clear" w:color="auto" w:fill="FFFFFF"/>
                  <w:vAlign w:val="center"/>
                </w:tcPr>
                <w:p>
                  <w:pPr>
                    <w:pStyle w:val="28"/>
                    <w:bidi w:val="0"/>
                    <w:rPr>
                      <w:color w:val="auto"/>
                    </w:rPr>
                  </w:pPr>
                  <w:r>
                    <w:rPr>
                      <w:color w:val="auto"/>
                    </w:rPr>
                    <w:t>Ⅳ类</w:t>
                  </w:r>
                </w:p>
              </w:tc>
              <w:tc>
                <w:tcPr>
                  <w:tcW w:w="1159" w:type="dxa"/>
                  <w:vAlign w:val="center"/>
                </w:tcPr>
                <w:p>
                  <w:pPr>
                    <w:pStyle w:val="28"/>
                    <w:bidi w:val="0"/>
                    <w:rPr>
                      <w:color w:val="auto"/>
                    </w:rPr>
                  </w:pPr>
                  <w:r>
                    <w:rPr>
                      <w:color w:val="auto"/>
                    </w:rPr>
                    <w:t>Ⅴ类</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1</w:t>
                  </w:r>
                </w:p>
              </w:tc>
              <w:tc>
                <w:tcPr>
                  <w:tcW w:w="2404" w:type="dxa"/>
                  <w:shd w:val="clear" w:color="auto" w:fill="auto"/>
                  <w:vAlign w:val="center"/>
                </w:tcPr>
                <w:p>
                  <w:pPr>
                    <w:pStyle w:val="28"/>
                    <w:bidi w:val="0"/>
                    <w:rPr>
                      <w:color w:val="auto"/>
                    </w:rPr>
                  </w:pPr>
                  <w:r>
                    <w:rPr>
                      <w:color w:val="auto"/>
                    </w:rPr>
                    <w:t>pH(无量纲)</w:t>
                  </w:r>
                </w:p>
              </w:tc>
              <w:tc>
                <w:tcPr>
                  <w:tcW w:w="4751" w:type="dxa"/>
                  <w:gridSpan w:val="4"/>
                  <w:shd w:val="clear" w:color="auto" w:fill="BEBEBE" w:themeFill="background1" w:themeFillShade="BF"/>
                  <w:vAlign w:val="center"/>
                </w:tcPr>
                <w:p>
                  <w:pPr>
                    <w:pStyle w:val="28"/>
                    <w:bidi w:val="0"/>
                    <w:rPr>
                      <w:color w:val="auto"/>
                      <w:highlight w:val="none"/>
                    </w:rPr>
                  </w:pPr>
                  <w:r>
                    <w:rPr>
                      <w:color w:val="auto"/>
                      <w:highlight w:val="none"/>
                    </w:rPr>
                    <w:t>6～9</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2</w:t>
                  </w:r>
                </w:p>
              </w:tc>
              <w:tc>
                <w:tcPr>
                  <w:tcW w:w="2404" w:type="dxa"/>
                  <w:shd w:val="clear" w:color="auto" w:fill="auto"/>
                  <w:vAlign w:val="center"/>
                </w:tcPr>
                <w:p>
                  <w:pPr>
                    <w:pStyle w:val="28"/>
                    <w:bidi w:val="0"/>
                    <w:rPr>
                      <w:color w:val="auto"/>
                    </w:rPr>
                  </w:pPr>
                  <w:r>
                    <w:rPr>
                      <w:color w:val="auto"/>
                    </w:rPr>
                    <w:t>COD</w:t>
                  </w:r>
                  <w:r>
                    <w:rPr>
                      <w:color w:val="auto"/>
                      <w:vertAlign w:val="subscript"/>
                    </w:rPr>
                    <w:t>Mn</w:t>
                  </w:r>
                  <w:r>
                    <w:rPr>
                      <w:color w:val="auto"/>
                    </w:rPr>
                    <w:t>≤</w:t>
                  </w:r>
                </w:p>
              </w:tc>
              <w:tc>
                <w:tcPr>
                  <w:tcW w:w="1237" w:type="dxa"/>
                  <w:tcBorders>
                    <w:right w:val="single" w:color="auto" w:sz="4" w:space="0"/>
                  </w:tcBorders>
                  <w:shd w:val="clear" w:color="auto" w:fill="auto"/>
                  <w:vAlign w:val="center"/>
                </w:tcPr>
                <w:p>
                  <w:pPr>
                    <w:pStyle w:val="28"/>
                    <w:bidi w:val="0"/>
                    <w:rPr>
                      <w:color w:val="auto"/>
                    </w:rPr>
                  </w:pPr>
                  <w:r>
                    <w:rPr>
                      <w:color w:val="auto"/>
                    </w:rPr>
                    <w:t>4</w:t>
                  </w:r>
                </w:p>
              </w:tc>
              <w:tc>
                <w:tcPr>
                  <w:tcW w:w="1198" w:type="dxa"/>
                  <w:tcBorders>
                    <w:left w:val="single" w:color="auto" w:sz="4" w:space="0"/>
                    <w:right w:val="single" w:color="auto" w:sz="4" w:space="0"/>
                  </w:tcBorders>
                  <w:shd w:val="clear" w:color="auto" w:fill="BEBEBE" w:themeFill="background1" w:themeFillShade="BF"/>
                  <w:vAlign w:val="center"/>
                </w:tcPr>
                <w:p>
                  <w:pPr>
                    <w:pStyle w:val="28"/>
                    <w:bidi w:val="0"/>
                    <w:rPr>
                      <w:color w:val="auto"/>
                      <w:highlight w:val="none"/>
                    </w:rPr>
                  </w:pPr>
                  <w:r>
                    <w:rPr>
                      <w:color w:val="auto"/>
                      <w:highlight w:val="none"/>
                    </w:rPr>
                    <w:t>6</w:t>
                  </w:r>
                </w:p>
              </w:tc>
              <w:tc>
                <w:tcPr>
                  <w:tcW w:w="1157" w:type="dxa"/>
                  <w:tcBorders>
                    <w:left w:val="single" w:color="auto" w:sz="4" w:space="0"/>
                    <w:right w:val="single" w:color="auto" w:sz="4" w:space="0"/>
                  </w:tcBorders>
                  <w:shd w:val="clear" w:color="auto" w:fill="FFFFFF"/>
                  <w:vAlign w:val="center"/>
                </w:tcPr>
                <w:p>
                  <w:pPr>
                    <w:pStyle w:val="28"/>
                    <w:bidi w:val="0"/>
                    <w:rPr>
                      <w:color w:val="auto"/>
                    </w:rPr>
                  </w:pPr>
                  <w:r>
                    <w:rPr>
                      <w:color w:val="auto"/>
                    </w:rPr>
                    <w:t>10</w:t>
                  </w:r>
                </w:p>
              </w:tc>
              <w:tc>
                <w:tcPr>
                  <w:tcW w:w="1159" w:type="dxa"/>
                  <w:tcBorders>
                    <w:left w:val="single" w:color="auto" w:sz="4" w:space="0"/>
                  </w:tcBorders>
                  <w:vAlign w:val="center"/>
                </w:tcPr>
                <w:p>
                  <w:pPr>
                    <w:pStyle w:val="28"/>
                    <w:bidi w:val="0"/>
                    <w:rPr>
                      <w:color w:val="auto"/>
                    </w:rPr>
                  </w:pPr>
                  <w:r>
                    <w:rPr>
                      <w:color w:val="auto"/>
                    </w:rPr>
                    <w:t>15</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3</w:t>
                  </w:r>
                </w:p>
              </w:tc>
              <w:tc>
                <w:tcPr>
                  <w:tcW w:w="2404" w:type="dxa"/>
                  <w:shd w:val="clear" w:color="auto" w:fill="auto"/>
                  <w:vAlign w:val="center"/>
                </w:tcPr>
                <w:p>
                  <w:pPr>
                    <w:pStyle w:val="28"/>
                    <w:bidi w:val="0"/>
                    <w:rPr>
                      <w:color w:val="auto"/>
                    </w:rPr>
                  </w:pPr>
                  <w:r>
                    <w:rPr>
                      <w:color w:val="auto"/>
                    </w:rPr>
                    <w:t>DO</w:t>
                  </w:r>
                  <w:r>
                    <w:rPr>
                      <w:rFonts w:hint="eastAsia"/>
                      <w:color w:val="auto"/>
                    </w:rPr>
                    <w:t>≥</w:t>
                  </w:r>
                </w:p>
              </w:tc>
              <w:tc>
                <w:tcPr>
                  <w:tcW w:w="1237" w:type="dxa"/>
                  <w:shd w:val="clear" w:color="auto" w:fill="auto"/>
                  <w:vAlign w:val="center"/>
                </w:tcPr>
                <w:p>
                  <w:pPr>
                    <w:pStyle w:val="28"/>
                    <w:bidi w:val="0"/>
                    <w:rPr>
                      <w:color w:val="auto"/>
                    </w:rPr>
                  </w:pPr>
                  <w:r>
                    <w:rPr>
                      <w:color w:val="auto"/>
                    </w:rPr>
                    <w:t>6</w:t>
                  </w:r>
                </w:p>
              </w:tc>
              <w:tc>
                <w:tcPr>
                  <w:tcW w:w="1198" w:type="dxa"/>
                  <w:shd w:val="clear" w:color="auto" w:fill="BEBEBE" w:themeFill="background1" w:themeFillShade="BF"/>
                  <w:vAlign w:val="center"/>
                </w:tcPr>
                <w:p>
                  <w:pPr>
                    <w:pStyle w:val="28"/>
                    <w:bidi w:val="0"/>
                    <w:rPr>
                      <w:color w:val="auto"/>
                      <w:highlight w:val="none"/>
                    </w:rPr>
                  </w:pPr>
                  <w:r>
                    <w:rPr>
                      <w:color w:val="auto"/>
                      <w:highlight w:val="none"/>
                    </w:rPr>
                    <w:t>5</w:t>
                  </w:r>
                </w:p>
              </w:tc>
              <w:tc>
                <w:tcPr>
                  <w:tcW w:w="1157" w:type="dxa"/>
                  <w:shd w:val="clear" w:color="auto" w:fill="FFFFFF"/>
                  <w:vAlign w:val="center"/>
                </w:tcPr>
                <w:p>
                  <w:pPr>
                    <w:pStyle w:val="28"/>
                    <w:bidi w:val="0"/>
                    <w:rPr>
                      <w:color w:val="auto"/>
                    </w:rPr>
                  </w:pPr>
                  <w:r>
                    <w:rPr>
                      <w:color w:val="auto"/>
                    </w:rPr>
                    <w:t>3</w:t>
                  </w:r>
                </w:p>
              </w:tc>
              <w:tc>
                <w:tcPr>
                  <w:tcW w:w="1159" w:type="dxa"/>
                  <w:vAlign w:val="center"/>
                </w:tcPr>
                <w:p>
                  <w:pPr>
                    <w:pStyle w:val="28"/>
                    <w:bidi w:val="0"/>
                    <w:rPr>
                      <w:color w:val="auto"/>
                    </w:rPr>
                  </w:pPr>
                  <w:r>
                    <w:rPr>
                      <w:color w:val="auto"/>
                    </w:rPr>
                    <w:t>2</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4</w:t>
                  </w:r>
                </w:p>
              </w:tc>
              <w:tc>
                <w:tcPr>
                  <w:tcW w:w="2404" w:type="dxa"/>
                  <w:shd w:val="clear" w:color="auto" w:fill="auto"/>
                  <w:vAlign w:val="center"/>
                </w:tcPr>
                <w:p>
                  <w:pPr>
                    <w:pStyle w:val="28"/>
                    <w:bidi w:val="0"/>
                    <w:rPr>
                      <w:color w:val="auto"/>
                    </w:rPr>
                  </w:pPr>
                  <w:r>
                    <w:rPr>
                      <w:color w:val="auto"/>
                    </w:rPr>
                    <w:t>NH</w:t>
                  </w:r>
                  <w:r>
                    <w:rPr>
                      <w:color w:val="auto"/>
                      <w:vertAlign w:val="subscript"/>
                    </w:rPr>
                    <w:t>3</w:t>
                  </w:r>
                  <w:r>
                    <w:rPr>
                      <w:color w:val="auto"/>
                    </w:rPr>
                    <w:t>-N≤</w:t>
                  </w:r>
                </w:p>
              </w:tc>
              <w:tc>
                <w:tcPr>
                  <w:tcW w:w="1237" w:type="dxa"/>
                  <w:shd w:val="clear" w:color="auto" w:fill="auto"/>
                  <w:vAlign w:val="center"/>
                </w:tcPr>
                <w:p>
                  <w:pPr>
                    <w:pStyle w:val="28"/>
                    <w:bidi w:val="0"/>
                    <w:rPr>
                      <w:color w:val="auto"/>
                    </w:rPr>
                  </w:pPr>
                  <w:r>
                    <w:rPr>
                      <w:color w:val="auto"/>
                    </w:rPr>
                    <w:t>0.5</w:t>
                  </w:r>
                </w:p>
              </w:tc>
              <w:tc>
                <w:tcPr>
                  <w:tcW w:w="1198" w:type="dxa"/>
                  <w:shd w:val="clear" w:color="auto" w:fill="BEBEBE" w:themeFill="background1" w:themeFillShade="BF"/>
                  <w:vAlign w:val="center"/>
                </w:tcPr>
                <w:p>
                  <w:pPr>
                    <w:pStyle w:val="28"/>
                    <w:bidi w:val="0"/>
                    <w:rPr>
                      <w:color w:val="auto"/>
                      <w:highlight w:val="none"/>
                    </w:rPr>
                  </w:pPr>
                  <w:r>
                    <w:rPr>
                      <w:color w:val="auto"/>
                      <w:highlight w:val="none"/>
                    </w:rPr>
                    <w:t>1.0</w:t>
                  </w:r>
                </w:p>
              </w:tc>
              <w:tc>
                <w:tcPr>
                  <w:tcW w:w="1157" w:type="dxa"/>
                  <w:shd w:val="clear" w:color="auto" w:fill="FFFFFF"/>
                  <w:vAlign w:val="center"/>
                </w:tcPr>
                <w:p>
                  <w:pPr>
                    <w:pStyle w:val="28"/>
                    <w:bidi w:val="0"/>
                    <w:rPr>
                      <w:color w:val="auto"/>
                    </w:rPr>
                  </w:pPr>
                  <w:r>
                    <w:rPr>
                      <w:color w:val="auto"/>
                    </w:rPr>
                    <w:t>1.5</w:t>
                  </w:r>
                </w:p>
              </w:tc>
              <w:tc>
                <w:tcPr>
                  <w:tcW w:w="1159" w:type="dxa"/>
                  <w:vAlign w:val="center"/>
                </w:tcPr>
                <w:p>
                  <w:pPr>
                    <w:pStyle w:val="28"/>
                    <w:bidi w:val="0"/>
                    <w:rPr>
                      <w:color w:val="auto"/>
                    </w:rPr>
                  </w:pPr>
                  <w:r>
                    <w:rPr>
                      <w:color w:val="auto"/>
                    </w:rPr>
                    <w:t>2.0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color w:val="auto"/>
                    </w:rPr>
                    <w:t>5</w:t>
                  </w:r>
                </w:p>
              </w:tc>
              <w:tc>
                <w:tcPr>
                  <w:tcW w:w="2404" w:type="dxa"/>
                  <w:shd w:val="clear" w:color="auto" w:fill="auto"/>
                  <w:vAlign w:val="center"/>
                </w:tcPr>
                <w:p>
                  <w:pPr>
                    <w:pStyle w:val="28"/>
                    <w:bidi w:val="0"/>
                    <w:rPr>
                      <w:color w:val="auto"/>
                    </w:rPr>
                  </w:pPr>
                  <w:r>
                    <w:rPr>
                      <w:color w:val="auto"/>
                    </w:rPr>
                    <w:t>BOD</w:t>
                  </w:r>
                  <w:r>
                    <w:rPr>
                      <w:color w:val="auto"/>
                      <w:vertAlign w:val="subscript"/>
                    </w:rPr>
                    <w:t>5</w:t>
                  </w:r>
                  <w:r>
                    <w:rPr>
                      <w:color w:val="auto"/>
                    </w:rPr>
                    <w:t>≤</w:t>
                  </w:r>
                </w:p>
              </w:tc>
              <w:tc>
                <w:tcPr>
                  <w:tcW w:w="1237" w:type="dxa"/>
                  <w:shd w:val="clear" w:color="auto" w:fill="auto"/>
                  <w:vAlign w:val="center"/>
                </w:tcPr>
                <w:p>
                  <w:pPr>
                    <w:pStyle w:val="28"/>
                    <w:bidi w:val="0"/>
                    <w:rPr>
                      <w:color w:val="auto"/>
                    </w:rPr>
                  </w:pPr>
                  <w:r>
                    <w:rPr>
                      <w:color w:val="auto"/>
                    </w:rPr>
                    <w:t>3</w:t>
                  </w:r>
                </w:p>
              </w:tc>
              <w:tc>
                <w:tcPr>
                  <w:tcW w:w="1198" w:type="dxa"/>
                  <w:shd w:val="clear" w:color="auto" w:fill="BEBEBE" w:themeFill="background1" w:themeFillShade="BF"/>
                  <w:vAlign w:val="center"/>
                </w:tcPr>
                <w:p>
                  <w:pPr>
                    <w:pStyle w:val="28"/>
                    <w:bidi w:val="0"/>
                    <w:rPr>
                      <w:color w:val="auto"/>
                      <w:highlight w:val="none"/>
                    </w:rPr>
                  </w:pPr>
                  <w:r>
                    <w:rPr>
                      <w:color w:val="auto"/>
                      <w:highlight w:val="none"/>
                    </w:rPr>
                    <w:t>4</w:t>
                  </w:r>
                </w:p>
              </w:tc>
              <w:tc>
                <w:tcPr>
                  <w:tcW w:w="1157" w:type="dxa"/>
                  <w:shd w:val="clear" w:color="auto" w:fill="FFFFFF"/>
                  <w:vAlign w:val="center"/>
                </w:tcPr>
                <w:p>
                  <w:pPr>
                    <w:pStyle w:val="28"/>
                    <w:bidi w:val="0"/>
                    <w:rPr>
                      <w:color w:val="auto"/>
                    </w:rPr>
                  </w:pPr>
                  <w:r>
                    <w:rPr>
                      <w:color w:val="auto"/>
                    </w:rPr>
                    <w:t>6</w:t>
                  </w:r>
                </w:p>
              </w:tc>
              <w:tc>
                <w:tcPr>
                  <w:tcW w:w="1159" w:type="dxa"/>
                  <w:vAlign w:val="center"/>
                </w:tcPr>
                <w:p>
                  <w:pPr>
                    <w:pStyle w:val="28"/>
                    <w:bidi w:val="0"/>
                    <w:rPr>
                      <w:color w:val="auto"/>
                    </w:rPr>
                  </w:pPr>
                  <w:r>
                    <w:rPr>
                      <w:color w:val="auto"/>
                    </w:rPr>
                    <w:t>10</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Ex>
              <w:trPr>
                <w:cantSplit/>
                <w:trHeight w:val="397" w:hRule="atLeast"/>
                <w:jc w:val="center"/>
              </w:trPr>
              <w:tc>
                <w:tcPr>
                  <w:tcW w:w="939" w:type="dxa"/>
                  <w:shd w:val="clear" w:color="auto" w:fill="auto"/>
                  <w:vAlign w:val="center"/>
                </w:tcPr>
                <w:p>
                  <w:pPr>
                    <w:pStyle w:val="28"/>
                    <w:bidi w:val="0"/>
                    <w:rPr>
                      <w:color w:val="auto"/>
                    </w:rPr>
                  </w:pPr>
                  <w:r>
                    <w:rPr>
                      <w:rFonts w:hint="eastAsia"/>
                      <w:color w:val="auto"/>
                    </w:rPr>
                    <w:t>6</w:t>
                  </w:r>
                </w:p>
              </w:tc>
              <w:tc>
                <w:tcPr>
                  <w:tcW w:w="2404" w:type="dxa"/>
                  <w:shd w:val="clear" w:color="auto" w:fill="auto"/>
                  <w:vAlign w:val="center"/>
                </w:tcPr>
                <w:p>
                  <w:pPr>
                    <w:pStyle w:val="28"/>
                    <w:bidi w:val="0"/>
                    <w:rPr>
                      <w:color w:val="auto"/>
                    </w:rPr>
                  </w:pPr>
                  <w:r>
                    <w:rPr>
                      <w:rFonts w:hint="eastAsia"/>
                      <w:color w:val="auto"/>
                    </w:rPr>
                    <w:t>TP</w:t>
                  </w:r>
                  <w:r>
                    <w:rPr>
                      <w:color w:val="auto"/>
                    </w:rPr>
                    <w:t>≤</w:t>
                  </w:r>
                </w:p>
              </w:tc>
              <w:tc>
                <w:tcPr>
                  <w:tcW w:w="1237" w:type="dxa"/>
                  <w:shd w:val="clear" w:color="auto" w:fill="auto"/>
                  <w:vAlign w:val="center"/>
                </w:tcPr>
                <w:p>
                  <w:pPr>
                    <w:pStyle w:val="28"/>
                    <w:bidi w:val="0"/>
                    <w:rPr>
                      <w:rFonts w:hint="eastAsia"/>
                      <w:color w:val="auto"/>
                      <w:lang w:eastAsia="zh-CN"/>
                    </w:rPr>
                  </w:pPr>
                  <w:r>
                    <w:rPr>
                      <w:rFonts w:hint="eastAsia"/>
                      <w:color w:val="auto"/>
                    </w:rPr>
                    <w:t>0.</w:t>
                  </w:r>
                  <w:r>
                    <w:rPr>
                      <w:rFonts w:hint="eastAsia"/>
                      <w:color w:val="auto"/>
                      <w:lang w:val="en-US" w:eastAsia="zh-CN"/>
                    </w:rPr>
                    <w:t>1</w:t>
                  </w:r>
                </w:p>
              </w:tc>
              <w:tc>
                <w:tcPr>
                  <w:tcW w:w="1198" w:type="dxa"/>
                  <w:shd w:val="clear" w:color="auto" w:fill="BEBEBE" w:themeFill="background1" w:themeFillShade="BF"/>
                  <w:vAlign w:val="center"/>
                </w:tcPr>
                <w:p>
                  <w:pPr>
                    <w:pStyle w:val="28"/>
                    <w:bidi w:val="0"/>
                    <w:rPr>
                      <w:color w:val="auto"/>
                      <w:highlight w:val="none"/>
                    </w:rPr>
                  </w:pPr>
                  <w:r>
                    <w:rPr>
                      <w:rFonts w:hint="eastAsia"/>
                      <w:color w:val="auto"/>
                      <w:highlight w:val="none"/>
                    </w:rPr>
                    <w:t>0.2</w:t>
                  </w:r>
                </w:p>
              </w:tc>
              <w:tc>
                <w:tcPr>
                  <w:tcW w:w="1157" w:type="dxa"/>
                  <w:shd w:val="clear" w:color="auto" w:fill="FFFFFF"/>
                  <w:vAlign w:val="center"/>
                </w:tcPr>
                <w:p>
                  <w:pPr>
                    <w:pStyle w:val="28"/>
                    <w:bidi w:val="0"/>
                    <w:rPr>
                      <w:color w:val="auto"/>
                    </w:rPr>
                  </w:pPr>
                  <w:r>
                    <w:rPr>
                      <w:rFonts w:hint="eastAsia"/>
                      <w:color w:val="auto"/>
                    </w:rPr>
                    <w:t>0.3</w:t>
                  </w:r>
                </w:p>
              </w:tc>
              <w:tc>
                <w:tcPr>
                  <w:tcW w:w="1159" w:type="dxa"/>
                  <w:vAlign w:val="center"/>
                </w:tcPr>
                <w:p>
                  <w:pPr>
                    <w:pStyle w:val="28"/>
                    <w:bidi w:val="0"/>
                    <w:rPr>
                      <w:color w:val="auto"/>
                    </w:rPr>
                  </w:pPr>
                  <w:r>
                    <w:rPr>
                      <w:rFonts w:hint="eastAsia"/>
                      <w:color w:val="auto"/>
                    </w:rPr>
                    <w:t>0.4</w:t>
                  </w:r>
                </w:p>
              </w:tc>
            </w:tr>
          </w:tbl>
          <w:p>
            <w:pPr>
              <w:pStyle w:val="4"/>
              <w:bidi w:val="0"/>
              <w:rPr>
                <w:rFonts w:hint="default"/>
                <w:color w:val="auto"/>
              </w:rPr>
            </w:pPr>
            <w:r>
              <w:rPr>
                <w:rFonts w:hint="default"/>
                <w:color w:val="auto"/>
              </w:rPr>
              <w:t>3.2.</w:t>
            </w:r>
            <w:r>
              <w:rPr>
                <w:rFonts w:hint="default"/>
                <w:color w:val="auto"/>
                <w:lang w:val="en-US" w:eastAsia="zh-CN"/>
              </w:rPr>
              <w:t>2</w:t>
            </w:r>
            <w:r>
              <w:rPr>
                <w:rFonts w:hint="default"/>
                <w:color w:val="auto"/>
              </w:rPr>
              <w:t>水环境质量现状</w:t>
            </w:r>
          </w:p>
          <w:p>
            <w:pPr>
              <w:numPr>
                <w:ilvl w:val="0"/>
                <w:numId w:val="0"/>
              </w:numPr>
              <w:ind w:left="480"/>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）地表水</w:t>
            </w:r>
            <w:r>
              <w:rPr>
                <w:rFonts w:hint="default" w:ascii="Times New Roman" w:hAnsi="Times New Roman" w:eastAsia="宋体" w:cs="Times New Roman"/>
                <w:b/>
                <w:bCs/>
                <w:color w:val="auto"/>
                <w:sz w:val="24"/>
                <w:szCs w:val="24"/>
              </w:rPr>
              <w:t>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为了解建设项目区域水环境质量现状，本评价引用</w:t>
            </w:r>
            <w:r>
              <w:rPr>
                <w:rFonts w:hint="eastAsia" w:cs="Times New Roman"/>
                <w:color w:val="auto"/>
                <w:sz w:val="24"/>
                <w:szCs w:val="24"/>
                <w:lang w:val="en-US" w:eastAsia="zh-CN"/>
              </w:rPr>
              <w:t>福建省生态环境厅</w:t>
            </w:r>
            <w:r>
              <w:rPr>
                <w:rFonts w:hint="eastAsia" w:ascii="Times New Roman" w:hAnsi="Times New Roman" w:eastAsia="宋体" w:cs="Times New Roman"/>
                <w:color w:val="auto"/>
                <w:sz w:val="24"/>
                <w:szCs w:val="24"/>
                <w:lang w:val="en-US" w:eastAsia="zh-CN"/>
              </w:rPr>
              <w:t>发布的《福建省流域水环境质量状况202</w:t>
            </w:r>
            <w:r>
              <w:rPr>
                <w:rFonts w:hint="eastAsia" w:cs="Times New Roman"/>
                <w:color w:val="auto"/>
                <w:sz w:val="24"/>
                <w:szCs w:val="24"/>
                <w:lang w:val="en-US" w:eastAsia="zh-CN"/>
              </w:rPr>
              <w:t>4</w:t>
            </w:r>
            <w:r>
              <w:rPr>
                <w:rFonts w:hint="eastAsia" w:ascii="Times New Roman" w:hAnsi="Times New Roman" w:eastAsia="宋体" w:cs="Times New Roman"/>
                <w:color w:val="auto"/>
                <w:sz w:val="24"/>
                <w:szCs w:val="24"/>
                <w:lang w:val="en-US" w:eastAsia="zh-CN"/>
              </w:rPr>
              <w:t>年》：2024年，全省主要流域总体水质为优，国控断面Ⅰ～Ⅲ类水质比例100％,Ⅰ～Ⅱ类水质比例77.1％；国控及省控断面Ⅰ～Ⅲ类水质比例99.7％，其中Ⅰ～Ⅱ类水质比例80.0％，各类水质比例如下：Ⅰ类占2.4％，Ⅱ类占77.6％，Ⅲ类占19.7％，Ⅳ类占0.3％，无Ⅴ类和劣Ⅴ类水。（</w:t>
            </w:r>
            <w:r>
              <w:rPr>
                <w:rFonts w:hint="eastAsia" w:ascii="Times New Roman" w:hAnsi="Times New Roman" w:eastAsia="宋体" w:cs="Times New Roman"/>
                <w:color w:val="auto"/>
                <w:sz w:val="24"/>
                <w:szCs w:val="24"/>
                <w:highlight w:val="none"/>
                <w:lang w:val="en-US" w:eastAsia="zh-CN"/>
              </w:rPr>
              <w:t>详见附图</w:t>
            </w:r>
            <w:r>
              <w:rPr>
                <w:rFonts w:hint="eastAsia" w:cs="Times New Roman"/>
                <w:color w:val="auto"/>
                <w:sz w:val="24"/>
                <w:szCs w:val="24"/>
                <w:highlight w:val="none"/>
                <w:lang w:val="en-US" w:eastAsia="zh-CN"/>
              </w:rPr>
              <w:t>十一</w:t>
            </w:r>
            <w:r>
              <w:rPr>
                <w:rFonts w:hint="eastAsia" w:ascii="Times New Roman" w:hAnsi="Times New Roman" w:eastAsia="宋体" w:cs="Times New Roman"/>
                <w:color w:val="auto"/>
                <w:sz w:val="24"/>
                <w:szCs w:val="24"/>
                <w:lang w:val="en-US" w:eastAsia="zh-CN"/>
              </w:rPr>
              <w:t>）。</w:t>
            </w:r>
          </w:p>
          <w:p>
            <w:pPr>
              <w:numPr>
                <w:ilvl w:val="0"/>
                <w:numId w:val="0"/>
              </w:numPr>
              <w:autoSpaceDE w:val="0"/>
              <w:autoSpaceDN w:val="0"/>
              <w:spacing w:line="360" w:lineRule="auto"/>
              <w:ind w:left="0" w:leftChars="0" w:firstLine="482" w:firstLineChars="200"/>
              <w:textAlignment w:val="bottom"/>
              <w:rPr>
                <w:rFonts w:hint="default" w:cs="Times New Roman"/>
                <w:color w:val="auto"/>
                <w:sz w:val="24"/>
                <w:szCs w:val="24"/>
                <w:highlight w:val="none"/>
                <w:lang w:val="en-US" w:eastAsia="zh-CN"/>
              </w:rPr>
            </w:pP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kern w:val="2"/>
                <w:sz w:val="24"/>
                <w:szCs w:val="24"/>
                <w:lang w:val="en-US" w:eastAsia="zh-CN" w:bidi="ar-SA"/>
              </w:rPr>
              <w:t>2</w:t>
            </w:r>
            <w:r>
              <w:rPr>
                <w:rFonts w:hint="default" w:ascii="Times New Roman" w:hAnsi="Times New Roman" w:eastAsia="宋体" w:cs="Times New Roman"/>
                <w:b/>
                <w:bCs/>
                <w:color w:val="auto"/>
                <w:kern w:val="2"/>
                <w:sz w:val="24"/>
                <w:szCs w:val="24"/>
                <w:lang w:val="en-US" w:eastAsia="zh-CN" w:bidi="ar-SA"/>
              </w:rPr>
              <w:t>）</w:t>
            </w:r>
            <w:r>
              <w:rPr>
                <w:rFonts w:hint="eastAsia" w:cs="Times New Roman"/>
                <w:b/>
                <w:bCs/>
                <w:color w:val="auto"/>
                <w:sz w:val="24"/>
                <w:szCs w:val="24"/>
                <w:highlight w:val="none"/>
                <w:lang w:val="en-US" w:eastAsia="zh-CN"/>
              </w:rPr>
              <w:t>海水水质现状调查</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val="en-US" w:eastAsia="zh-CN"/>
              </w:rPr>
            </w:pPr>
            <w:r>
              <w:rPr>
                <w:rFonts w:hint="eastAsia" w:cs="Times New Roman"/>
                <w:color w:val="auto"/>
                <w:sz w:val="24"/>
                <w:szCs w:val="24"/>
                <w:highlight w:val="none"/>
                <w:lang w:val="en-US" w:eastAsia="zh-CN"/>
              </w:rPr>
              <w:t>根据福建省生态环境厅发布的</w:t>
            </w:r>
            <w:r>
              <w:rPr>
                <w:rFonts w:hint="eastAsia" w:ascii="Times New Roman" w:hAnsi="Times New Roman" w:eastAsia="宋体" w:cs="Times New Roman"/>
                <w:color w:val="auto"/>
                <w:sz w:val="24"/>
                <w:szCs w:val="24"/>
                <w:lang w:val="en-US" w:eastAsia="zh-CN"/>
              </w:rPr>
              <w:t>《福建省近岸海域水质状况》：2024年1-11月，全省近岸海域水质状况如下：按照面积法评价，国控点位优良（一、二类）水质比例92.6%，各类水质比例如下：一类占72.7％，二类占19.9％，三类占2.8％，四类占3.1％，劣四类占1.5％；国省控点位优良（一、二类）水质比例为92.4%。按照点位法评价，国控点位优良（一、二类）水质比例85.2%，国省控点位优良（一、二类）水质比例为81.3%。（详见附图</w:t>
            </w:r>
            <w:r>
              <w:rPr>
                <w:rFonts w:hint="eastAsia" w:cs="Times New Roman"/>
                <w:color w:val="auto"/>
                <w:sz w:val="24"/>
                <w:szCs w:val="24"/>
                <w:lang w:val="en-US" w:eastAsia="zh-CN"/>
              </w:rPr>
              <w:t>十二</w:t>
            </w:r>
            <w:r>
              <w:rPr>
                <w:rFonts w:hint="eastAsia" w:ascii="Times New Roman" w:hAnsi="Times New Roman" w:eastAsia="宋体" w:cs="Times New Roman"/>
                <w:color w:val="auto"/>
                <w:sz w:val="24"/>
                <w:szCs w:val="24"/>
                <w:lang w:val="en-US" w:eastAsia="zh-CN"/>
              </w:rPr>
              <w:t>）。</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yellow"/>
                <w:lang w:val="en-US" w:eastAsia="zh-CN"/>
              </w:rPr>
            </w:pPr>
            <w:r>
              <w:rPr>
                <w:rFonts w:hint="eastAsia" w:ascii="Times New Roman" w:hAnsi="Times New Roman" w:eastAsia="宋体" w:cs="Times New Roman"/>
                <w:color w:val="auto"/>
                <w:sz w:val="24"/>
                <w:szCs w:val="24"/>
                <w:highlight w:val="none"/>
                <w:lang w:eastAsia="zh-CN"/>
              </w:rPr>
              <w:t>本项目</w:t>
            </w:r>
            <w:r>
              <w:rPr>
                <w:rFonts w:hint="eastAsia" w:ascii="Times New Roman" w:hAnsi="Times New Roman" w:eastAsia="宋体" w:cs="Times New Roman"/>
                <w:color w:val="auto"/>
                <w:sz w:val="24"/>
                <w:szCs w:val="24"/>
                <w:highlight w:val="none"/>
                <w:lang w:val="en-US" w:eastAsia="zh-CN"/>
              </w:rPr>
              <w:t>设备清洗废水、地面冲洗废水、</w:t>
            </w:r>
            <w:r>
              <w:rPr>
                <w:rFonts w:hint="eastAsia" w:cs="Times New Roman"/>
                <w:color w:val="auto"/>
                <w:sz w:val="24"/>
                <w:szCs w:val="24"/>
                <w:highlight w:val="none"/>
                <w:lang w:val="en-US" w:eastAsia="zh-CN"/>
              </w:rPr>
              <w:t>试验清洗废水、收集初期雨水</w:t>
            </w:r>
            <w:r>
              <w:rPr>
                <w:rFonts w:hint="eastAsia" w:ascii="Times New Roman" w:hAnsi="Times New Roman" w:eastAsia="宋体" w:cs="Times New Roman"/>
                <w:color w:val="auto"/>
                <w:sz w:val="24"/>
                <w:szCs w:val="24"/>
                <w:highlight w:val="none"/>
                <w:lang w:val="en-US" w:eastAsia="zh-CN"/>
              </w:rPr>
              <w:t>经生产废水处理系统处理后</w:t>
            </w:r>
            <w:r>
              <w:rPr>
                <w:rFonts w:hint="eastAsia" w:ascii="Times New Roman" w:hAnsi="Times New Roman" w:eastAsia="宋体" w:cs="Times New Roman"/>
                <w:color w:val="auto"/>
                <w:sz w:val="24"/>
                <w:szCs w:val="24"/>
                <w:highlight w:val="none"/>
                <w:lang w:eastAsia="zh-CN"/>
              </w:rPr>
              <w:t>全部回用，不外排；</w:t>
            </w:r>
            <w:r>
              <w:rPr>
                <w:rFonts w:hint="eastAsia" w:cs="Times New Roman"/>
                <w:color w:val="auto"/>
                <w:sz w:val="24"/>
                <w:szCs w:val="24"/>
                <w:highlight w:val="none"/>
                <w:lang w:val="en-US" w:eastAsia="zh-CN"/>
              </w:rPr>
              <w:t>厂区职工</w:t>
            </w:r>
            <w:r>
              <w:rPr>
                <w:rFonts w:hint="eastAsia" w:ascii="Times New Roman" w:hAnsi="Times New Roman" w:eastAsia="宋体" w:cs="Times New Roman"/>
                <w:color w:val="auto"/>
                <w:sz w:val="24"/>
                <w:szCs w:val="24"/>
                <w:highlight w:val="none"/>
                <w:lang w:eastAsia="zh-CN"/>
              </w:rPr>
              <w:t>生活污水</w:t>
            </w:r>
            <w:r>
              <w:rPr>
                <w:rFonts w:hint="eastAsia" w:cs="Times New Roman"/>
                <w:color w:val="auto"/>
                <w:sz w:val="24"/>
                <w:szCs w:val="24"/>
                <w:highlight w:val="none"/>
                <w:lang w:val="en-US" w:eastAsia="zh-CN"/>
              </w:rPr>
              <w:t>纳入</w:t>
            </w:r>
            <w:r>
              <w:rPr>
                <w:rFonts w:hint="eastAsia" w:ascii="Times New Roman" w:hAnsi="Times New Roman" w:eastAsia="宋体" w:cs="Times New Roman"/>
                <w:color w:val="auto"/>
                <w:sz w:val="24"/>
                <w:szCs w:val="24"/>
                <w:highlight w:val="none"/>
                <w:lang w:eastAsia="zh-CN"/>
              </w:rPr>
              <w:t>厂区化粪池</w:t>
            </w:r>
            <w:r>
              <w:rPr>
                <w:rFonts w:hint="eastAsia" w:cs="Times New Roman"/>
                <w:color w:val="auto"/>
                <w:sz w:val="24"/>
                <w:szCs w:val="24"/>
                <w:highlight w:val="none"/>
                <w:lang w:val="en-US" w:eastAsia="zh-CN"/>
              </w:rPr>
              <w:t>+一体化污水处理设施</w:t>
            </w:r>
            <w:r>
              <w:rPr>
                <w:rFonts w:hint="eastAsia" w:ascii="Times New Roman" w:hAnsi="Times New Roman" w:eastAsia="宋体" w:cs="Times New Roman"/>
                <w:color w:val="auto"/>
                <w:sz w:val="24"/>
                <w:szCs w:val="24"/>
                <w:highlight w:val="none"/>
                <w:lang w:eastAsia="zh-CN"/>
              </w:rPr>
              <w:t>处理，</w:t>
            </w:r>
            <w:r>
              <w:rPr>
                <w:rFonts w:hint="eastAsia" w:cs="Times New Roman"/>
                <w:color w:val="auto"/>
                <w:sz w:val="24"/>
                <w:szCs w:val="24"/>
                <w:highlight w:val="none"/>
                <w:lang w:val="en-US" w:eastAsia="zh-CN"/>
              </w:rPr>
              <w:t>近期回用于厂区绿化灌溉</w:t>
            </w:r>
            <w:r>
              <w:rPr>
                <w:rFonts w:hint="eastAsia" w:ascii="Times New Roman" w:hAnsi="Times New Roman" w:eastAsia="宋体" w:cs="Times New Roman"/>
                <w:color w:val="auto"/>
                <w:sz w:val="24"/>
                <w:szCs w:val="24"/>
                <w:highlight w:val="none"/>
                <w:lang w:eastAsia="zh-CN"/>
              </w:rPr>
              <w:t>，远期待项目周边市政污水管网及相关配套设施建成后，统一接入当地市政污水处理系统排放处理</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项目周期内所产生废水均不外排</w:t>
            </w:r>
            <w:r>
              <w:rPr>
                <w:rFonts w:hint="eastAsia" w:ascii="Times New Roman" w:hAnsi="Times New Roman" w:eastAsia="宋体" w:cs="Times New Roman"/>
                <w:color w:val="auto"/>
                <w:sz w:val="24"/>
                <w:szCs w:val="24"/>
                <w:highlight w:val="none"/>
                <w:lang w:eastAsia="zh-CN"/>
              </w:rPr>
              <w:t>入周边地表水体。几乎不会改变周边水环境质量现状。</w:t>
            </w:r>
          </w:p>
          <w:p>
            <w:pPr>
              <w:autoSpaceDE w:val="0"/>
              <w:autoSpaceDN w:val="0"/>
              <w:spacing w:line="360" w:lineRule="auto"/>
              <w:ind w:firstLine="480" w:firstLineChars="200"/>
              <w:textAlignment w:val="bottom"/>
              <w:rPr>
                <w:rFonts w:hint="default"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w:t>
            </w:r>
            <w:r>
              <w:rPr>
                <w:rFonts w:hint="eastAsia"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引用资料的有效性分析</w:t>
            </w:r>
          </w:p>
          <w:p>
            <w:pPr>
              <w:autoSpaceDE w:val="0"/>
              <w:autoSpaceDN w:val="0"/>
              <w:spacing w:line="360" w:lineRule="auto"/>
              <w:ind w:firstLine="480" w:firstLineChars="200"/>
              <w:textAlignment w:val="bottom"/>
              <w:rPr>
                <w:rFonts w:ascii="Times New Roman" w:hAnsi="Times New Roman" w:eastAsia="宋体"/>
                <w:color w:val="auto"/>
                <w:sz w:val="24"/>
                <w:szCs w:val="24"/>
              </w:rPr>
            </w:pPr>
            <w:r>
              <w:rPr>
                <w:rFonts w:hint="default" w:ascii="Times New Roman" w:hAnsi="Times New Roman" w:eastAsia="宋体" w:cs="Times New Roman"/>
                <w:color w:val="auto"/>
                <w:sz w:val="24"/>
                <w:szCs w:val="24"/>
                <w:highlight w:val="none"/>
              </w:rPr>
              <w:t>根据《建设项目环境影响报告表编制技术指南</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污染影响类</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试行</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环办环评〔2020〕33号</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eastAsia="zh-CN"/>
              </w:rPr>
              <w:t>本次</w:t>
            </w:r>
            <w:r>
              <w:rPr>
                <w:rFonts w:ascii="Times New Roman" w:hAnsi="Times New Roman" w:eastAsia="宋体"/>
                <w:color w:val="auto"/>
                <w:sz w:val="24"/>
                <w:szCs w:val="24"/>
              </w:rPr>
              <w:t>评价选取</w:t>
            </w:r>
            <w:r>
              <w:rPr>
                <w:rFonts w:hint="eastAsia" w:ascii="Times New Roman" w:hAnsi="Times New Roman" w:eastAsia="宋体"/>
                <w:color w:val="auto"/>
                <w:sz w:val="24"/>
                <w:szCs w:val="24"/>
                <w:lang w:val="en-US" w:eastAsia="zh-CN"/>
              </w:rPr>
              <w:t>福建省生态环境厅发布的</w:t>
            </w:r>
            <w:r>
              <w:rPr>
                <w:rFonts w:ascii="Times New Roman" w:hAnsi="Times New Roman" w:eastAsia="宋体"/>
                <w:color w:val="auto"/>
                <w:sz w:val="24"/>
                <w:szCs w:val="24"/>
              </w:rPr>
              <w:t>水环境</w:t>
            </w:r>
            <w:r>
              <w:rPr>
                <w:rFonts w:hint="eastAsia" w:ascii="Times New Roman" w:hAnsi="Times New Roman" w:eastAsia="宋体"/>
                <w:color w:val="auto"/>
                <w:sz w:val="24"/>
                <w:szCs w:val="24"/>
                <w:lang w:val="en-US" w:eastAsia="zh-CN"/>
              </w:rPr>
              <w:t>质量状况</w:t>
            </w:r>
            <w:r>
              <w:rPr>
                <w:rFonts w:ascii="Times New Roman" w:hAnsi="Times New Roman" w:eastAsia="宋体"/>
                <w:color w:val="auto"/>
                <w:sz w:val="24"/>
                <w:szCs w:val="24"/>
              </w:rPr>
              <w:t>，符合《建设项目环境影响报告表编制技术指南</w:t>
            </w:r>
            <w:r>
              <w:rPr>
                <w:rFonts w:hint="eastAsia" w:ascii="Times New Roman" w:hAnsi="Times New Roman" w:eastAsia="宋体"/>
                <w:color w:val="auto"/>
                <w:sz w:val="24"/>
                <w:szCs w:val="24"/>
              </w:rPr>
              <w:t>(</w:t>
            </w:r>
            <w:r>
              <w:rPr>
                <w:rFonts w:ascii="Times New Roman" w:hAnsi="Times New Roman" w:eastAsia="宋体"/>
                <w:color w:val="auto"/>
                <w:sz w:val="24"/>
                <w:szCs w:val="24"/>
              </w:rPr>
              <w:t>污染影响类</w:t>
            </w:r>
            <w:r>
              <w:rPr>
                <w:rFonts w:hint="eastAsia" w:ascii="Times New Roman" w:hAnsi="Times New Roman" w:eastAsia="宋体"/>
                <w:color w:val="auto"/>
                <w:sz w:val="24"/>
                <w:szCs w:val="24"/>
              </w:rPr>
              <w:t>)(</w:t>
            </w:r>
            <w:r>
              <w:rPr>
                <w:rFonts w:ascii="Times New Roman" w:hAnsi="Times New Roman" w:eastAsia="宋体"/>
                <w:color w:val="auto"/>
                <w:sz w:val="24"/>
                <w:szCs w:val="24"/>
              </w:rPr>
              <w:t>试行</w:t>
            </w:r>
            <w:r>
              <w:rPr>
                <w:rFonts w:hint="eastAsia" w:ascii="Times New Roman" w:hAnsi="Times New Roman" w:eastAsia="宋体"/>
                <w:color w:val="auto"/>
                <w:sz w:val="24"/>
                <w:szCs w:val="24"/>
              </w:rPr>
              <w:t>)</w:t>
            </w:r>
            <w:r>
              <w:rPr>
                <w:rFonts w:ascii="Times New Roman" w:hAnsi="Times New Roman" w:eastAsia="宋体"/>
                <w:color w:val="auto"/>
                <w:sz w:val="24"/>
                <w:szCs w:val="24"/>
              </w:rPr>
              <w:t>》</w:t>
            </w:r>
            <w:r>
              <w:rPr>
                <w:rFonts w:hint="eastAsia" w:ascii="Times New Roman" w:hAnsi="Times New Roman" w:eastAsia="宋体"/>
                <w:color w:val="auto"/>
                <w:sz w:val="24"/>
                <w:szCs w:val="24"/>
              </w:rPr>
              <w:t>(</w:t>
            </w:r>
            <w:r>
              <w:rPr>
                <w:rFonts w:ascii="Times New Roman" w:hAnsi="Times New Roman" w:eastAsia="宋体"/>
                <w:color w:val="auto"/>
                <w:sz w:val="24"/>
                <w:szCs w:val="24"/>
              </w:rPr>
              <w:t>环办环评〔2020〕33号</w:t>
            </w:r>
            <w:r>
              <w:rPr>
                <w:rFonts w:hint="eastAsia" w:ascii="Times New Roman" w:hAnsi="Times New Roman" w:eastAsia="宋体"/>
                <w:color w:val="auto"/>
                <w:sz w:val="24"/>
                <w:szCs w:val="24"/>
              </w:rPr>
              <w:t>)的</w:t>
            </w:r>
            <w:r>
              <w:rPr>
                <w:rFonts w:ascii="Times New Roman" w:hAnsi="Times New Roman" w:eastAsia="宋体"/>
                <w:color w:val="auto"/>
                <w:sz w:val="24"/>
                <w:szCs w:val="24"/>
              </w:rPr>
              <w:t>要求。</w:t>
            </w:r>
          </w:p>
          <w:p>
            <w:pPr>
              <w:pStyle w:val="3"/>
              <w:bidi w:val="0"/>
              <w:rPr>
                <w:rFonts w:hint="default"/>
                <w:color w:val="auto"/>
              </w:rPr>
            </w:pPr>
            <w:r>
              <w:rPr>
                <w:rFonts w:hint="default"/>
                <w:color w:val="auto"/>
              </w:rPr>
              <w:t>3.3声环境质量现状</w:t>
            </w:r>
          </w:p>
          <w:p>
            <w:pPr>
              <w:pStyle w:val="4"/>
              <w:bidi w:val="0"/>
              <w:rPr>
                <w:rFonts w:hint="default"/>
                <w:color w:val="auto"/>
              </w:rPr>
            </w:pPr>
            <w:r>
              <w:rPr>
                <w:rFonts w:hint="default"/>
                <w:color w:val="auto"/>
              </w:rPr>
              <w:t>3.3.1声环境功能区</w:t>
            </w:r>
          </w:p>
          <w:p>
            <w:pPr>
              <w:autoSpaceDE w:val="0"/>
              <w:autoSpaceDN w:val="0"/>
              <w:spacing w:line="360" w:lineRule="auto"/>
              <w:ind w:firstLine="480" w:firstLineChars="200"/>
              <w:textAlignment w:val="bottom"/>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highlight w:val="none"/>
                <w:lang w:eastAsia="zh-CN"/>
              </w:rPr>
              <w:t>本项目选址于</w:t>
            </w:r>
            <w:r>
              <w:rPr>
                <w:rFonts w:hint="eastAsia" w:ascii="Times New Roman" w:hAnsi="Times New Roman" w:eastAsia="宋体" w:cs="Times New Roman"/>
                <w:color w:val="auto"/>
                <w:sz w:val="24"/>
                <w:szCs w:val="24"/>
                <w:lang w:eastAsia="zh-CN"/>
              </w:rPr>
              <w:t>福建省福州市</w:t>
            </w:r>
            <w:r>
              <w:rPr>
                <w:rFonts w:hint="eastAsia" w:cs="Times New Roman"/>
                <w:color w:val="auto"/>
                <w:sz w:val="24"/>
                <w:szCs w:val="24"/>
                <w:lang w:val="en-US" w:eastAsia="zh-CN"/>
              </w:rPr>
              <w:t>福清市海口镇南厝村</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lang w:val="en-US" w:eastAsia="zh-CN"/>
              </w:rPr>
              <w:t>所在区域属于</w:t>
            </w:r>
            <w:r>
              <w:rPr>
                <w:rFonts w:hint="default" w:ascii="Times New Roman" w:hAnsi="Times New Roman" w:eastAsia="宋体" w:cs="Times New Roman"/>
                <w:color w:val="auto"/>
                <w:sz w:val="24"/>
                <w:szCs w:val="24"/>
              </w:rPr>
              <w:t>居住、商业、工业混杂</w:t>
            </w:r>
            <w:r>
              <w:rPr>
                <w:rFonts w:hint="eastAsia"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zh-CN" w:eastAsia="zh-CN"/>
              </w:rPr>
              <w:t>根据</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zh-CN" w:eastAsia="zh-CN"/>
              </w:rPr>
              <w:t>声环境功能区划分技术规范》(GB/T15190-2014)</w:t>
            </w:r>
            <w:r>
              <w:rPr>
                <w:rFonts w:hint="eastAsia" w:ascii="Times New Roman" w:hAnsi="Times New Roman" w:eastAsia="宋体" w:cs="Times New Roman"/>
                <w:color w:val="auto"/>
                <w:sz w:val="24"/>
                <w:szCs w:val="24"/>
                <w:lang w:val="en-US" w:eastAsia="zh-CN"/>
              </w:rPr>
              <w:t>等可知</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lang w:val="zh-CN" w:eastAsia="zh-CN"/>
              </w:rPr>
              <w:t>声环境功能区划为</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zh-CN" w:eastAsia="zh-CN"/>
              </w:rPr>
              <w:t>类区</w:t>
            </w:r>
            <w:r>
              <w:rPr>
                <w:rFonts w:hint="eastAsia" w:ascii="Times New Roman" w:hAnsi="Times New Roman" w:eastAsia="宋体" w:cs="Times New Roman"/>
                <w:color w:val="auto"/>
                <w:sz w:val="24"/>
                <w:szCs w:val="24"/>
                <w:lang w:val="zh-CN" w:eastAsia="zh-CN"/>
              </w:rPr>
              <w:t>，</w:t>
            </w:r>
            <w:r>
              <w:rPr>
                <w:rFonts w:hint="default" w:ascii="Times New Roman" w:hAnsi="Times New Roman" w:eastAsia="宋体" w:cs="Times New Roman"/>
                <w:color w:val="auto"/>
                <w:sz w:val="24"/>
                <w:szCs w:val="24"/>
              </w:rPr>
              <w:t>声环境功能执行《声环境质量标准》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2类标准</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详见表3.</w:t>
            </w:r>
            <w:r>
              <w:rPr>
                <w:rFonts w:hint="eastAsia" w:ascii="Times New Roman" w:hAnsi="Times New Roman" w:eastAsia="宋体" w:cs="Times New Roman"/>
                <w:color w:val="auto"/>
                <w:sz w:val="24"/>
                <w:szCs w:val="24"/>
                <w:lang w:val="en-US" w:eastAsia="zh-CN"/>
              </w:rPr>
              <w:t>3-1。项目距离西北侧S11福厦高速53m，距离东北侧228国道大真线130m</w:t>
            </w:r>
            <w:r>
              <w:rPr>
                <w:rFonts w:hint="eastAsia" w:cs="Times New Roman"/>
                <w:color w:val="auto"/>
                <w:sz w:val="24"/>
                <w:szCs w:val="24"/>
                <w:lang w:val="en-US" w:eastAsia="zh-CN"/>
              </w:rPr>
              <w:t>且</w:t>
            </w:r>
            <w:r>
              <w:rPr>
                <w:rFonts w:hint="eastAsia" w:ascii="Times New Roman" w:hAnsi="Times New Roman" w:eastAsia="宋体" w:cs="Times New Roman"/>
                <w:color w:val="auto"/>
                <w:sz w:val="24"/>
                <w:szCs w:val="24"/>
                <w:lang w:val="en-US" w:eastAsia="zh-CN"/>
              </w:rPr>
              <w:t>不临228国道一侧，不在</w:t>
            </w:r>
            <w:r>
              <w:rPr>
                <w:rFonts w:hint="default" w:ascii="Times New Roman" w:hAnsi="Times New Roman" w:eastAsia="宋体" w:cs="Times New Roman"/>
                <w:color w:val="auto"/>
                <w:sz w:val="24"/>
                <w:szCs w:val="24"/>
              </w:rPr>
              <w:t>《声环境质量标准》</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GB3096-2008</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与《声环境功能区划分技术规范》（GB/T 15190-2014）中所规定的4a</w:t>
            </w:r>
            <w:r>
              <w:rPr>
                <w:rFonts w:hint="default" w:ascii="Times New Roman" w:hAnsi="Times New Roman" w:eastAsia="宋体" w:cs="Times New Roman"/>
                <w:color w:val="auto"/>
                <w:sz w:val="24"/>
                <w:szCs w:val="24"/>
              </w:rPr>
              <w:t>类标准</w:t>
            </w:r>
            <w:r>
              <w:rPr>
                <w:rFonts w:hint="eastAsia" w:ascii="Times New Roman" w:hAnsi="Times New Roman" w:eastAsia="宋体" w:cs="Times New Roman"/>
                <w:color w:val="auto"/>
                <w:sz w:val="24"/>
                <w:szCs w:val="24"/>
                <w:lang w:val="en-US" w:eastAsia="zh-CN"/>
              </w:rPr>
              <w:t>范围内</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因此，不执行4a</w:t>
            </w:r>
            <w:r>
              <w:rPr>
                <w:rFonts w:hint="default" w:ascii="Times New Roman" w:hAnsi="Times New Roman" w:eastAsia="宋体" w:cs="Times New Roman"/>
                <w:color w:val="auto"/>
                <w:sz w:val="24"/>
                <w:szCs w:val="24"/>
              </w:rPr>
              <w:t>类</w:t>
            </w:r>
            <w:r>
              <w:rPr>
                <w:rFonts w:hint="eastAsia" w:ascii="Times New Roman" w:hAnsi="Times New Roman" w:eastAsia="宋体" w:cs="Times New Roman"/>
                <w:color w:val="auto"/>
                <w:sz w:val="24"/>
                <w:szCs w:val="24"/>
                <w:lang w:val="en-US" w:eastAsia="zh-CN"/>
              </w:rPr>
              <w:t>声环境</w:t>
            </w:r>
            <w:r>
              <w:rPr>
                <w:rFonts w:hint="default" w:ascii="Times New Roman" w:hAnsi="Times New Roman" w:eastAsia="宋体" w:cs="Times New Roman"/>
                <w:color w:val="auto"/>
                <w:sz w:val="24"/>
                <w:szCs w:val="24"/>
              </w:rPr>
              <w:t>标准</w:t>
            </w:r>
            <w:r>
              <w:rPr>
                <w:rFonts w:hint="eastAsia" w:ascii="Times New Roman" w:hAnsi="Times New Roman" w:eastAsia="宋体" w:cs="Times New Roman"/>
                <w:color w:val="auto"/>
                <w:sz w:val="24"/>
                <w:szCs w:val="24"/>
                <w:lang w:eastAsia="zh-CN"/>
              </w:rPr>
              <w:t>。</w:t>
            </w:r>
          </w:p>
          <w:p>
            <w:pPr>
              <w:pStyle w:val="33"/>
              <w:bidi w:val="0"/>
              <w:rPr>
                <w:color w:val="auto"/>
                <w:sz w:val="24"/>
                <w:szCs w:val="24"/>
              </w:rPr>
            </w:pPr>
            <w:r>
              <w:rPr>
                <w:color w:val="auto"/>
                <w:sz w:val="24"/>
                <w:szCs w:val="24"/>
              </w:rPr>
              <w:t>表3.3-1 《声环境质量标准》(GB3096-2008)(摘录)</w:t>
            </w:r>
          </w:p>
          <w:tbl>
            <w:tblPr>
              <w:tblStyle w:val="24"/>
              <w:tblW w:w="8094" w:type="dxa"/>
              <w:jc w:val="center"/>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812"/>
              <w:gridCol w:w="4963"/>
              <w:gridCol w:w="1066"/>
              <w:gridCol w:w="1253"/>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812" w:type="dxa"/>
                  <w:vMerge w:val="restart"/>
                  <w:tcBorders>
                    <w:top w:val="single" w:color="000000" w:sz="12" w:space="0"/>
                    <w:left w:val="nil"/>
                    <w:bottom w:val="single" w:color="000000" w:sz="6" w:space="0"/>
                    <w:right w:val="single" w:color="000000" w:sz="4" w:space="0"/>
                  </w:tcBorders>
                  <w:vAlign w:val="center"/>
                </w:tcPr>
                <w:p>
                  <w:pPr>
                    <w:pStyle w:val="28"/>
                    <w:bidi w:val="0"/>
                    <w:rPr>
                      <w:color w:val="auto"/>
                    </w:rPr>
                  </w:pPr>
                  <w:r>
                    <w:rPr>
                      <w:color w:val="auto"/>
                    </w:rPr>
                    <w:t>标准类别</w:t>
                  </w:r>
                </w:p>
              </w:tc>
              <w:tc>
                <w:tcPr>
                  <w:tcW w:w="4963" w:type="dxa"/>
                  <w:vMerge w:val="restart"/>
                  <w:tcBorders>
                    <w:top w:val="single" w:color="000000" w:sz="12" w:space="0"/>
                    <w:left w:val="single" w:color="000000" w:sz="4" w:space="0"/>
                    <w:bottom w:val="single" w:color="000000" w:sz="6" w:space="0"/>
                    <w:right w:val="single" w:color="000000" w:sz="4" w:space="0"/>
                  </w:tcBorders>
                  <w:vAlign w:val="center"/>
                </w:tcPr>
                <w:p>
                  <w:pPr>
                    <w:pStyle w:val="28"/>
                    <w:bidi w:val="0"/>
                    <w:rPr>
                      <w:color w:val="auto"/>
                    </w:rPr>
                  </w:pPr>
                  <w:r>
                    <w:rPr>
                      <w:color w:val="auto"/>
                    </w:rPr>
                    <w:t>适用区域</w:t>
                  </w:r>
                </w:p>
              </w:tc>
              <w:tc>
                <w:tcPr>
                  <w:tcW w:w="2319" w:type="dxa"/>
                  <w:gridSpan w:val="2"/>
                  <w:tcBorders>
                    <w:top w:val="single" w:color="000000" w:sz="12" w:space="0"/>
                    <w:left w:val="single" w:color="000000" w:sz="4" w:space="0"/>
                    <w:bottom w:val="single" w:color="000000" w:sz="6" w:space="0"/>
                    <w:right w:val="nil"/>
                  </w:tcBorders>
                  <w:vAlign w:val="center"/>
                </w:tcPr>
                <w:p>
                  <w:pPr>
                    <w:pStyle w:val="28"/>
                    <w:bidi w:val="0"/>
                    <w:rPr>
                      <w:color w:val="auto"/>
                    </w:rPr>
                  </w:pPr>
                  <w:r>
                    <w:rPr>
                      <w:color w:val="auto"/>
                    </w:rPr>
                    <w:t>等效声级Leq(dB(A))</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812" w:type="dxa"/>
                  <w:vMerge w:val="continue"/>
                  <w:tcBorders>
                    <w:top w:val="single" w:color="000000" w:sz="6" w:space="0"/>
                    <w:left w:val="nil"/>
                    <w:bottom w:val="single" w:color="000000" w:sz="6" w:space="0"/>
                    <w:right w:val="single" w:color="000000" w:sz="4" w:space="0"/>
                  </w:tcBorders>
                  <w:vAlign w:val="center"/>
                </w:tcPr>
                <w:p>
                  <w:pPr>
                    <w:pStyle w:val="28"/>
                    <w:bidi w:val="0"/>
                    <w:rPr>
                      <w:color w:val="auto"/>
                    </w:rPr>
                  </w:pPr>
                </w:p>
              </w:tc>
              <w:tc>
                <w:tcPr>
                  <w:tcW w:w="4963" w:type="dxa"/>
                  <w:vMerge w:val="continue"/>
                  <w:tcBorders>
                    <w:top w:val="single" w:color="000000" w:sz="6" w:space="0"/>
                    <w:left w:val="single" w:color="000000" w:sz="4" w:space="0"/>
                    <w:bottom w:val="single" w:color="000000" w:sz="6" w:space="0"/>
                    <w:right w:val="single" w:color="000000" w:sz="4" w:space="0"/>
                  </w:tcBorders>
                  <w:vAlign w:val="center"/>
                </w:tcPr>
                <w:p>
                  <w:pPr>
                    <w:pStyle w:val="28"/>
                    <w:bidi w:val="0"/>
                    <w:rPr>
                      <w:color w:val="auto"/>
                    </w:rPr>
                  </w:pPr>
                </w:p>
              </w:tc>
              <w:tc>
                <w:tcPr>
                  <w:tcW w:w="1066" w:type="dxa"/>
                  <w:tcBorders>
                    <w:top w:val="single" w:color="000000" w:sz="6" w:space="0"/>
                    <w:left w:val="single" w:color="000000" w:sz="4" w:space="0"/>
                    <w:bottom w:val="single" w:color="000000" w:sz="6" w:space="0"/>
                    <w:right w:val="single" w:color="auto" w:sz="4" w:space="0"/>
                  </w:tcBorders>
                  <w:vAlign w:val="center"/>
                </w:tcPr>
                <w:p>
                  <w:pPr>
                    <w:pStyle w:val="28"/>
                    <w:bidi w:val="0"/>
                    <w:rPr>
                      <w:color w:val="auto"/>
                    </w:rPr>
                  </w:pPr>
                  <w:r>
                    <w:rPr>
                      <w:color w:val="auto"/>
                    </w:rPr>
                    <w:t>昼间</w:t>
                  </w:r>
                </w:p>
              </w:tc>
              <w:tc>
                <w:tcPr>
                  <w:tcW w:w="1253" w:type="dxa"/>
                  <w:tcBorders>
                    <w:top w:val="single" w:color="000000" w:sz="6" w:space="0"/>
                    <w:left w:val="single" w:color="auto" w:sz="4" w:space="0"/>
                    <w:bottom w:val="single" w:color="000000" w:sz="6" w:space="0"/>
                    <w:right w:val="nil"/>
                  </w:tcBorders>
                  <w:vAlign w:val="center"/>
                </w:tcPr>
                <w:p>
                  <w:pPr>
                    <w:pStyle w:val="28"/>
                    <w:bidi w:val="0"/>
                    <w:rPr>
                      <w:rFonts w:hint="eastAsia"/>
                      <w:color w:val="auto"/>
                    </w:rPr>
                  </w:pPr>
                  <w:r>
                    <w:rPr>
                      <w:rFonts w:hint="eastAsia"/>
                      <w:color w:val="auto"/>
                    </w:rPr>
                    <w:t>夜间</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397" w:hRule="atLeast"/>
                <w:jc w:val="center"/>
              </w:trPr>
              <w:tc>
                <w:tcPr>
                  <w:tcW w:w="812" w:type="dxa"/>
                  <w:tcBorders>
                    <w:top w:val="single" w:color="000000" w:sz="6" w:space="0"/>
                    <w:left w:val="nil"/>
                    <w:bottom w:val="single" w:color="000000" w:sz="12" w:space="0"/>
                    <w:right w:val="single" w:color="000000" w:sz="4" w:space="0"/>
                  </w:tcBorders>
                  <w:vAlign w:val="center"/>
                </w:tcPr>
                <w:p>
                  <w:pPr>
                    <w:pStyle w:val="28"/>
                    <w:bidi w:val="0"/>
                    <w:rPr>
                      <w:rFonts w:hint="eastAsia"/>
                      <w:color w:val="auto"/>
                      <w:lang w:eastAsia="zh-CN"/>
                    </w:rPr>
                  </w:pPr>
                  <w:r>
                    <w:rPr>
                      <w:rFonts w:hint="eastAsia"/>
                      <w:color w:val="auto"/>
                      <w:lang w:val="en-US" w:eastAsia="zh-CN"/>
                    </w:rPr>
                    <w:t>2</w:t>
                  </w:r>
                </w:p>
              </w:tc>
              <w:tc>
                <w:tcPr>
                  <w:tcW w:w="4963" w:type="dxa"/>
                  <w:tcBorders>
                    <w:top w:val="single" w:color="000000" w:sz="6" w:space="0"/>
                    <w:left w:val="single" w:color="000000" w:sz="4" w:space="0"/>
                    <w:bottom w:val="single" w:color="000000" w:sz="12" w:space="0"/>
                    <w:right w:val="single" w:color="000000" w:sz="4" w:space="0"/>
                  </w:tcBorders>
                  <w:vAlign w:val="center"/>
                </w:tcPr>
                <w:p>
                  <w:pPr>
                    <w:pStyle w:val="28"/>
                    <w:bidi w:val="0"/>
                    <w:rPr>
                      <w:rFonts w:hint="default"/>
                      <w:color w:val="auto"/>
                    </w:rPr>
                  </w:pPr>
                  <w:r>
                    <w:rPr>
                      <w:rFonts w:hint="default"/>
                      <w:color w:val="auto"/>
                    </w:rPr>
                    <w:t>指以商业金融、集市贸易为主要功能，或者居住、</w:t>
                  </w:r>
                </w:p>
                <w:p>
                  <w:pPr>
                    <w:pStyle w:val="28"/>
                    <w:bidi w:val="0"/>
                    <w:rPr>
                      <w:color w:val="auto"/>
                    </w:rPr>
                  </w:pPr>
                  <w:r>
                    <w:rPr>
                      <w:rFonts w:hint="default"/>
                      <w:color w:val="auto"/>
                    </w:rPr>
                    <w:t>商业、工业混杂，需要维护住宅安静的区域</w:t>
                  </w:r>
                </w:p>
              </w:tc>
              <w:tc>
                <w:tcPr>
                  <w:tcW w:w="1066" w:type="dxa"/>
                  <w:tcBorders>
                    <w:top w:val="single" w:color="000000" w:sz="6" w:space="0"/>
                    <w:left w:val="single" w:color="000000" w:sz="4" w:space="0"/>
                    <w:bottom w:val="single" w:color="000000" w:sz="12" w:space="0"/>
                    <w:right w:val="single" w:color="auto" w:sz="4" w:space="0"/>
                  </w:tcBorders>
                  <w:vAlign w:val="center"/>
                </w:tcPr>
                <w:p>
                  <w:pPr>
                    <w:pStyle w:val="28"/>
                    <w:bidi w:val="0"/>
                    <w:rPr>
                      <w:rFonts w:hint="eastAsia"/>
                      <w:color w:val="auto"/>
                    </w:rPr>
                  </w:pPr>
                  <w:r>
                    <w:rPr>
                      <w:rFonts w:hint="default"/>
                      <w:color w:val="auto"/>
                    </w:rPr>
                    <w:t>≤60</w:t>
                  </w:r>
                </w:p>
              </w:tc>
              <w:tc>
                <w:tcPr>
                  <w:tcW w:w="1253" w:type="dxa"/>
                  <w:tcBorders>
                    <w:top w:val="single" w:color="000000" w:sz="6" w:space="0"/>
                    <w:left w:val="single" w:color="auto" w:sz="4" w:space="0"/>
                    <w:bottom w:val="single" w:color="000000" w:sz="12" w:space="0"/>
                    <w:right w:val="nil"/>
                  </w:tcBorders>
                  <w:vAlign w:val="center"/>
                </w:tcPr>
                <w:p>
                  <w:pPr>
                    <w:pStyle w:val="28"/>
                    <w:bidi w:val="0"/>
                    <w:rPr>
                      <w:rFonts w:hint="default"/>
                      <w:color w:val="auto"/>
                      <w:lang w:val="en-US" w:eastAsia="zh-CN"/>
                    </w:rPr>
                  </w:pPr>
                  <w:r>
                    <w:rPr>
                      <w:rFonts w:hint="default"/>
                      <w:color w:val="auto"/>
                    </w:rPr>
                    <w:t>≤</w:t>
                  </w:r>
                  <w:r>
                    <w:rPr>
                      <w:rFonts w:hint="eastAsia"/>
                      <w:color w:val="auto"/>
                      <w:lang w:val="en-US" w:eastAsia="zh-CN"/>
                    </w:rPr>
                    <w:t>50</w:t>
                  </w:r>
                </w:p>
              </w:tc>
            </w:tr>
          </w:tbl>
          <w:p>
            <w:pPr>
              <w:pStyle w:val="4"/>
              <w:bidi w:val="0"/>
              <w:rPr>
                <w:rFonts w:hint="default"/>
                <w:color w:val="auto"/>
              </w:rPr>
            </w:pPr>
            <w:r>
              <w:rPr>
                <w:rFonts w:hint="default"/>
                <w:color w:val="auto"/>
              </w:rPr>
              <w:t>3.3.2声环境质量现状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微软雅黑"/>
                <w:b w:val="0"/>
                <w:bCs w:val="0"/>
                <w:i w:val="0"/>
                <w:iCs w:val="0"/>
                <w:caps w:val="0"/>
                <w:color w:val="auto"/>
                <w:spacing w:val="0"/>
                <w:sz w:val="24"/>
                <w:szCs w:val="24"/>
                <w:lang w:val="en-US" w:eastAsia="zh-CN"/>
              </w:rPr>
            </w:pPr>
            <w:r>
              <w:rPr>
                <w:rFonts w:hint="default" w:ascii="Times New Roman" w:hAnsi="Times New Roman" w:eastAsia="宋体" w:cs="Times New Roman"/>
                <w:color w:val="auto"/>
                <w:sz w:val="24"/>
                <w:szCs w:val="24"/>
                <w:highlight w:val="none"/>
                <w:lang w:val="zh-CN" w:eastAsia="zh-CN"/>
              </w:rPr>
              <w:t>根据《建设项目环境影响报告表编制技术指南</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污染影响类</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试行</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环办环评〔2020〕33号</w:t>
            </w:r>
            <w:r>
              <w:rPr>
                <w:rFonts w:hint="eastAsia"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eastAsia="zh-CN"/>
              </w:rPr>
              <w:t>的要求</w:t>
            </w:r>
            <w:r>
              <w:rPr>
                <w:rFonts w:hint="eastAsia" w:ascii="Times New Roman" w:hAnsi="Times New Roman" w:eastAsia="宋体" w:cs="Times New Roman"/>
                <w:color w:val="auto"/>
                <w:sz w:val="24"/>
                <w:szCs w:val="24"/>
                <w:highlight w:val="none"/>
                <w:lang w:val="zh-CN" w:eastAsia="zh-CN"/>
              </w:rPr>
              <w:t>：厂界外周边50米范围内存在声环境保护目标的建设项目，应监测保护目标声环境质量现状并评价达标情况。</w:t>
            </w:r>
            <w:r>
              <w:rPr>
                <w:rFonts w:hint="eastAsia" w:ascii="Times New Roman" w:hAnsi="Times New Roman" w:eastAsia="宋体" w:cs="Times New Roman"/>
                <w:b/>
                <w:bCs/>
                <w:color w:val="auto"/>
                <w:sz w:val="24"/>
                <w:szCs w:val="24"/>
                <w:highlight w:val="none"/>
                <w:lang w:val="en-US" w:eastAsia="zh-CN"/>
              </w:rPr>
              <w:t>根据环境影响评价网（</w:t>
            </w:r>
            <w:r>
              <w:rPr>
                <w:rFonts w:hint="default" w:ascii="Times New Roman" w:hAnsi="Times New Roman" w:eastAsia="宋体" w:cs="Times New Roman"/>
                <w:b/>
                <w:bCs/>
                <w:color w:val="auto"/>
                <w:sz w:val="24"/>
                <w:szCs w:val="24"/>
                <w:highlight w:val="none"/>
                <w:lang w:val="zh-CN" w:eastAsia="zh-CN"/>
              </w:rPr>
              <w:t>生态环境部环境工程评估中心</w:t>
            </w:r>
            <w:r>
              <w:rPr>
                <w:rFonts w:hint="eastAsia" w:ascii="Times New Roman" w:hAnsi="Times New Roman" w:eastAsia="宋体" w:cs="Times New Roman"/>
                <w:b/>
                <w:bCs/>
                <w:color w:val="auto"/>
                <w:sz w:val="24"/>
                <w:szCs w:val="24"/>
                <w:highlight w:val="none"/>
                <w:lang w:val="zh-CN" w:eastAsia="zh-CN"/>
              </w:rPr>
              <w:t>）</w:t>
            </w:r>
            <w:r>
              <w:rPr>
                <w:rFonts w:hint="eastAsia" w:ascii="Times New Roman" w:hAnsi="Times New Roman" w:eastAsia="宋体" w:cs="Times New Roman"/>
                <w:b/>
                <w:bCs/>
                <w:color w:val="auto"/>
                <w:sz w:val="24"/>
                <w:szCs w:val="24"/>
                <w:highlight w:val="none"/>
                <w:lang w:val="en-US" w:eastAsia="zh-CN"/>
              </w:rPr>
              <w:t>关于</w:t>
            </w:r>
            <w:r>
              <w:rPr>
                <w:rFonts w:hint="eastAsia" w:ascii="Times New Roman" w:hAnsi="Times New Roman" w:eastAsia="宋体" w:cs="Times New Roman"/>
                <w:b/>
                <w:bCs/>
                <w:color w:val="auto"/>
                <w:sz w:val="24"/>
                <w:szCs w:val="24"/>
                <w:highlight w:val="none"/>
                <w:lang w:val="zh-CN" w:eastAsia="zh-CN"/>
              </w:rPr>
              <w:t>《建设项目环境影响报告表》内容、格式及编制技术指南常见问题解答，</w:t>
            </w:r>
            <w:r>
              <w:rPr>
                <w:rFonts w:hint="eastAsia" w:ascii="Times New Roman" w:hAnsi="Times New Roman" w:eastAsia="宋体" w:cs="Times New Roman"/>
                <w:color w:val="auto"/>
                <w:sz w:val="24"/>
                <w:szCs w:val="24"/>
                <w:highlight w:val="none"/>
                <w:lang w:val="zh-CN" w:eastAsia="zh-CN"/>
              </w:rPr>
              <w:t>厂界外周边</w:t>
            </w:r>
            <w:r>
              <w:rPr>
                <w:rFonts w:hint="eastAsia" w:ascii="Times New Roman" w:hAnsi="Times New Roman" w:eastAsia="宋体" w:cs="Times New Roman"/>
                <w:color w:val="auto"/>
                <w:sz w:val="24"/>
                <w:szCs w:val="24"/>
                <w:highlight w:val="none"/>
                <w:lang w:val="en-US" w:eastAsia="zh-CN"/>
              </w:rPr>
              <w:t>50</w:t>
            </w:r>
            <w:r>
              <w:rPr>
                <w:rFonts w:hint="eastAsia" w:ascii="Times New Roman" w:hAnsi="Times New Roman" w:eastAsia="宋体" w:cs="Times New Roman"/>
                <w:color w:val="auto"/>
                <w:sz w:val="24"/>
                <w:szCs w:val="24"/>
                <w:highlight w:val="none"/>
                <w:lang w:val="zh-CN" w:eastAsia="zh-CN"/>
              </w:rPr>
              <w:t>米范围内存在声环境保护目标的建设项目，应监测声环境质量现状，监测点位为声环境保护目标处。</w:t>
            </w:r>
            <w:r>
              <w:rPr>
                <w:rFonts w:hint="eastAsia" w:ascii="Times New Roman" w:hAnsi="Times New Roman" w:eastAsia="宋体" w:cs="Times New Roman"/>
                <w:b/>
                <w:bCs/>
                <w:color w:val="auto"/>
                <w:sz w:val="24"/>
                <w:szCs w:val="24"/>
                <w:highlight w:val="none"/>
                <w:lang w:val="zh-CN" w:eastAsia="zh-CN"/>
              </w:rPr>
              <w:t>厂界外周边</w:t>
            </w:r>
            <w:r>
              <w:rPr>
                <w:rFonts w:hint="eastAsia" w:ascii="Times New Roman" w:hAnsi="Times New Roman" w:eastAsia="宋体" w:cs="Times New Roman"/>
                <w:b/>
                <w:bCs/>
                <w:color w:val="auto"/>
                <w:sz w:val="24"/>
                <w:szCs w:val="24"/>
                <w:highlight w:val="none"/>
                <w:lang w:val="en-US" w:eastAsia="zh-CN"/>
              </w:rPr>
              <w:t>50</w:t>
            </w:r>
            <w:r>
              <w:rPr>
                <w:rFonts w:hint="eastAsia" w:ascii="Times New Roman" w:hAnsi="Times New Roman" w:eastAsia="宋体" w:cs="Times New Roman"/>
                <w:b/>
                <w:bCs/>
                <w:color w:val="auto"/>
                <w:sz w:val="24"/>
                <w:szCs w:val="24"/>
                <w:highlight w:val="none"/>
                <w:lang w:val="zh-CN" w:eastAsia="zh-CN"/>
              </w:rPr>
              <w:t>米范围内无声环境保护目标的建设项目，不再要求提供声环境质量现状监测数据。</w:t>
            </w:r>
            <w:r>
              <w:rPr>
                <w:rFonts w:hint="eastAsia" w:ascii="Times New Roman" w:hAnsi="Times New Roman" w:eastAsia="宋体" w:cs="Times New Roman"/>
                <w:color w:val="auto"/>
                <w:sz w:val="24"/>
                <w:szCs w:val="24"/>
                <w:highlight w:val="none"/>
                <w:lang w:val="en-US" w:eastAsia="zh-CN"/>
              </w:rPr>
              <w:t>根据现场调查，项目厂界外50m范围内无声环境保护目标，因此，本评价不进行</w:t>
            </w:r>
            <w:r>
              <w:rPr>
                <w:rFonts w:hint="eastAsia" w:ascii="Times New Roman" w:hAnsi="Times New Roman" w:eastAsia="宋体" w:cs="Times New Roman"/>
                <w:color w:val="auto"/>
                <w:sz w:val="24"/>
                <w:szCs w:val="24"/>
                <w:highlight w:val="none"/>
                <w:lang w:val="zh-CN" w:eastAsia="zh-CN"/>
              </w:rPr>
              <w:t>声环境质量现状监测。</w:t>
            </w:r>
          </w:p>
          <w:p>
            <w:pPr>
              <w:pStyle w:val="3"/>
              <w:bidi w:val="0"/>
              <w:rPr>
                <w:rFonts w:hint="default"/>
                <w:color w:val="auto"/>
              </w:rPr>
            </w:pPr>
            <w:r>
              <w:rPr>
                <w:rFonts w:hint="default"/>
                <w:color w:val="auto"/>
              </w:rPr>
              <w:t>3.</w:t>
            </w:r>
            <w:r>
              <w:rPr>
                <w:rFonts w:hint="default"/>
                <w:color w:val="auto"/>
                <w:lang w:val="en-US" w:eastAsia="zh-CN"/>
              </w:rPr>
              <w:t>4</w:t>
            </w:r>
            <w:r>
              <w:rPr>
                <w:rFonts w:hint="default"/>
                <w:color w:val="auto"/>
              </w:rPr>
              <w:t xml:space="preserve"> 生态环境现状调查</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kern w:val="0"/>
                <w:sz w:val="24"/>
                <w:szCs w:val="24"/>
                <w:highlight w:val="none"/>
              </w:rPr>
              <w:t>根据</w:t>
            </w:r>
            <w:r>
              <w:rPr>
                <w:rFonts w:hint="eastAsia" w:cs="Times New Roman"/>
                <w:color w:val="auto"/>
                <w:kern w:val="0"/>
                <w:sz w:val="24"/>
                <w:szCs w:val="24"/>
                <w:highlight w:val="none"/>
                <w:lang w:eastAsia="zh-CN"/>
              </w:rPr>
              <w:t>现场勘察，项目用地为未建设空地，地表主要为砂土和杂草，中部有硬化道路，</w:t>
            </w:r>
            <w:r>
              <w:rPr>
                <w:rFonts w:hint="default" w:ascii="Times New Roman" w:hAnsi="Times New Roman" w:eastAsia="宋体" w:cs="Times New Roman"/>
                <w:color w:val="auto"/>
                <w:sz w:val="24"/>
                <w:szCs w:val="24"/>
                <w:highlight w:val="none"/>
                <w:lang w:val="zh-CN"/>
              </w:rPr>
              <w:t>用地</w:t>
            </w:r>
            <w:r>
              <w:rPr>
                <w:rFonts w:hint="eastAsia" w:ascii="Times New Roman" w:hAnsi="Times New Roman" w:eastAsia="宋体" w:cs="Times New Roman"/>
                <w:color w:val="auto"/>
                <w:sz w:val="24"/>
                <w:szCs w:val="24"/>
                <w:highlight w:val="none"/>
                <w:lang w:val="zh-CN"/>
              </w:rPr>
              <w:t>周边</w:t>
            </w:r>
            <w:r>
              <w:rPr>
                <w:rFonts w:hint="default" w:ascii="Times New Roman" w:hAnsi="Times New Roman" w:eastAsia="宋体" w:cs="Times New Roman"/>
                <w:color w:val="auto"/>
                <w:sz w:val="24"/>
                <w:szCs w:val="24"/>
                <w:highlight w:val="none"/>
                <w:lang w:val="zh-CN"/>
              </w:rPr>
              <w:t>以道路、工业企业</w:t>
            </w:r>
            <w:r>
              <w:rPr>
                <w:rFonts w:hint="default" w:ascii="Times New Roman" w:hAnsi="Times New Roman" w:eastAsia="宋体" w:cs="Times New Roman"/>
                <w:color w:val="auto"/>
                <w:sz w:val="24"/>
                <w:szCs w:val="24"/>
                <w:highlight w:val="none"/>
                <w:lang w:val="zh-CN" w:eastAsia="zh-CN"/>
              </w:rPr>
              <w:t>等为主，</w:t>
            </w:r>
            <w:r>
              <w:rPr>
                <w:rFonts w:hint="default" w:ascii="Times New Roman" w:hAnsi="Times New Roman" w:eastAsia="宋体" w:cs="Times New Roman"/>
                <w:color w:val="auto"/>
                <w:sz w:val="24"/>
                <w:szCs w:val="24"/>
                <w:highlight w:val="none"/>
                <w:lang w:val="zh-CN"/>
              </w:rPr>
              <w:t>项目评价区域主要植被为草坪、行道树等景观树种</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主要动物为常见的蛙类、鸟类和昆虫类等，评价区域内无珍稀濒危物种、自然保护区、风景名胜区等生态敏感目标，调查区域也未发现国家重点保护的野生动植物等</w:t>
            </w:r>
            <w:r>
              <w:rPr>
                <w:rFonts w:hint="default" w:ascii="Times New Roman" w:hAnsi="Times New Roman" w:eastAsia="宋体" w:cs="Times New Roman"/>
                <w:color w:val="auto"/>
                <w:sz w:val="24"/>
                <w:szCs w:val="24"/>
                <w:highlight w:val="none"/>
                <w:lang w:val="zh-CN" w:eastAsia="zh-CN"/>
              </w:rPr>
              <w:t>，因此，</w:t>
            </w:r>
            <w:r>
              <w:rPr>
                <w:rFonts w:hint="default" w:ascii="Times New Roman" w:hAnsi="Times New Roman" w:eastAsia="宋体" w:cs="Times New Roman"/>
                <w:color w:val="auto"/>
                <w:sz w:val="24"/>
                <w:szCs w:val="24"/>
                <w:highlight w:val="none"/>
                <w:lang w:val="zh-CN"/>
              </w:rPr>
              <w:t>本环评</w:t>
            </w:r>
            <w:r>
              <w:rPr>
                <w:rFonts w:hint="default" w:ascii="Times New Roman" w:hAnsi="Times New Roman" w:eastAsia="宋体" w:cs="Times New Roman"/>
                <w:color w:val="auto"/>
                <w:sz w:val="24"/>
                <w:szCs w:val="24"/>
                <w:highlight w:val="none"/>
                <w:lang w:val="zh-CN" w:eastAsia="zh-CN"/>
              </w:rPr>
              <w:t>不对</w:t>
            </w:r>
            <w:r>
              <w:rPr>
                <w:rFonts w:hint="default" w:ascii="Times New Roman" w:hAnsi="Times New Roman" w:eastAsia="宋体" w:cs="Times New Roman"/>
                <w:color w:val="auto"/>
                <w:sz w:val="24"/>
                <w:szCs w:val="24"/>
                <w:highlight w:val="none"/>
                <w:lang w:val="zh-CN"/>
              </w:rPr>
              <w:t>生态环境现状进行评价</w:t>
            </w:r>
            <w:r>
              <w:rPr>
                <w:rFonts w:hint="default" w:ascii="Times New Roman" w:hAnsi="Times New Roman" w:eastAsia="宋体" w:cs="Times New Roman"/>
                <w:color w:val="auto"/>
                <w:sz w:val="24"/>
                <w:szCs w:val="24"/>
                <w:highlight w:val="none"/>
                <w:lang w:val="zh-CN" w:eastAsia="zh-CN"/>
              </w:rPr>
              <w:t>。</w:t>
            </w:r>
          </w:p>
          <w:p>
            <w:pPr>
              <w:pStyle w:val="3"/>
              <w:bidi w:val="0"/>
              <w:rPr>
                <w:rFonts w:hint="default"/>
                <w:color w:val="auto"/>
              </w:rPr>
            </w:pPr>
            <w:r>
              <w:rPr>
                <w:rFonts w:hint="default"/>
                <w:color w:val="auto"/>
              </w:rPr>
              <w:t>3.5地下水</w:t>
            </w:r>
            <w:r>
              <w:rPr>
                <w:rFonts w:hint="default"/>
                <w:color w:val="auto"/>
                <w:lang w:eastAsia="zh-CN"/>
              </w:rPr>
              <w:t>、土壤</w:t>
            </w:r>
            <w:r>
              <w:rPr>
                <w:rFonts w:hint="default"/>
                <w:color w:val="auto"/>
              </w:rPr>
              <w:t>环境质量现状</w:t>
            </w:r>
          </w:p>
          <w:p>
            <w:pPr>
              <w:adjustRightInd w:val="0"/>
              <w:snapToGrid w:val="0"/>
              <w:spacing w:line="360" w:lineRule="auto"/>
              <w:ind w:firstLine="480" w:firstLineChars="200"/>
              <w:rPr>
                <w:rFonts w:hint="eastAsia"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根据《建设项目环境影响报告表编制技术指南</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eastAsia"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eastAsia="zh-CN"/>
              </w:rPr>
              <w:t>规定，“原则上不开展环境质量现状调查。建设项目存在土壤、地下水环境污染途径的，应结合污染源、保护目标分布情况开展现状调查以留作背景值”。</w:t>
            </w:r>
          </w:p>
          <w:p>
            <w:pPr>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eastAsia" w:ascii="Times New Roman" w:hAnsi="Times New Roman" w:eastAsia="宋体" w:cs="Times New Roman"/>
                <w:color w:val="auto"/>
                <w:sz w:val="24"/>
                <w:szCs w:val="24"/>
                <w:highlight w:val="none"/>
                <w:lang w:val="en-US" w:eastAsia="zh-CN"/>
              </w:rPr>
              <w:t>现场勘查</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项目周边以</w:t>
            </w:r>
            <w:r>
              <w:rPr>
                <w:rFonts w:hint="default" w:ascii="Times New Roman" w:hAnsi="Times New Roman" w:eastAsia="宋体" w:cs="Times New Roman"/>
                <w:color w:val="auto"/>
                <w:sz w:val="24"/>
                <w:szCs w:val="24"/>
                <w:highlight w:val="none"/>
                <w:lang w:val="zh-CN"/>
              </w:rPr>
              <w:t>城市道路、</w:t>
            </w:r>
            <w:r>
              <w:rPr>
                <w:rFonts w:hint="eastAsia" w:ascii="Times New Roman" w:hAnsi="Times New Roman" w:eastAsia="宋体" w:cs="Times New Roman"/>
                <w:color w:val="auto"/>
                <w:sz w:val="24"/>
                <w:szCs w:val="24"/>
                <w:highlight w:val="none"/>
                <w:lang w:val="zh-CN"/>
              </w:rPr>
              <w:t>工业</w:t>
            </w:r>
            <w:r>
              <w:rPr>
                <w:rFonts w:hint="default" w:ascii="Times New Roman" w:hAnsi="Times New Roman" w:eastAsia="宋体" w:cs="Times New Roman"/>
                <w:color w:val="auto"/>
                <w:sz w:val="24"/>
                <w:szCs w:val="24"/>
                <w:highlight w:val="none"/>
                <w:lang w:val="zh-CN"/>
              </w:rPr>
              <w:t>企业</w:t>
            </w:r>
            <w:r>
              <w:rPr>
                <w:rFonts w:hint="eastAsia" w:ascii="Times New Roman" w:hAnsi="Times New Roman" w:eastAsia="宋体" w:cs="Times New Roman"/>
                <w:color w:val="auto"/>
                <w:sz w:val="24"/>
                <w:szCs w:val="24"/>
                <w:highlight w:val="none"/>
                <w:lang w:val="zh-CN" w:eastAsia="zh-CN"/>
              </w:rPr>
              <w:t>为主</w:t>
            </w:r>
            <w:r>
              <w:rPr>
                <w:rFonts w:hint="eastAsia" w:ascii="Times New Roman" w:hAnsi="Times New Roman" w:eastAsia="宋体" w:cs="Times New Roman"/>
                <w:color w:val="auto"/>
                <w:sz w:val="24"/>
                <w:szCs w:val="24"/>
                <w:highlight w:val="none"/>
                <w:lang w:val="en-US" w:eastAsia="zh-CN"/>
              </w:rPr>
              <w:t>，项目周边地下水、土壤环境相对不敏感，采取有效的防渗措施后，项目对地下水、土壤环境影响很小，因此，本评价不对项目地下水、土壤环境质量进行补充监测。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577"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目标</w:t>
            </w:r>
          </w:p>
        </w:tc>
        <w:tc>
          <w:tcPr>
            <w:tcW w:w="8310" w:type="dxa"/>
            <w:vAlign w:val="center"/>
          </w:tcPr>
          <w:p>
            <w:pPr>
              <w:pStyle w:val="3"/>
              <w:bidi w:val="0"/>
              <w:rPr>
                <w:rFonts w:hint="default"/>
                <w:color w:val="auto"/>
              </w:rPr>
            </w:pPr>
            <w:r>
              <w:rPr>
                <w:rFonts w:hint="default"/>
                <w:color w:val="auto"/>
                <w:lang w:val="en-US" w:eastAsia="zh-CN"/>
              </w:rPr>
              <w:t>3.</w:t>
            </w:r>
            <w:r>
              <w:rPr>
                <w:rFonts w:hint="eastAsia"/>
                <w:color w:val="auto"/>
                <w:lang w:val="en-US" w:eastAsia="zh-CN"/>
              </w:rPr>
              <w:t>6</w:t>
            </w:r>
            <w:r>
              <w:rPr>
                <w:rFonts w:hint="default"/>
                <w:color w:val="auto"/>
                <w:lang w:val="en-US" w:eastAsia="zh-CN"/>
              </w:rPr>
              <w:t xml:space="preserve"> </w:t>
            </w:r>
            <w:r>
              <w:rPr>
                <w:rFonts w:hint="default"/>
                <w:color w:val="auto"/>
              </w:rPr>
              <w:t>环境保护目标</w:t>
            </w:r>
          </w:p>
          <w:p>
            <w:pPr>
              <w:adjustRightInd w:val="0"/>
              <w:snapToGrid w:val="0"/>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根据《建设项目环境影响报告表编制技术指南</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污染影响类</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试行</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环办环评〔2020〕33号</w:t>
            </w:r>
            <w:r>
              <w:rPr>
                <w:rFonts w:hint="default" w:ascii="Times New Roman" w:hAnsi="Times New Roman" w:eastAsia="宋体" w:cs="Times New Roman"/>
                <w:color w:val="auto"/>
                <w:kern w:val="0"/>
                <w:sz w:val="24"/>
                <w:szCs w:val="24"/>
                <w:lang w:val="en-US" w:eastAsia="zh-CN"/>
              </w:rPr>
              <w:t>)</w:t>
            </w:r>
            <w:r>
              <w:rPr>
                <w:rFonts w:hint="default" w:ascii="Times New Roman" w:hAnsi="Times New Roman" w:eastAsia="宋体" w:cs="Times New Roman"/>
                <w:color w:val="auto"/>
                <w:kern w:val="0"/>
                <w:sz w:val="24"/>
                <w:szCs w:val="24"/>
              </w:rPr>
              <w:t>要求以及对项目周边环境的调查，项目</w:t>
            </w:r>
            <w:r>
              <w:rPr>
                <w:rFonts w:hint="default" w:ascii="Times New Roman" w:hAnsi="Times New Roman" w:eastAsia="宋体" w:cs="Times New Roman"/>
                <w:color w:val="auto"/>
                <w:kern w:val="0"/>
                <w:sz w:val="24"/>
                <w:szCs w:val="24"/>
                <w:lang w:val="en-US" w:eastAsia="zh-CN"/>
              </w:rPr>
              <w:t>大气环境</w:t>
            </w:r>
            <w:r>
              <w:rPr>
                <w:rFonts w:hint="eastAsia" w:ascii="Times New Roman" w:hAnsi="Times New Roman" w:eastAsia="宋体" w:cs="Times New Roman"/>
                <w:color w:val="auto"/>
                <w:kern w:val="0"/>
                <w:sz w:val="24"/>
                <w:szCs w:val="24"/>
                <w:lang w:val="en-US" w:eastAsia="zh-CN"/>
              </w:rPr>
              <w:t>(厂界外500m)</w:t>
            </w:r>
            <w:r>
              <w:rPr>
                <w:rFonts w:hint="default" w:ascii="Times New Roman" w:hAnsi="Times New Roman" w:eastAsia="宋体" w:cs="Times New Roman"/>
                <w:color w:val="auto"/>
                <w:kern w:val="0"/>
                <w:sz w:val="24"/>
                <w:szCs w:val="24"/>
                <w:lang w:val="en-US" w:eastAsia="zh-CN"/>
              </w:rPr>
              <w:t>、地表水环境、声环境</w:t>
            </w:r>
            <w:r>
              <w:rPr>
                <w:rFonts w:hint="eastAsia" w:ascii="Times New Roman" w:hAnsi="Times New Roman" w:eastAsia="宋体" w:cs="Times New Roman"/>
                <w:color w:val="auto"/>
                <w:kern w:val="0"/>
                <w:sz w:val="24"/>
                <w:szCs w:val="24"/>
                <w:lang w:val="en-US" w:eastAsia="zh-CN"/>
              </w:rPr>
              <w:t>(厂界外50m)、地下水环境(厂界外500m)等环境保护目标</w:t>
            </w:r>
            <w:r>
              <w:rPr>
                <w:rFonts w:hint="default" w:ascii="Times New Roman" w:hAnsi="Times New Roman" w:eastAsia="宋体" w:cs="Times New Roman"/>
                <w:color w:val="auto"/>
                <w:kern w:val="0"/>
                <w:sz w:val="24"/>
                <w:szCs w:val="24"/>
              </w:rPr>
              <w:t>见表3.</w:t>
            </w:r>
            <w:r>
              <w:rPr>
                <w:rFonts w:hint="eastAsia" w:ascii="Times New Roman" w:hAnsi="Times New Roman" w:eastAsia="宋体" w:cs="Times New Roman"/>
                <w:color w:val="auto"/>
                <w:kern w:val="0"/>
                <w:sz w:val="24"/>
                <w:szCs w:val="24"/>
                <w:lang w:val="en-US" w:eastAsia="zh-CN"/>
              </w:rPr>
              <w:t>6-1</w:t>
            </w:r>
            <w:r>
              <w:rPr>
                <w:rFonts w:hint="default" w:ascii="Times New Roman" w:hAnsi="Times New Roman" w:eastAsia="宋体" w:cs="Times New Roman"/>
                <w:color w:val="auto"/>
                <w:kern w:val="0"/>
                <w:sz w:val="24"/>
                <w:szCs w:val="24"/>
              </w:rPr>
              <w:t>和附图</w:t>
            </w:r>
            <w:r>
              <w:rPr>
                <w:rFonts w:hint="eastAsia" w:cs="Times New Roman"/>
                <w:color w:val="auto"/>
                <w:kern w:val="0"/>
                <w:sz w:val="24"/>
                <w:szCs w:val="24"/>
                <w:lang w:val="en-US" w:eastAsia="zh-CN"/>
              </w:rPr>
              <w:t>二</w:t>
            </w:r>
            <w:r>
              <w:rPr>
                <w:rFonts w:hint="default" w:ascii="Times New Roman" w:hAnsi="Times New Roman" w:eastAsia="宋体" w:cs="Times New Roman"/>
                <w:color w:val="auto"/>
                <w:kern w:val="0"/>
                <w:sz w:val="24"/>
                <w:szCs w:val="24"/>
              </w:rPr>
              <w:t>。</w:t>
            </w:r>
          </w:p>
          <w:p>
            <w:pPr>
              <w:pStyle w:val="33"/>
              <w:bidi w:val="0"/>
              <w:rPr>
                <w:rFonts w:hint="default"/>
                <w:color w:val="auto"/>
                <w:sz w:val="24"/>
              </w:rPr>
            </w:pPr>
            <w:r>
              <w:rPr>
                <w:rFonts w:hint="default"/>
                <w:color w:val="auto"/>
                <w:sz w:val="24"/>
              </w:rPr>
              <w:t>表</w:t>
            </w:r>
            <w:r>
              <w:rPr>
                <w:rFonts w:hint="eastAsia"/>
                <w:color w:val="auto"/>
                <w:sz w:val="24"/>
                <w:lang w:val="en-US" w:eastAsia="zh-CN"/>
              </w:rPr>
              <w:t xml:space="preserve">3.6-1 </w:t>
            </w:r>
            <w:r>
              <w:rPr>
                <w:rFonts w:hint="default"/>
                <w:color w:val="auto"/>
                <w:sz w:val="24"/>
              </w:rPr>
              <w:t>环境保护目标一览表</w:t>
            </w:r>
          </w:p>
          <w:tbl>
            <w:tblPr>
              <w:tblStyle w:val="24"/>
              <w:tblW w:w="809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329"/>
              <w:gridCol w:w="1653"/>
              <w:gridCol w:w="1792"/>
              <w:gridCol w:w="24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4" w:type="dxa"/>
                  <w:vAlign w:val="center"/>
                </w:tcPr>
                <w:p>
                  <w:pPr>
                    <w:pStyle w:val="28"/>
                    <w:bidi w:val="0"/>
                    <w:rPr>
                      <w:rFonts w:hint="default"/>
                      <w:b/>
                      <w:bCs/>
                      <w:color w:val="auto"/>
                    </w:rPr>
                  </w:pPr>
                  <w:r>
                    <w:rPr>
                      <w:rFonts w:hint="default"/>
                      <w:b/>
                      <w:bCs/>
                      <w:color w:val="auto"/>
                    </w:rPr>
                    <w:t>环境</w:t>
                  </w:r>
                </w:p>
                <w:p>
                  <w:pPr>
                    <w:pStyle w:val="28"/>
                    <w:bidi w:val="0"/>
                    <w:rPr>
                      <w:rFonts w:hint="default"/>
                      <w:b/>
                      <w:bCs/>
                      <w:color w:val="auto"/>
                    </w:rPr>
                  </w:pPr>
                  <w:r>
                    <w:rPr>
                      <w:rFonts w:hint="default"/>
                      <w:b/>
                      <w:bCs/>
                      <w:color w:val="auto"/>
                    </w:rPr>
                    <w:t>要素</w:t>
                  </w:r>
                </w:p>
              </w:tc>
              <w:tc>
                <w:tcPr>
                  <w:tcW w:w="1329" w:type="dxa"/>
                  <w:vAlign w:val="center"/>
                </w:tcPr>
                <w:p>
                  <w:pPr>
                    <w:pStyle w:val="28"/>
                    <w:bidi w:val="0"/>
                    <w:rPr>
                      <w:rFonts w:hint="default"/>
                      <w:b/>
                      <w:bCs/>
                      <w:color w:val="auto"/>
                    </w:rPr>
                  </w:pPr>
                  <w:r>
                    <w:rPr>
                      <w:rFonts w:hint="default"/>
                      <w:b/>
                      <w:bCs/>
                      <w:color w:val="auto"/>
                    </w:rPr>
                    <w:t>环境保护对象名称</w:t>
                  </w:r>
                </w:p>
              </w:tc>
              <w:tc>
                <w:tcPr>
                  <w:tcW w:w="1653" w:type="dxa"/>
                  <w:vAlign w:val="center"/>
                </w:tcPr>
                <w:p>
                  <w:pPr>
                    <w:pStyle w:val="28"/>
                    <w:bidi w:val="0"/>
                    <w:rPr>
                      <w:rFonts w:hint="default"/>
                      <w:b/>
                      <w:bCs/>
                      <w:color w:val="auto"/>
                    </w:rPr>
                  </w:pPr>
                  <w:r>
                    <w:rPr>
                      <w:rFonts w:hint="default"/>
                      <w:b/>
                      <w:bCs/>
                      <w:color w:val="auto"/>
                    </w:rPr>
                    <w:t>相对项目的方位和最近距离</w:t>
                  </w:r>
                </w:p>
              </w:tc>
              <w:tc>
                <w:tcPr>
                  <w:tcW w:w="1792" w:type="dxa"/>
                  <w:vAlign w:val="center"/>
                </w:tcPr>
                <w:p>
                  <w:pPr>
                    <w:pStyle w:val="28"/>
                    <w:bidi w:val="0"/>
                    <w:rPr>
                      <w:rFonts w:hint="default"/>
                      <w:b/>
                      <w:bCs/>
                      <w:color w:val="auto"/>
                    </w:rPr>
                  </w:pPr>
                  <w:r>
                    <w:rPr>
                      <w:rFonts w:hint="default"/>
                      <w:b/>
                      <w:bCs/>
                      <w:color w:val="auto"/>
                    </w:rPr>
                    <w:t>目标规模</w:t>
                  </w:r>
                </w:p>
              </w:tc>
              <w:tc>
                <w:tcPr>
                  <w:tcW w:w="2493" w:type="dxa"/>
                  <w:vAlign w:val="center"/>
                </w:tcPr>
                <w:p>
                  <w:pPr>
                    <w:pStyle w:val="28"/>
                    <w:bidi w:val="0"/>
                    <w:rPr>
                      <w:rFonts w:hint="default"/>
                      <w:b/>
                      <w:bCs/>
                      <w:color w:val="auto"/>
                    </w:rPr>
                  </w:pPr>
                  <w:r>
                    <w:rPr>
                      <w:rFonts w:hint="default"/>
                      <w:b/>
                      <w:bCs/>
                      <w:color w:val="auto"/>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4" w:type="dxa"/>
                  <w:vAlign w:val="center"/>
                </w:tcPr>
                <w:p>
                  <w:pPr>
                    <w:pStyle w:val="28"/>
                    <w:bidi w:val="0"/>
                    <w:rPr>
                      <w:rFonts w:hint="default"/>
                      <w:color w:val="auto"/>
                    </w:rPr>
                  </w:pPr>
                  <w:r>
                    <w:rPr>
                      <w:rFonts w:hint="default"/>
                      <w:color w:val="auto"/>
                    </w:rPr>
                    <w:t>环境</w:t>
                  </w:r>
                </w:p>
                <w:p>
                  <w:pPr>
                    <w:pStyle w:val="28"/>
                    <w:bidi w:val="0"/>
                    <w:rPr>
                      <w:rFonts w:hint="default"/>
                      <w:color w:val="auto"/>
                    </w:rPr>
                  </w:pPr>
                  <w:r>
                    <w:rPr>
                      <w:rFonts w:hint="default"/>
                      <w:color w:val="auto"/>
                    </w:rPr>
                    <w:t>空气</w:t>
                  </w:r>
                </w:p>
              </w:tc>
              <w:tc>
                <w:tcPr>
                  <w:tcW w:w="1329" w:type="dxa"/>
                  <w:vAlign w:val="center"/>
                </w:tcPr>
                <w:p>
                  <w:pPr>
                    <w:pStyle w:val="28"/>
                    <w:bidi w:val="0"/>
                    <w:rPr>
                      <w:rFonts w:hint="default"/>
                      <w:color w:val="auto"/>
                      <w:lang w:val="en-US" w:eastAsia="zh-CN"/>
                    </w:rPr>
                  </w:pPr>
                  <w:r>
                    <w:rPr>
                      <w:rFonts w:hint="eastAsia"/>
                      <w:color w:val="auto"/>
                      <w:lang w:val="en-US" w:eastAsia="zh-CN"/>
                    </w:rPr>
                    <w:t>石溪村</w:t>
                  </w:r>
                </w:p>
              </w:tc>
              <w:tc>
                <w:tcPr>
                  <w:tcW w:w="1653" w:type="dxa"/>
                  <w:vAlign w:val="center"/>
                </w:tcPr>
                <w:p>
                  <w:pPr>
                    <w:pStyle w:val="28"/>
                    <w:bidi w:val="0"/>
                    <w:rPr>
                      <w:rFonts w:hint="default"/>
                      <w:color w:val="auto"/>
                    </w:rPr>
                  </w:pPr>
                  <w:r>
                    <w:rPr>
                      <w:rFonts w:hint="eastAsia"/>
                      <w:color w:val="auto"/>
                      <w:lang w:val="en-US" w:eastAsia="zh-CN"/>
                    </w:rPr>
                    <w:t>西</w:t>
                  </w:r>
                  <w:r>
                    <w:rPr>
                      <w:rFonts w:hint="default"/>
                      <w:color w:val="auto"/>
                      <w:lang w:val="en-US" w:eastAsia="zh-CN"/>
                    </w:rPr>
                    <w:t>侧</w:t>
                  </w:r>
                  <w:r>
                    <w:rPr>
                      <w:rFonts w:hint="eastAsia"/>
                      <w:color w:val="auto"/>
                      <w:highlight w:val="none"/>
                      <w:lang w:val="en-US" w:eastAsia="zh-CN"/>
                    </w:rPr>
                    <w:t>260</w:t>
                  </w:r>
                  <w:r>
                    <w:rPr>
                      <w:rFonts w:hint="default"/>
                      <w:color w:val="auto"/>
                      <w:highlight w:val="none"/>
                      <w:lang w:val="en-US" w:eastAsia="zh-CN"/>
                    </w:rPr>
                    <w:t>m</w:t>
                  </w:r>
                </w:p>
              </w:tc>
              <w:tc>
                <w:tcPr>
                  <w:tcW w:w="1792" w:type="dxa"/>
                  <w:vAlign w:val="center"/>
                </w:tcPr>
                <w:p>
                  <w:pPr>
                    <w:pStyle w:val="28"/>
                    <w:bidi w:val="0"/>
                    <w:rPr>
                      <w:rFonts w:hint="default"/>
                      <w:color w:val="auto"/>
                      <w:lang w:val="en-US" w:eastAsia="zh-CN"/>
                    </w:rPr>
                  </w:pPr>
                  <w:r>
                    <w:rPr>
                      <w:rFonts w:hint="eastAsia"/>
                      <w:color w:val="auto"/>
                      <w:lang w:val="en-US" w:eastAsia="zh-CN"/>
                    </w:rPr>
                    <w:t>约35户/125人（500m范围内）</w:t>
                  </w:r>
                </w:p>
              </w:tc>
              <w:tc>
                <w:tcPr>
                  <w:tcW w:w="2493" w:type="dxa"/>
                  <w:vAlign w:val="center"/>
                </w:tcPr>
                <w:p>
                  <w:pPr>
                    <w:pStyle w:val="28"/>
                    <w:bidi w:val="0"/>
                    <w:rPr>
                      <w:rFonts w:hint="default"/>
                      <w:color w:val="auto"/>
                    </w:rPr>
                  </w:pPr>
                  <w:r>
                    <w:rPr>
                      <w:rFonts w:hint="default"/>
                      <w:color w:val="auto"/>
                    </w:rPr>
                    <w:t>《环境空气质量标准》(GB3095</w:t>
                  </w:r>
                  <w:r>
                    <w:rPr>
                      <w:rFonts w:hint="eastAsia"/>
                      <w:color w:val="auto"/>
                      <w:lang w:val="en-US" w:eastAsia="zh-CN"/>
                    </w:rPr>
                    <w:t xml:space="preserve"> </w:t>
                  </w:r>
                  <w:r>
                    <w:rPr>
                      <w:rFonts w:hint="default"/>
                      <w:color w:val="auto"/>
                    </w:rPr>
                    <w:t>-2012)及其修改单二级标准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4" w:type="dxa"/>
                  <w:vAlign w:val="center"/>
                </w:tcPr>
                <w:p>
                  <w:pPr>
                    <w:pStyle w:val="28"/>
                    <w:bidi w:val="0"/>
                    <w:rPr>
                      <w:rFonts w:hint="default"/>
                      <w:color w:val="auto"/>
                    </w:rPr>
                  </w:pPr>
                  <w:r>
                    <w:rPr>
                      <w:rFonts w:hint="default"/>
                      <w:color w:val="auto"/>
                    </w:rPr>
                    <w:t>地表水</w:t>
                  </w:r>
                </w:p>
              </w:tc>
              <w:tc>
                <w:tcPr>
                  <w:tcW w:w="1329" w:type="dxa"/>
                  <w:vAlign w:val="center"/>
                </w:tcPr>
                <w:p>
                  <w:pPr>
                    <w:pStyle w:val="28"/>
                    <w:bidi w:val="0"/>
                    <w:rPr>
                      <w:rFonts w:hint="default"/>
                      <w:color w:val="auto"/>
                      <w:lang w:val="en-US" w:eastAsia="zh-CN"/>
                    </w:rPr>
                  </w:pPr>
                  <w:r>
                    <w:rPr>
                      <w:rFonts w:hint="default"/>
                      <w:color w:val="auto"/>
                      <w:lang w:eastAsia="zh-CN"/>
                    </w:rPr>
                    <w:t>南厝河</w:t>
                  </w:r>
                </w:p>
              </w:tc>
              <w:tc>
                <w:tcPr>
                  <w:tcW w:w="1653" w:type="dxa"/>
                  <w:vAlign w:val="center"/>
                </w:tcPr>
                <w:p>
                  <w:pPr>
                    <w:pStyle w:val="28"/>
                    <w:bidi w:val="0"/>
                    <w:rPr>
                      <w:rFonts w:hint="eastAsia"/>
                      <w:color w:val="auto"/>
                      <w:lang w:val="en-US" w:eastAsia="zh-CN"/>
                    </w:rPr>
                  </w:pPr>
                  <w:r>
                    <w:rPr>
                      <w:rFonts w:hint="eastAsia"/>
                      <w:color w:val="auto"/>
                      <w:lang w:val="en-US" w:eastAsia="zh-CN"/>
                    </w:rPr>
                    <w:t>南侧5m</w:t>
                  </w:r>
                </w:p>
              </w:tc>
              <w:tc>
                <w:tcPr>
                  <w:tcW w:w="1792" w:type="dxa"/>
                  <w:vAlign w:val="center"/>
                </w:tcPr>
                <w:p>
                  <w:pPr>
                    <w:pStyle w:val="28"/>
                    <w:bidi w:val="0"/>
                    <w:rPr>
                      <w:rFonts w:hint="default"/>
                      <w:color w:val="auto"/>
                      <w:lang w:val="en-US" w:eastAsia="zh-CN"/>
                    </w:rPr>
                  </w:pPr>
                  <w:r>
                    <w:rPr>
                      <w:rFonts w:hint="eastAsia"/>
                      <w:color w:val="auto"/>
                      <w:lang w:val="en-US" w:eastAsia="zh-CN"/>
                    </w:rPr>
                    <w:t>小型河流，河宽5-20m之间</w:t>
                  </w:r>
                </w:p>
              </w:tc>
              <w:tc>
                <w:tcPr>
                  <w:tcW w:w="2493" w:type="dxa"/>
                  <w:vAlign w:val="center"/>
                </w:tcPr>
                <w:p>
                  <w:pPr>
                    <w:pStyle w:val="28"/>
                    <w:bidi w:val="0"/>
                    <w:rPr>
                      <w:rFonts w:hint="eastAsia"/>
                      <w:color w:val="auto"/>
                      <w:lang w:val="en-US" w:eastAsia="zh-CN"/>
                    </w:rPr>
                  </w:pPr>
                  <w:r>
                    <w:rPr>
                      <w:rFonts w:hint="eastAsia"/>
                      <w:color w:val="auto"/>
                      <w:lang w:val="en-US" w:eastAsia="zh-CN"/>
                    </w:rPr>
                    <w:t>《地表水环境质量标准》（GB3838-2002）中Ⅲ类标准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4" w:type="dxa"/>
                  <w:vAlign w:val="center"/>
                </w:tcPr>
                <w:p>
                  <w:pPr>
                    <w:pStyle w:val="28"/>
                    <w:bidi w:val="0"/>
                    <w:rPr>
                      <w:rFonts w:hint="default"/>
                      <w:color w:val="auto"/>
                    </w:rPr>
                  </w:pPr>
                  <w:r>
                    <w:rPr>
                      <w:rFonts w:hint="default"/>
                      <w:color w:val="auto"/>
                    </w:rPr>
                    <w:t>声环境</w:t>
                  </w:r>
                </w:p>
              </w:tc>
              <w:tc>
                <w:tcPr>
                  <w:tcW w:w="7267" w:type="dxa"/>
                  <w:gridSpan w:val="4"/>
                  <w:vAlign w:val="center"/>
                </w:tcPr>
                <w:p>
                  <w:pPr>
                    <w:pStyle w:val="28"/>
                    <w:bidi w:val="0"/>
                    <w:rPr>
                      <w:rFonts w:hint="default"/>
                      <w:color w:val="auto"/>
                    </w:rPr>
                  </w:pPr>
                  <w:r>
                    <w:rPr>
                      <w:rFonts w:hint="default"/>
                      <w:color w:val="auto"/>
                      <w:lang w:val="en-US" w:eastAsia="zh-CN"/>
                    </w:rPr>
                    <w:t>项目厂界外50m范围内无声环境保护目标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824" w:type="dxa"/>
                  <w:vAlign w:val="center"/>
                </w:tcPr>
                <w:p>
                  <w:pPr>
                    <w:pStyle w:val="28"/>
                    <w:bidi w:val="0"/>
                    <w:rPr>
                      <w:rFonts w:hint="default"/>
                      <w:color w:val="auto"/>
                    </w:rPr>
                  </w:pPr>
                  <w:r>
                    <w:rPr>
                      <w:rFonts w:hint="default"/>
                      <w:color w:val="auto"/>
                    </w:rPr>
                    <w:t>地下水</w:t>
                  </w:r>
                </w:p>
              </w:tc>
              <w:tc>
                <w:tcPr>
                  <w:tcW w:w="7267" w:type="dxa"/>
                  <w:gridSpan w:val="4"/>
                  <w:vAlign w:val="center"/>
                </w:tcPr>
                <w:p>
                  <w:pPr>
                    <w:pStyle w:val="28"/>
                    <w:bidi w:val="0"/>
                    <w:rPr>
                      <w:rFonts w:hint="default"/>
                      <w:color w:val="auto"/>
                    </w:rPr>
                  </w:pPr>
                  <w:r>
                    <w:rPr>
                      <w:rFonts w:hint="default"/>
                      <w:color w:val="auto"/>
                    </w:rPr>
                    <w:t>项目厂界外500</w:t>
                  </w:r>
                  <w:r>
                    <w:rPr>
                      <w:rFonts w:hint="default"/>
                      <w:color w:val="auto"/>
                      <w:lang w:val="en-US" w:eastAsia="zh-CN"/>
                    </w:rPr>
                    <w:t>m</w:t>
                  </w:r>
                  <w:r>
                    <w:rPr>
                      <w:rFonts w:hint="default"/>
                      <w:color w:val="auto"/>
                    </w:rPr>
                    <w:t>范围内无地下水集中式饮用水水源和热水、矿泉水、温泉等特殊地下水资源</w:t>
                  </w:r>
                </w:p>
              </w:tc>
            </w:tr>
          </w:tbl>
          <w:p>
            <w:pPr>
              <w:adjustRightInd w:val="0"/>
              <w:snapToGrid w:val="0"/>
              <w:spacing w:line="360" w:lineRule="auto"/>
              <w:ind w:firstLine="480" w:firstLineChars="200"/>
              <w:rPr>
                <w:rFonts w:hint="default" w:ascii="Times New Roman" w:hAnsi="Times New Roman" w:eastAsia="宋体"/>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污染</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物排</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放控</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auto"/>
              </w:rPr>
            </w:pPr>
            <w:r>
              <w:rPr>
                <w:rFonts w:hint="default"/>
                <w:color w:val="auto"/>
              </w:rPr>
              <w:t>制标</w:t>
            </w:r>
          </w:p>
          <w:p>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Cs w:val="21"/>
              </w:rPr>
            </w:pPr>
            <w:r>
              <w:rPr>
                <w:rFonts w:hint="default"/>
                <w:color w:val="auto"/>
              </w:rPr>
              <w:t>准</w:t>
            </w:r>
          </w:p>
        </w:tc>
        <w:tc>
          <w:tcPr>
            <w:tcW w:w="8310" w:type="dxa"/>
            <w:vAlign w:val="center"/>
          </w:tcPr>
          <w:p>
            <w:pPr>
              <w:pStyle w:val="3"/>
              <w:bidi w:val="0"/>
              <w:rPr>
                <w:rFonts w:hint="default"/>
                <w:color w:val="auto"/>
                <w:lang w:val="en-US" w:eastAsia="zh-CN"/>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 污染物排放标准</w:t>
            </w:r>
          </w:p>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 xml:space="preserve">.1 </w:t>
            </w:r>
            <w:r>
              <w:rPr>
                <w:rFonts w:hint="default"/>
                <w:color w:val="auto"/>
              </w:rPr>
              <w:t>水污染物</w:t>
            </w:r>
            <w:r>
              <w:rPr>
                <w:rFonts w:hint="default"/>
                <w:color w:val="auto"/>
                <w:lang w:val="en-US" w:eastAsia="zh-CN"/>
              </w:rPr>
              <w:t>排放标准</w:t>
            </w:r>
          </w:p>
          <w:p>
            <w:pPr>
              <w:bidi w:val="0"/>
              <w:rPr>
                <w:rFonts w:hint="default"/>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default"/>
                <w:color w:val="auto"/>
              </w:rPr>
              <w:t>项目</w:t>
            </w:r>
            <w:r>
              <w:rPr>
                <w:rFonts w:hint="default"/>
                <w:color w:val="auto"/>
                <w:lang w:eastAsia="zh-CN"/>
              </w:rPr>
              <w:t>水污染物</w:t>
            </w:r>
            <w:r>
              <w:rPr>
                <w:rFonts w:hint="default"/>
                <w:color w:val="auto"/>
              </w:rPr>
              <w:t>排放标准</w:t>
            </w:r>
          </w:p>
          <w:p>
            <w:pPr>
              <w:bidi w:val="0"/>
              <w:rPr>
                <w:rFonts w:hint="default"/>
                <w:color w:val="auto"/>
                <w:lang w:val="en-US" w:eastAsia="zh-CN"/>
              </w:rPr>
            </w:pPr>
            <w:r>
              <w:rPr>
                <w:rFonts w:hint="default"/>
                <w:color w:val="auto"/>
                <w:lang w:val="en-US" w:eastAsia="zh-CN"/>
              </w:rPr>
              <w:t>①</w:t>
            </w:r>
            <w:r>
              <w:rPr>
                <w:rFonts w:hint="eastAsia"/>
                <w:color w:val="auto"/>
                <w:lang w:val="en-US" w:eastAsia="zh-CN"/>
              </w:rPr>
              <w:t>施工期</w:t>
            </w:r>
          </w:p>
          <w:p>
            <w:pPr>
              <w:bidi w:val="0"/>
              <w:rPr>
                <w:rFonts w:hint="eastAsia"/>
                <w:color w:val="auto"/>
                <w:lang w:eastAsia="zh-CN"/>
              </w:rPr>
            </w:pPr>
            <w:r>
              <w:rPr>
                <w:color w:val="auto"/>
              </w:rPr>
              <w:t>施工期设临时隔油沉淀池，</w:t>
            </w:r>
            <w:r>
              <w:rPr>
                <w:rFonts w:hint="eastAsia"/>
                <w:color w:val="auto"/>
                <w:lang w:eastAsia="zh-CN"/>
              </w:rPr>
              <w:t>施工废水</w:t>
            </w:r>
            <w:r>
              <w:rPr>
                <w:color w:val="auto"/>
              </w:rPr>
              <w:t>经隔油沉淀处理后全部回用场地洒水抑尘和</w:t>
            </w:r>
            <w:r>
              <w:rPr>
                <w:rFonts w:hint="eastAsia"/>
                <w:color w:val="auto"/>
                <w:lang w:eastAsia="zh-CN"/>
              </w:rPr>
              <w:t>施工</w:t>
            </w:r>
            <w:r>
              <w:rPr>
                <w:color w:val="auto"/>
              </w:rPr>
              <w:t>，不外排。本项目</w:t>
            </w:r>
            <w:r>
              <w:rPr>
                <w:rFonts w:hint="eastAsia"/>
                <w:color w:val="auto"/>
                <w:lang w:eastAsia="zh-CN"/>
              </w:rPr>
              <w:t>施工人员租用周边民房，依托区域现有污水处理系统和排水系统，因此不另行设置排放标准。</w:t>
            </w:r>
          </w:p>
          <w:p>
            <w:pPr>
              <w:bidi w:val="0"/>
              <w:rPr>
                <w:rFonts w:hint="default"/>
                <w:color w:val="auto"/>
                <w:lang w:val="en-US" w:eastAsia="zh-CN"/>
              </w:rPr>
            </w:pPr>
            <w:r>
              <w:rPr>
                <w:rFonts w:hint="default"/>
                <w:color w:val="auto"/>
                <w:lang w:val="en-US" w:eastAsia="zh-CN"/>
              </w:rPr>
              <w:t>②</w:t>
            </w:r>
            <w:r>
              <w:rPr>
                <w:rFonts w:hint="eastAsia"/>
                <w:color w:val="auto"/>
                <w:lang w:val="en-US" w:eastAsia="zh-CN"/>
              </w:rPr>
              <w:t>运营期</w:t>
            </w:r>
          </w:p>
          <w:p>
            <w:pPr>
              <w:bidi w:val="0"/>
              <w:rPr>
                <w:rFonts w:hint="eastAsia"/>
                <w:color w:val="auto"/>
                <w:lang w:val="en-US" w:eastAsia="zh-CN"/>
              </w:rPr>
            </w:pPr>
            <w:r>
              <w:rPr>
                <w:rFonts w:hint="default"/>
                <w:color w:val="auto"/>
                <w:lang w:val="en-US" w:eastAsia="zh-CN"/>
              </w:rPr>
              <w:t>本项目设备清洗废水、</w:t>
            </w:r>
            <w:r>
              <w:rPr>
                <w:rFonts w:hint="eastAsia"/>
                <w:color w:val="auto"/>
                <w:lang w:val="en-US" w:eastAsia="zh-CN"/>
              </w:rPr>
              <w:t>生产区</w:t>
            </w:r>
            <w:r>
              <w:rPr>
                <w:rFonts w:hint="default"/>
                <w:color w:val="auto"/>
                <w:lang w:val="en-US" w:eastAsia="zh-CN"/>
              </w:rPr>
              <w:t>地面冲洗废水、</w:t>
            </w:r>
            <w:r>
              <w:rPr>
                <w:rFonts w:hint="eastAsia"/>
                <w:color w:val="auto"/>
                <w:lang w:val="en-US" w:eastAsia="zh-CN"/>
              </w:rPr>
              <w:t>试验清洗废水、洗砂用水等</w:t>
            </w:r>
            <w:r>
              <w:rPr>
                <w:rFonts w:hint="default"/>
                <w:color w:val="auto"/>
                <w:lang w:val="en-US" w:eastAsia="zh-CN"/>
              </w:rPr>
              <w:t>经生产废水处理系统处理后全部回用，不外排；</w:t>
            </w:r>
            <w:r>
              <w:rPr>
                <w:rFonts w:hint="eastAsia"/>
                <w:color w:val="auto"/>
                <w:lang w:val="en-US" w:eastAsia="zh-CN"/>
              </w:rPr>
              <w:t>厂区职工的</w:t>
            </w:r>
            <w:r>
              <w:rPr>
                <w:rFonts w:hint="default"/>
                <w:color w:val="auto"/>
                <w:lang w:val="en-US" w:eastAsia="zh-CN"/>
              </w:rPr>
              <w:t>生活污水</w:t>
            </w:r>
            <w:r>
              <w:rPr>
                <w:rFonts w:hint="eastAsia"/>
                <w:color w:val="auto"/>
                <w:highlight w:val="none"/>
                <w:lang w:val="en-US" w:eastAsia="zh-CN"/>
              </w:rPr>
              <w:t>经</w:t>
            </w:r>
            <w:r>
              <w:rPr>
                <w:rFonts w:hint="default"/>
                <w:color w:val="auto"/>
                <w:highlight w:val="none"/>
                <w:lang w:val="en-US" w:eastAsia="zh-CN"/>
              </w:rPr>
              <w:t>厂区</w:t>
            </w:r>
            <w:r>
              <w:rPr>
                <w:rFonts w:hint="eastAsia"/>
                <w:color w:val="auto"/>
                <w:highlight w:val="none"/>
                <w:lang w:val="en-US" w:eastAsia="zh-CN"/>
              </w:rPr>
              <w:t>1#宿舍楼南侧的</w:t>
            </w:r>
            <w:r>
              <w:rPr>
                <w:rFonts w:hint="default"/>
                <w:color w:val="auto"/>
                <w:highlight w:val="none"/>
                <w:lang w:val="en-US" w:eastAsia="zh-CN"/>
              </w:rPr>
              <w:t>化粪池</w:t>
            </w:r>
            <w:r>
              <w:rPr>
                <w:rFonts w:hint="eastAsia"/>
                <w:color w:val="auto"/>
                <w:highlight w:val="none"/>
                <w:lang w:val="en-US" w:eastAsia="zh-CN"/>
              </w:rPr>
              <w:t>+一体化污水处理设施</w:t>
            </w:r>
            <w:r>
              <w:rPr>
                <w:rFonts w:hint="default"/>
                <w:color w:val="auto"/>
                <w:highlight w:val="none"/>
                <w:lang w:val="en-US" w:eastAsia="zh-CN"/>
              </w:rPr>
              <w:t>处理</w:t>
            </w:r>
            <w:r>
              <w:rPr>
                <w:rFonts w:hint="eastAsia"/>
                <w:color w:val="auto"/>
                <w:highlight w:val="none"/>
                <w:lang w:val="en-US" w:eastAsia="zh-CN"/>
              </w:rPr>
              <w:t>后</w:t>
            </w:r>
            <w:r>
              <w:rPr>
                <w:rFonts w:hint="default"/>
                <w:color w:val="auto"/>
                <w:highlight w:val="none"/>
                <w:lang w:val="en-US" w:eastAsia="zh-CN"/>
              </w:rPr>
              <w:t>，</w:t>
            </w:r>
            <w:r>
              <w:rPr>
                <w:rFonts w:hint="eastAsia"/>
                <w:color w:val="auto"/>
                <w:highlight w:val="none"/>
                <w:lang w:val="en-US" w:eastAsia="zh-CN"/>
              </w:rPr>
              <w:t>尾水近期用于厂区内部的绿化灌溉</w:t>
            </w:r>
            <w:r>
              <w:rPr>
                <w:rFonts w:hint="default"/>
                <w:color w:val="auto"/>
                <w:lang w:val="en-US" w:eastAsia="zh-CN"/>
              </w:rPr>
              <w:t>，远期待项目周边市政污水管网及相关配套设施建成后，</w:t>
            </w:r>
            <w:r>
              <w:rPr>
                <w:rFonts w:hint="eastAsia"/>
                <w:color w:val="auto"/>
                <w:lang w:val="en-US" w:eastAsia="zh-CN"/>
              </w:rPr>
              <w:t>再</w:t>
            </w:r>
            <w:r>
              <w:rPr>
                <w:rFonts w:hint="default"/>
                <w:color w:val="auto"/>
                <w:lang w:val="en-US" w:eastAsia="zh-CN"/>
              </w:rPr>
              <w:t>统一接入当地市政污水处理系统排放处理。</w:t>
            </w:r>
            <w:r>
              <w:rPr>
                <w:rFonts w:hint="eastAsia"/>
                <w:color w:val="auto"/>
                <w:lang w:val="en-US" w:eastAsia="zh-CN"/>
              </w:rPr>
              <w:t>项目周期内，处理后的生活污水尾水均不外排。</w:t>
            </w:r>
            <w:bookmarkStart w:id="19" w:name="_Toc461002554"/>
            <w:bookmarkStart w:id="20" w:name="_Toc7698"/>
            <w:bookmarkStart w:id="21" w:name="_Toc490031198"/>
            <w:bookmarkStart w:id="22" w:name="_Toc492278611"/>
            <w:r>
              <w:rPr>
                <w:rFonts w:hint="eastAsia"/>
                <w:color w:val="auto"/>
                <w:lang w:val="en-US" w:eastAsia="zh-CN"/>
              </w:rPr>
              <w:t>生活污水尾水近期满足</w:t>
            </w:r>
            <w:r>
              <w:rPr>
                <w:rFonts w:hint="eastAsia"/>
                <w:color w:val="auto"/>
                <w:lang w:val="en-GB" w:eastAsia="zh-CN"/>
              </w:rPr>
              <w:t>《城市污水再生利用 绿地灌溉水质》（GB/T25499-2010）</w:t>
            </w:r>
            <w:r>
              <w:rPr>
                <w:rFonts w:hint="eastAsia"/>
                <w:color w:val="auto"/>
                <w:lang w:val="en-US" w:eastAsia="zh-CN"/>
              </w:rPr>
              <w:t>相关水质要求，可用于绿化浇灌的使用场景，远期生活污水尾水满足《污水综合排放标准》（GB8978-1996）表4的相关指标三级标准要求。</w:t>
            </w:r>
          </w:p>
          <w:p>
            <w:pPr>
              <w:pStyle w:val="33"/>
              <w:bidi w:val="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表</w:t>
            </w:r>
            <w:r>
              <w:rPr>
                <w:rFonts w:hint="eastAsia" w:ascii="Times New Roman" w:hAnsi="Times New Roman" w:eastAsia="宋体" w:cs="Times New Roman"/>
                <w:color w:val="auto"/>
                <w:sz w:val="24"/>
                <w:szCs w:val="24"/>
                <w:lang w:val="en-US" w:eastAsia="zh-CN"/>
              </w:rPr>
              <w:t>3.7-1</w:t>
            </w:r>
            <w:r>
              <w:rPr>
                <w:rFonts w:ascii="Times New Roman" w:hAnsi="Times New Roman" w:eastAsia="宋体" w:cs="Times New Roman"/>
                <w:color w:val="auto"/>
                <w:sz w:val="24"/>
                <w:szCs w:val="24"/>
              </w:rPr>
              <w:t xml:space="preserve">  项目</w:t>
            </w:r>
            <w:r>
              <w:rPr>
                <w:rFonts w:hint="eastAsia" w:ascii="Times New Roman" w:hAnsi="Times New Roman" w:eastAsia="宋体" w:cs="Times New Roman"/>
                <w:color w:val="auto"/>
                <w:sz w:val="24"/>
                <w:szCs w:val="24"/>
                <w:lang w:val="en-US" w:eastAsia="zh-CN"/>
              </w:rPr>
              <w:t>生活污水</w:t>
            </w:r>
            <w:r>
              <w:rPr>
                <w:rFonts w:hint="eastAsia" w:ascii="Times New Roman" w:hAnsi="Times New Roman" w:eastAsia="宋体" w:cs="Times New Roman"/>
                <w:color w:val="auto"/>
                <w:sz w:val="24"/>
                <w:szCs w:val="24"/>
                <w:lang w:eastAsia="zh-CN"/>
              </w:rPr>
              <w:t>回用标准</w:t>
            </w:r>
            <w:r>
              <w:rPr>
                <w:rFonts w:ascii="Times New Roman" w:hAnsi="Times New Roman" w:eastAsia="宋体" w:cs="Times New Roman"/>
                <w:color w:val="auto"/>
                <w:sz w:val="24"/>
                <w:szCs w:val="24"/>
              </w:rPr>
              <w:t>限值一览表</w:t>
            </w:r>
          </w:p>
          <w:tbl>
            <w:tblPr>
              <w:tblStyle w:val="24"/>
              <w:tblW w:w="809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3296"/>
              <w:gridCol w:w="3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b w:val="0"/>
                      <w:bCs w:val="0"/>
                      <w:color w:val="auto"/>
                      <w:kern w:val="18"/>
                      <w:sz w:val="21"/>
                      <w:szCs w:val="21"/>
                      <w:highlight w:val="none"/>
                    </w:rPr>
                    <w:t>污染物名称</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eastAsia"/>
                      <w:color w:val="auto"/>
                      <w:sz w:val="21"/>
                      <w:szCs w:val="21"/>
                      <w:lang w:val="en-GB" w:eastAsia="zh-CN"/>
                    </w:rPr>
                    <w:t>GB/T25499-2010绿地灌溉水质</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lang w:val="en-GB" w:eastAsia="zh-CN"/>
                    </w:rPr>
                  </w:pPr>
                  <w:r>
                    <w:rPr>
                      <w:rFonts w:hint="eastAsia"/>
                      <w:color w:val="auto"/>
                      <w:sz w:val="21"/>
                      <w:szCs w:val="21"/>
                      <w:lang w:val="en-US" w:eastAsia="zh-CN"/>
                    </w:rPr>
                    <w:t>GB8978-1996污水综合排放标准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kern w:val="18"/>
                      <w:sz w:val="21"/>
                      <w:szCs w:val="21"/>
                      <w:highlight w:val="none"/>
                    </w:rPr>
                  </w:pPr>
                  <w:r>
                    <w:rPr>
                      <w:rFonts w:hint="default" w:ascii="Times New Roman" w:hAnsi="Times New Roman" w:eastAsia="宋体" w:cs="Times New Roman"/>
                      <w:color w:val="auto"/>
                      <w:kern w:val="18"/>
                      <w:sz w:val="21"/>
                      <w:szCs w:val="21"/>
                      <w:highlight w:val="none"/>
                    </w:rPr>
                    <w:t>COD</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NH</w:t>
                  </w:r>
                  <w:r>
                    <w:rPr>
                      <w:rFonts w:hint="default" w:ascii="Times New Roman" w:hAnsi="Times New Roman" w:eastAsia="宋体" w:cs="Times New Roman"/>
                      <w:color w:val="auto"/>
                      <w:kern w:val="18"/>
                      <w:sz w:val="21"/>
                      <w:szCs w:val="21"/>
                      <w:highlight w:val="none"/>
                      <w:vertAlign w:val="subscript"/>
                    </w:rPr>
                    <w:t>3</w:t>
                  </w:r>
                  <w:r>
                    <w:rPr>
                      <w:rFonts w:hint="default" w:ascii="Times New Roman" w:hAnsi="Times New Roman" w:eastAsia="宋体" w:cs="Times New Roman"/>
                      <w:color w:val="auto"/>
                      <w:kern w:val="18"/>
                      <w:sz w:val="21"/>
                      <w:szCs w:val="21"/>
                      <w:highlight w:val="none"/>
                    </w:rPr>
                    <w:t>-N</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lang w:val="en-US" w:eastAsia="zh-CN"/>
                    </w:rPr>
                  </w:pPr>
                  <w:r>
                    <w:rPr>
                      <w:rFonts w:hint="default"/>
                      <w:color w:val="auto"/>
                      <w:sz w:val="21"/>
                      <w:szCs w:val="21"/>
                      <w:lang w:val="en-US" w:eastAsia="zh-CN"/>
                    </w:rPr>
                    <w:t>BOD</w:t>
                  </w:r>
                  <w:r>
                    <w:rPr>
                      <w:rFonts w:hint="default"/>
                      <w:color w:val="auto"/>
                      <w:sz w:val="21"/>
                      <w:szCs w:val="21"/>
                      <w:highlight w:val="none"/>
                      <w:vertAlign w:val="subscript"/>
                      <w:lang w:val="en-US" w:eastAsia="zh-CN"/>
                    </w:rPr>
                    <w:t>5</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≤20</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pH</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6.0~9.0</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6.0~9.0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60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18"/>
                      <w:sz w:val="21"/>
                      <w:szCs w:val="21"/>
                      <w:highlight w:val="none"/>
                    </w:rPr>
                  </w:pPr>
                  <w:r>
                    <w:rPr>
                      <w:rFonts w:hint="default" w:ascii="Times New Roman" w:hAnsi="Times New Roman" w:eastAsia="宋体" w:cs="Times New Roman"/>
                      <w:color w:val="auto"/>
                      <w:kern w:val="18"/>
                      <w:sz w:val="21"/>
                      <w:szCs w:val="21"/>
                      <w:highlight w:val="none"/>
                    </w:rPr>
                    <w:t>SS</w:t>
                  </w:r>
                </w:p>
              </w:tc>
              <w:tc>
                <w:tcPr>
                  <w:tcW w:w="3296"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ascii="Times New Roman" w:hAnsi="Times New Roman" w:eastAsia="宋体" w:cs="Times New Roman"/>
                      <w:b w:val="0"/>
                      <w:bCs w:val="0"/>
                      <w:color w:val="auto"/>
                      <w:kern w:val="18"/>
                      <w:sz w:val="21"/>
                      <w:szCs w:val="21"/>
                      <w:highlight w:val="none"/>
                      <w:lang w:val="en-US" w:eastAsia="zh-CN"/>
                    </w:rPr>
                    <w:t>/</w:t>
                  </w:r>
                </w:p>
              </w:tc>
              <w:tc>
                <w:tcPr>
                  <w:tcW w:w="3189" w:type="dxa"/>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kern w:val="18"/>
                      <w:sz w:val="21"/>
                      <w:szCs w:val="21"/>
                      <w:highlight w:val="none"/>
                      <w:lang w:val="en-US" w:eastAsia="zh-CN"/>
                    </w:rPr>
                  </w:pPr>
                  <w:r>
                    <w:rPr>
                      <w:rFonts w:hint="eastAsia" w:cs="Times New Roman"/>
                      <w:b w:val="0"/>
                      <w:bCs w:val="0"/>
                      <w:color w:val="auto"/>
                      <w:kern w:val="18"/>
                      <w:sz w:val="21"/>
                      <w:szCs w:val="21"/>
                      <w:highlight w:val="none"/>
                      <w:lang w:val="en-US" w:eastAsia="zh-CN"/>
                    </w:rPr>
                    <w:t>400</w:t>
                  </w:r>
                </w:p>
              </w:tc>
            </w:tr>
            <w:bookmarkEnd w:id="19"/>
            <w:bookmarkEnd w:id="20"/>
            <w:bookmarkEnd w:id="21"/>
            <w:bookmarkEnd w:id="22"/>
          </w:tbl>
          <w:p>
            <w:pPr>
              <w:pStyle w:val="4"/>
              <w:bidi w:val="0"/>
              <w:rPr>
                <w:rFonts w:hint="default"/>
                <w:color w:val="auto"/>
              </w:rPr>
            </w:pPr>
            <w:r>
              <w:rPr>
                <w:rFonts w:hint="default"/>
                <w:color w:val="auto"/>
              </w:rPr>
              <w:t>3.</w:t>
            </w:r>
            <w:r>
              <w:rPr>
                <w:rFonts w:hint="eastAsia"/>
                <w:color w:val="auto"/>
                <w:lang w:val="en-US" w:eastAsia="zh-CN"/>
              </w:rPr>
              <w:t>7</w:t>
            </w:r>
            <w:r>
              <w:rPr>
                <w:rFonts w:hint="default"/>
                <w:color w:val="auto"/>
                <w:lang w:val="en-US" w:eastAsia="zh-CN"/>
              </w:rPr>
              <w:t>.2 大气</w:t>
            </w:r>
            <w:r>
              <w:rPr>
                <w:rFonts w:hint="default"/>
                <w:color w:val="auto"/>
              </w:rPr>
              <w:t>污染物</w:t>
            </w:r>
            <w:r>
              <w:rPr>
                <w:rFonts w:hint="default"/>
                <w:color w:val="auto"/>
                <w:lang w:val="en-US" w:eastAsia="zh-CN"/>
              </w:rPr>
              <w:t>排放标准</w:t>
            </w:r>
          </w:p>
          <w:p>
            <w:pPr>
              <w:bidi w:val="0"/>
              <w:rPr>
                <w:rFonts w:hint="eastAsia"/>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）施工期</w:t>
            </w:r>
          </w:p>
          <w:p>
            <w:pPr>
              <w:bidi w:val="0"/>
              <w:rPr>
                <w:color w:val="auto"/>
              </w:rPr>
            </w:pPr>
            <w:r>
              <w:rPr>
                <w:rFonts w:hint="eastAsia"/>
                <w:color w:val="auto"/>
              </w:rPr>
              <w:t>项目施工扬尘排放执行《大气污染物综合排放标准》（GB16297-1996）表2中的无组织排放监控浓度限值，详见表3.</w:t>
            </w:r>
            <w:r>
              <w:rPr>
                <w:rFonts w:hint="eastAsia"/>
                <w:color w:val="auto"/>
                <w:lang w:val="en-US" w:eastAsia="zh-CN"/>
              </w:rPr>
              <w:t>7-2</w:t>
            </w:r>
            <w:r>
              <w:rPr>
                <w:rFonts w:hint="eastAsia"/>
                <w:color w:val="auto"/>
              </w:rPr>
              <w:t>。</w:t>
            </w:r>
          </w:p>
          <w:p>
            <w:pPr>
              <w:pStyle w:val="33"/>
              <w:bidi w:val="0"/>
              <w:rPr>
                <w:color w:val="auto"/>
                <w:sz w:val="24"/>
                <w:szCs w:val="24"/>
              </w:rPr>
            </w:pPr>
            <w:r>
              <w:rPr>
                <w:color w:val="auto"/>
                <w:sz w:val="24"/>
                <w:szCs w:val="24"/>
              </w:rPr>
              <w:t>表</w:t>
            </w:r>
            <w:r>
              <w:rPr>
                <w:rFonts w:hint="eastAsia"/>
                <w:color w:val="auto"/>
                <w:sz w:val="24"/>
                <w:szCs w:val="24"/>
              </w:rPr>
              <w:t>3.</w:t>
            </w:r>
            <w:r>
              <w:rPr>
                <w:rFonts w:hint="eastAsia"/>
                <w:color w:val="auto"/>
                <w:sz w:val="24"/>
                <w:szCs w:val="24"/>
                <w:lang w:val="en-US" w:eastAsia="zh-CN"/>
              </w:rPr>
              <w:t>7</w:t>
            </w:r>
            <w:r>
              <w:rPr>
                <w:rFonts w:hint="eastAsia"/>
                <w:color w:val="auto"/>
                <w:sz w:val="24"/>
                <w:szCs w:val="24"/>
              </w:rPr>
              <w:t>-</w:t>
            </w:r>
            <w:r>
              <w:rPr>
                <w:rFonts w:hint="eastAsia"/>
                <w:color w:val="auto"/>
                <w:sz w:val="24"/>
                <w:szCs w:val="24"/>
                <w:lang w:val="en-US" w:eastAsia="zh-CN"/>
              </w:rPr>
              <w:t>2</w:t>
            </w:r>
            <w:r>
              <w:rPr>
                <w:rFonts w:hint="eastAsia"/>
                <w:color w:val="auto"/>
                <w:sz w:val="24"/>
                <w:szCs w:val="24"/>
              </w:rPr>
              <w:t xml:space="preserve"> </w:t>
            </w:r>
            <w:r>
              <w:rPr>
                <w:color w:val="auto"/>
                <w:sz w:val="24"/>
                <w:szCs w:val="24"/>
              </w:rPr>
              <w:t>《大气污染物综合排放标准》(GB16297-1996)表2 (摘录)</w:t>
            </w:r>
          </w:p>
          <w:tbl>
            <w:tblPr>
              <w:tblStyle w:val="24"/>
              <w:tblW w:w="809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1"/>
              <w:gridCol w:w="2268"/>
              <w:gridCol w:w="39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1" w:type="dxa"/>
                  <w:vAlign w:val="center"/>
                </w:tcPr>
                <w:p>
                  <w:pPr>
                    <w:pStyle w:val="33"/>
                    <w:bidi w:val="0"/>
                    <w:rPr>
                      <w:color w:val="auto"/>
                    </w:rPr>
                  </w:pPr>
                  <w:r>
                    <w:rPr>
                      <w:color w:val="auto"/>
                    </w:rPr>
                    <w:t>污染物名称</w:t>
                  </w:r>
                </w:p>
              </w:tc>
              <w:tc>
                <w:tcPr>
                  <w:tcW w:w="2268" w:type="dxa"/>
                  <w:vAlign w:val="center"/>
                </w:tcPr>
                <w:p>
                  <w:pPr>
                    <w:pStyle w:val="33"/>
                    <w:bidi w:val="0"/>
                    <w:rPr>
                      <w:color w:val="auto"/>
                    </w:rPr>
                  </w:pPr>
                  <w:r>
                    <w:rPr>
                      <w:color w:val="auto"/>
                    </w:rPr>
                    <w:t>无组织排放监控点</w:t>
                  </w:r>
                </w:p>
              </w:tc>
              <w:tc>
                <w:tcPr>
                  <w:tcW w:w="3932" w:type="dxa"/>
                  <w:vAlign w:val="center"/>
                </w:tcPr>
                <w:p>
                  <w:pPr>
                    <w:pStyle w:val="33"/>
                    <w:bidi w:val="0"/>
                    <w:rPr>
                      <w:color w:val="auto"/>
                    </w:rPr>
                  </w:pPr>
                  <w:r>
                    <w:rPr>
                      <w:color w:val="auto"/>
                    </w:rPr>
                    <w:t>无组织排放监控浓度限值(mg/m</w:t>
                  </w:r>
                  <w:r>
                    <w:rPr>
                      <w:color w:val="auto"/>
                      <w:vertAlign w:val="superscript"/>
                    </w:rPr>
                    <w:t>3</w:t>
                  </w:r>
                  <w:r>
                    <w:rPr>
                      <w:color w:val="auto"/>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891" w:type="dxa"/>
                  <w:vAlign w:val="center"/>
                </w:tcPr>
                <w:p>
                  <w:pPr>
                    <w:pStyle w:val="28"/>
                    <w:bidi w:val="0"/>
                    <w:rPr>
                      <w:color w:val="auto"/>
                    </w:rPr>
                  </w:pPr>
                  <w:r>
                    <w:rPr>
                      <w:color w:val="auto"/>
                    </w:rPr>
                    <w:t>颗粒物</w:t>
                  </w:r>
                </w:p>
              </w:tc>
              <w:tc>
                <w:tcPr>
                  <w:tcW w:w="2268" w:type="dxa"/>
                  <w:vAlign w:val="center"/>
                </w:tcPr>
                <w:p>
                  <w:pPr>
                    <w:pStyle w:val="28"/>
                    <w:bidi w:val="0"/>
                    <w:rPr>
                      <w:color w:val="auto"/>
                    </w:rPr>
                  </w:pPr>
                  <w:r>
                    <w:rPr>
                      <w:color w:val="auto"/>
                    </w:rPr>
                    <w:t>周界外浓度最高点</w:t>
                  </w:r>
                </w:p>
              </w:tc>
              <w:tc>
                <w:tcPr>
                  <w:tcW w:w="3932" w:type="dxa"/>
                  <w:vAlign w:val="center"/>
                </w:tcPr>
                <w:p>
                  <w:pPr>
                    <w:pStyle w:val="28"/>
                    <w:bidi w:val="0"/>
                    <w:rPr>
                      <w:color w:val="auto"/>
                    </w:rPr>
                  </w:pPr>
                  <w:r>
                    <w:rPr>
                      <w:color w:val="auto"/>
                    </w:rPr>
                    <w:t>1.0</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）运营期</w:t>
            </w:r>
          </w:p>
          <w:p>
            <w:pPr>
              <w:bidi w:val="0"/>
              <w:rPr>
                <w:rFonts w:hint="eastAsia"/>
                <w:color w:val="auto"/>
                <w:highlight w:val="none"/>
                <w:lang w:eastAsia="zh-CN"/>
              </w:rPr>
            </w:pPr>
            <w:r>
              <w:rPr>
                <w:rFonts w:hint="eastAsia"/>
                <w:color w:val="auto"/>
                <w:highlight w:val="none"/>
                <w:lang w:val="en-US" w:eastAsia="zh-CN"/>
              </w:rPr>
              <w:t>本项目主要从事预拌混凝土、预制砼结构件以及</w:t>
            </w:r>
            <w:r>
              <w:rPr>
                <w:rFonts w:hint="eastAsia"/>
                <w:highlight w:val="none"/>
                <w:lang w:val="en-US" w:eastAsia="zh-CN"/>
              </w:rPr>
              <w:t>建筑垃圾回收利用生产（主要以项目所在地及周边区域建设项目地基开挖过程中产生的石方料生产机制砂和碎石，产品用于预拌混凝土生产，不外售）</w:t>
            </w:r>
            <w:r>
              <w:rPr>
                <w:rFonts w:hint="eastAsia"/>
                <w:color w:val="auto"/>
                <w:highlight w:val="none"/>
                <w:lang w:val="en-US" w:eastAsia="zh-CN"/>
              </w:rPr>
              <w:t>的生产</w:t>
            </w:r>
            <w:r>
              <w:rPr>
                <w:rFonts w:hint="eastAsia"/>
                <w:color w:val="auto"/>
                <w:highlight w:val="none"/>
                <w:lang w:eastAsia="zh-CN"/>
              </w:rPr>
              <w:t>，</w:t>
            </w:r>
            <w:r>
              <w:rPr>
                <w:rFonts w:hint="eastAsia"/>
                <w:color w:val="auto"/>
                <w:highlight w:val="none"/>
                <w:lang w:val="en-US" w:eastAsia="zh-CN"/>
              </w:rPr>
              <w:t>项目生产过程中的工艺废气主要以颗粒物的形式排放，其中</w:t>
            </w:r>
            <w:r>
              <w:rPr>
                <w:rFonts w:hint="eastAsia"/>
                <w:lang w:val="en-US" w:eastAsia="zh-CN"/>
              </w:rPr>
              <w:t>石方卸料和砂石堆放扬尘</w:t>
            </w:r>
            <w:r>
              <w:rPr>
                <w:rFonts w:hint="eastAsia"/>
                <w:color w:val="auto"/>
                <w:highlight w:val="none"/>
                <w:lang w:eastAsia="zh-CN"/>
              </w:rPr>
              <w:t>、运输车辆扬尘、搅拌粉尘、焊接烟尘经治理后无组织排放；粉料仓呼吸尘经各仓配套除尘器处理后无组织排放，</w:t>
            </w:r>
            <w:r>
              <w:rPr>
                <w:rFonts w:hint="eastAsia"/>
                <w:color w:val="auto"/>
                <w:highlight w:val="none"/>
                <w:lang w:val="en-US" w:eastAsia="zh-CN"/>
              </w:rPr>
              <w:t>建筑垃圾回收的破碎、筛分粉尘经厂内集气罩收集后经覆膜式布袋除尘器处理后由1根15m高排气筒排放，其余未被收集到的破碎筛分粉尘经治理后无组织排放</w:t>
            </w:r>
            <w:r>
              <w:rPr>
                <w:rFonts w:hint="eastAsia"/>
                <w:color w:val="auto"/>
                <w:highlight w:val="none"/>
                <w:lang w:eastAsia="zh-CN"/>
              </w:rPr>
              <w:t>。</w:t>
            </w:r>
          </w:p>
          <w:p>
            <w:pPr>
              <w:bidi w:val="0"/>
              <w:rPr>
                <w:rFonts w:hint="eastAsia"/>
                <w:color w:val="auto"/>
                <w:highlight w:val="none"/>
                <w:lang w:eastAsia="zh-CN"/>
              </w:rPr>
            </w:pPr>
            <w:r>
              <w:rPr>
                <w:rFonts w:hint="eastAsia" w:ascii="Times New Roman" w:hAnsi="Times New Roman" w:eastAsia="宋体"/>
                <w:b w:val="0"/>
                <w:bCs w:val="0"/>
                <w:color w:val="auto"/>
                <w:sz w:val="24"/>
                <w:shd w:val="clear" w:color="auto" w:fill="FFFFFF"/>
                <w:lang w:eastAsia="zh-CN"/>
              </w:rPr>
              <w:t>根据《福建省环保厅关于水泥工业大气污染物排放标准执行有关事项的通知》（闽环保科〔2014〕12号），本项目属于该通知中第2类新建企业（2014年3月1日后环境影响评价文件通过审批的新、改、扩建项目），根据该通知要求：“新建企业中，第2类执行GB4915-2013表2规定的限值。</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所有企业作业场所的无组织排放限值执行DB35/1311-2013的相关规定</w:t>
            </w:r>
            <w:r>
              <w:rPr>
                <w:rFonts w:hint="eastAsia"/>
                <w:b w:val="0"/>
                <w:bCs w:val="0"/>
                <w:color w:val="auto"/>
                <w:sz w:val="24"/>
                <w:shd w:val="clear" w:color="auto" w:fill="FFFFFF"/>
                <w:lang w:eastAsia="zh-CN"/>
              </w:rPr>
              <w:t>”“</w:t>
            </w:r>
            <w:r>
              <w:rPr>
                <w:rFonts w:hint="eastAsia" w:ascii="Times New Roman" w:hAnsi="Times New Roman" w:eastAsia="宋体"/>
                <w:b w:val="0"/>
                <w:bCs w:val="0"/>
                <w:color w:val="auto"/>
                <w:sz w:val="24"/>
                <w:shd w:val="clear" w:color="auto" w:fill="FFFFFF"/>
                <w:lang w:eastAsia="zh-CN"/>
              </w:rPr>
              <w:t>新建企业自</w:t>
            </w:r>
            <w:r>
              <w:rPr>
                <w:rFonts w:hint="eastAsia" w:ascii="Times New Roman" w:hAnsi="Times New Roman" w:eastAsia="宋体"/>
                <w:b w:val="0"/>
                <w:bCs w:val="0"/>
                <w:color w:val="auto"/>
                <w:sz w:val="24"/>
                <w:shd w:val="clear" w:color="auto" w:fill="FFFFFF"/>
                <w:lang w:val="en-US" w:eastAsia="zh-CN"/>
              </w:rPr>
              <w:t>2014年3月1日1起，应同时符合DB35/1311-2013和GB4915-2013的有关规定要求</w:t>
            </w:r>
            <w:r>
              <w:rPr>
                <w:rFonts w:hint="eastAsia" w:ascii="Times New Roman" w:hAnsi="Times New Roman" w:eastAsia="宋体"/>
                <w:b w:val="0"/>
                <w:bCs w:val="0"/>
                <w:color w:val="auto"/>
                <w:sz w:val="24"/>
                <w:shd w:val="clear" w:color="auto" w:fill="FFFFFF"/>
                <w:lang w:eastAsia="zh-CN"/>
              </w:rPr>
              <w:t>”，因此，项目无组织颗粒物排放执行《水泥工业大气污染物排放标准》（DB35/1311-2013）表3排放限值</w:t>
            </w:r>
            <w:r>
              <w:rPr>
                <w:rFonts w:hint="eastAsia"/>
                <w:color w:val="auto"/>
                <w:highlight w:val="none"/>
                <w:lang w:eastAsia="zh-CN"/>
              </w:rPr>
              <w:t>，详见表</w:t>
            </w:r>
            <w:r>
              <w:rPr>
                <w:rFonts w:hint="eastAsia"/>
                <w:color w:val="auto"/>
                <w:highlight w:val="none"/>
                <w:lang w:val="en-US" w:eastAsia="zh-CN"/>
              </w:rPr>
              <w:t>3.7-3</w:t>
            </w:r>
            <w:r>
              <w:rPr>
                <w:rFonts w:hint="eastAsia"/>
                <w:color w:val="auto"/>
                <w:highlight w:val="none"/>
                <w:lang w:eastAsia="zh-CN"/>
              </w:rPr>
              <w:t>。</w:t>
            </w:r>
          </w:p>
          <w:p>
            <w:pPr>
              <w:pStyle w:val="33"/>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color w:val="auto"/>
                <w:sz w:val="24"/>
                <w:szCs w:val="24"/>
                <w:lang w:val="en-US" w:eastAsia="zh-CN"/>
              </w:rPr>
            </w:pPr>
            <w:r>
              <w:rPr>
                <w:color w:val="auto"/>
                <w:sz w:val="24"/>
                <w:szCs w:val="24"/>
              </w:rPr>
              <w:t>表</w:t>
            </w:r>
            <w:r>
              <w:rPr>
                <w:rFonts w:hint="eastAsia"/>
                <w:color w:val="auto"/>
                <w:sz w:val="24"/>
                <w:szCs w:val="24"/>
              </w:rPr>
              <w:t>3.</w:t>
            </w:r>
            <w:r>
              <w:rPr>
                <w:rFonts w:hint="eastAsia"/>
                <w:color w:val="auto"/>
                <w:sz w:val="24"/>
                <w:szCs w:val="24"/>
                <w:lang w:val="en-US" w:eastAsia="zh-CN"/>
              </w:rPr>
              <w:t>7-3 《水泥工业大气污染物排放标准》（DB35/1311-2013）表3摘录</w:t>
            </w:r>
          </w:p>
          <w:tbl>
            <w:tblPr>
              <w:tblStyle w:val="25"/>
              <w:tblW w:w="809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696"/>
              <w:gridCol w:w="2696"/>
              <w:gridCol w:w="26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6" w:type="dxa"/>
                  <w:tcBorders>
                    <w:tl2br w:val="nil"/>
                    <w:tr2bl w:val="nil"/>
                  </w:tcBorders>
                  <w:vAlign w:val="center"/>
                </w:tcPr>
                <w:p>
                  <w:pPr>
                    <w:pStyle w:val="33"/>
                    <w:bidi w:val="0"/>
                    <w:rPr>
                      <w:rFonts w:hint="eastAsia"/>
                      <w:color w:val="auto"/>
                      <w:lang w:eastAsia="zh-CN"/>
                    </w:rPr>
                  </w:pPr>
                  <w:r>
                    <w:rPr>
                      <w:rFonts w:hint="eastAsia"/>
                      <w:color w:val="auto"/>
                      <w:lang w:eastAsia="zh-CN"/>
                    </w:rPr>
                    <w:t>作业场所</w:t>
                  </w:r>
                </w:p>
              </w:tc>
              <w:tc>
                <w:tcPr>
                  <w:tcW w:w="2696" w:type="dxa"/>
                  <w:tcBorders>
                    <w:tl2br w:val="nil"/>
                    <w:tr2bl w:val="nil"/>
                  </w:tcBorders>
                  <w:vAlign w:val="center"/>
                </w:tcPr>
                <w:p>
                  <w:pPr>
                    <w:pStyle w:val="33"/>
                    <w:bidi w:val="0"/>
                    <w:rPr>
                      <w:rFonts w:hint="eastAsia"/>
                      <w:color w:val="auto"/>
                      <w:lang w:eastAsia="zh-CN"/>
                    </w:rPr>
                  </w:pPr>
                  <w:r>
                    <w:rPr>
                      <w:rFonts w:hint="eastAsia"/>
                      <w:color w:val="auto"/>
                      <w:lang w:eastAsia="zh-CN"/>
                    </w:rPr>
                    <w:t>颗粒物无组织排放监控点</w:t>
                  </w:r>
                </w:p>
              </w:tc>
              <w:tc>
                <w:tcPr>
                  <w:tcW w:w="2699" w:type="dxa"/>
                  <w:tcBorders>
                    <w:tl2br w:val="nil"/>
                    <w:tr2bl w:val="nil"/>
                  </w:tcBorders>
                  <w:vAlign w:val="center"/>
                </w:tcPr>
                <w:p>
                  <w:pPr>
                    <w:pStyle w:val="33"/>
                    <w:bidi w:val="0"/>
                    <w:rPr>
                      <w:rFonts w:hint="default"/>
                      <w:color w:val="auto"/>
                      <w:lang w:val="en-US" w:eastAsia="zh-CN"/>
                    </w:rPr>
                  </w:pPr>
                  <w:r>
                    <w:rPr>
                      <w:rFonts w:hint="eastAsia"/>
                      <w:color w:val="auto"/>
                      <w:lang w:eastAsia="zh-CN"/>
                    </w:rPr>
                    <w:t>浓度限值</w:t>
                  </w:r>
                  <w:r>
                    <w:rPr>
                      <w:rFonts w:hint="eastAsia"/>
                      <w:color w:val="auto"/>
                      <w:lang w:val="en-US" w:eastAsia="zh-CN"/>
                    </w:rPr>
                    <w:t>*mg/m</w:t>
                  </w:r>
                  <w:r>
                    <w:rPr>
                      <w:rFonts w:hint="eastAsia"/>
                      <w:color w:val="auto"/>
                      <w:vertAlign w:val="superscript"/>
                      <w:lang w:val="en-US" w:eastAsia="zh-CN"/>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2696" w:type="dxa"/>
                  <w:tcBorders>
                    <w:tl2br w:val="nil"/>
                    <w:tr2bl w:val="nil"/>
                  </w:tcBorders>
                  <w:vAlign w:val="center"/>
                </w:tcPr>
                <w:p>
                  <w:pPr>
                    <w:pStyle w:val="28"/>
                    <w:bidi w:val="0"/>
                    <w:rPr>
                      <w:rFonts w:hint="eastAsia"/>
                      <w:color w:val="auto"/>
                      <w:lang w:val="en-US" w:eastAsia="zh-CN"/>
                    </w:rPr>
                  </w:pPr>
                  <w:r>
                    <w:rPr>
                      <w:rFonts w:hint="eastAsia"/>
                      <w:color w:val="auto"/>
                      <w:lang w:val="en-US" w:eastAsia="zh-CN"/>
                    </w:rPr>
                    <w:t>水泥制造（含粉磨站）、水泥制品厂、散装水泥中转站</w:t>
                  </w:r>
                </w:p>
              </w:tc>
              <w:tc>
                <w:tcPr>
                  <w:tcW w:w="2696" w:type="dxa"/>
                  <w:tcBorders>
                    <w:tl2br w:val="nil"/>
                    <w:tr2bl w:val="nil"/>
                  </w:tcBorders>
                  <w:vAlign w:val="center"/>
                </w:tcPr>
                <w:p>
                  <w:pPr>
                    <w:pStyle w:val="28"/>
                    <w:bidi w:val="0"/>
                    <w:rPr>
                      <w:rFonts w:hint="eastAsia"/>
                      <w:color w:val="auto"/>
                      <w:lang w:val="en-US" w:eastAsia="zh-CN"/>
                    </w:rPr>
                  </w:pPr>
                  <w:r>
                    <w:rPr>
                      <w:rFonts w:hint="eastAsia"/>
                      <w:color w:val="auto"/>
                      <w:lang w:eastAsia="zh-CN"/>
                    </w:rPr>
                    <w:t>厂界外</w:t>
                  </w:r>
                  <w:r>
                    <w:rPr>
                      <w:rFonts w:hint="eastAsia"/>
                      <w:color w:val="auto"/>
                      <w:lang w:val="en-US" w:eastAsia="zh-CN"/>
                    </w:rPr>
                    <w:t>20m处</w:t>
                  </w:r>
                </w:p>
              </w:tc>
              <w:tc>
                <w:tcPr>
                  <w:tcW w:w="2699"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0.5（扣除参考值）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8091" w:type="dxa"/>
                  <w:gridSpan w:val="3"/>
                  <w:tcBorders>
                    <w:tl2br w:val="nil"/>
                    <w:tr2bl w:val="nil"/>
                  </w:tcBorders>
                  <w:vAlign w:val="center"/>
                </w:tcPr>
                <w:p>
                  <w:pPr>
                    <w:pStyle w:val="28"/>
                    <w:bidi w:val="0"/>
                    <w:jc w:val="both"/>
                    <w:rPr>
                      <w:rFonts w:hint="default" w:ascii="Times New Roman" w:hAnsi="Times New Roman" w:eastAsia="宋体" w:cs="Times New Roman"/>
                      <w:color w:val="auto"/>
                      <w:kern w:val="0"/>
                      <w:szCs w:val="21"/>
                      <w:lang w:val="en-US" w:eastAsia="zh-CN" w:bidi="ar"/>
                    </w:rPr>
                  </w:pPr>
                  <w:r>
                    <w:rPr>
                      <w:rFonts w:hint="eastAsia"/>
                      <w:color w:val="auto"/>
                      <w:lang w:val="en-US" w:eastAsia="zh-CN"/>
                    </w:rPr>
                    <w:t>*指监控点处总悬浮颗粒物（TSP）1小时浓度值。</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b w:val="0"/>
                <w:bCs w:val="0"/>
                <w:color w:val="auto"/>
                <w:sz w:val="24"/>
                <w:shd w:val="clear" w:color="auto" w:fill="FFFFFF"/>
                <w:lang w:val="en-US" w:eastAsia="zh-CN"/>
              </w:rPr>
            </w:pPr>
            <w:r>
              <w:rPr>
                <w:rFonts w:hint="eastAsia" w:ascii="Times New Roman" w:hAnsi="Times New Roman" w:eastAsia="宋体" w:cs="Times New Roman"/>
                <w:b w:val="0"/>
                <w:bCs w:val="0"/>
                <w:color w:val="auto"/>
                <w:sz w:val="24"/>
                <w:shd w:val="clear" w:color="auto" w:fill="FFFFFF"/>
                <w:lang w:eastAsia="zh-CN"/>
              </w:rPr>
              <w:t>项目有组织颗粒物排放执行《</w:t>
            </w:r>
            <w:r>
              <w:rPr>
                <w:rFonts w:hint="eastAsia" w:ascii="Times New Roman" w:hAnsi="Times New Roman" w:eastAsia="宋体" w:cs="Times New Roman"/>
                <w:b w:val="0"/>
                <w:bCs w:val="0"/>
                <w:color w:val="auto"/>
                <w:sz w:val="24"/>
                <w:shd w:val="clear" w:color="auto" w:fill="FFFFFF"/>
                <w:lang w:val="en-US" w:eastAsia="zh-CN"/>
              </w:rPr>
              <w:t>大气污染物综合排放标准</w:t>
            </w:r>
            <w:r>
              <w:rPr>
                <w:rFonts w:hint="eastAsia" w:ascii="Times New Roman" w:hAnsi="Times New Roman" w:eastAsia="宋体" w:cs="Times New Roman"/>
                <w:b w:val="0"/>
                <w:bCs w:val="0"/>
                <w:color w:val="auto"/>
                <w:sz w:val="24"/>
                <w:shd w:val="clear" w:color="auto" w:fill="FFFFFF"/>
                <w:lang w:eastAsia="zh-CN"/>
              </w:rPr>
              <w:t>》（GB1</w:t>
            </w:r>
            <w:r>
              <w:rPr>
                <w:rFonts w:hint="eastAsia" w:ascii="Times New Roman" w:hAnsi="Times New Roman" w:eastAsia="宋体" w:cs="Times New Roman"/>
                <w:b w:val="0"/>
                <w:bCs w:val="0"/>
                <w:color w:val="auto"/>
                <w:sz w:val="24"/>
                <w:shd w:val="clear" w:color="auto" w:fill="FFFFFF"/>
                <w:lang w:val="en-US" w:eastAsia="zh-CN"/>
              </w:rPr>
              <w:t>6297</w:t>
            </w:r>
            <w:r>
              <w:rPr>
                <w:rFonts w:hint="eastAsia" w:ascii="Times New Roman" w:hAnsi="Times New Roman" w:eastAsia="宋体" w:cs="Times New Roman"/>
                <w:b w:val="0"/>
                <w:bCs w:val="0"/>
                <w:color w:val="auto"/>
                <w:sz w:val="24"/>
                <w:shd w:val="clear" w:color="auto" w:fill="FFFFFF"/>
                <w:lang w:eastAsia="zh-CN"/>
              </w:rPr>
              <w:t>-</w:t>
            </w:r>
            <w:r>
              <w:rPr>
                <w:rFonts w:hint="eastAsia" w:ascii="Times New Roman" w:hAnsi="Times New Roman" w:eastAsia="宋体" w:cs="Times New Roman"/>
                <w:b w:val="0"/>
                <w:bCs w:val="0"/>
                <w:color w:val="auto"/>
                <w:sz w:val="24"/>
                <w:shd w:val="clear" w:color="auto" w:fill="FFFFFF"/>
                <w:lang w:val="en-US" w:eastAsia="zh-CN"/>
              </w:rPr>
              <w:t>1996</w:t>
            </w:r>
            <w:r>
              <w:rPr>
                <w:rFonts w:hint="eastAsia" w:ascii="Times New Roman" w:hAnsi="Times New Roman" w:eastAsia="宋体" w:cs="Times New Roman"/>
                <w:b w:val="0"/>
                <w:bCs w:val="0"/>
                <w:color w:val="auto"/>
                <w:sz w:val="24"/>
                <w:shd w:val="clear" w:color="auto" w:fill="FFFFFF"/>
                <w:lang w:eastAsia="zh-CN"/>
              </w:rPr>
              <w:t>）表2</w:t>
            </w:r>
            <w:r>
              <w:rPr>
                <w:rFonts w:hint="eastAsia" w:ascii="Times New Roman" w:hAnsi="Times New Roman" w:eastAsia="宋体" w:cs="Times New Roman"/>
                <w:b w:val="0"/>
                <w:bCs w:val="0"/>
                <w:color w:val="auto"/>
                <w:sz w:val="24"/>
                <w:shd w:val="clear" w:color="auto" w:fill="FFFFFF"/>
                <w:lang w:val="en-US" w:eastAsia="zh-CN"/>
              </w:rPr>
              <w:t>新污染源大气污染物排放限值</w:t>
            </w:r>
            <w:r>
              <w:rPr>
                <w:rFonts w:hint="eastAsia" w:ascii="Times New Roman" w:hAnsi="Times New Roman" w:eastAsia="宋体" w:cs="Times New Roman"/>
                <w:b w:val="0"/>
                <w:bCs w:val="0"/>
                <w:color w:val="auto"/>
                <w:sz w:val="24"/>
                <w:shd w:val="clear" w:color="auto" w:fill="FFFFFF"/>
                <w:lang w:eastAsia="zh-CN"/>
              </w:rPr>
              <w:t>，详见表3.7-</w:t>
            </w:r>
            <w:r>
              <w:rPr>
                <w:rFonts w:hint="eastAsia" w:ascii="Times New Roman" w:hAnsi="Times New Roman" w:eastAsia="宋体" w:cs="Times New Roman"/>
                <w:b w:val="0"/>
                <w:bCs w:val="0"/>
                <w:color w:val="auto"/>
                <w:sz w:val="24"/>
                <w:shd w:val="clear" w:color="auto" w:fill="FFFFFF"/>
                <w:lang w:val="en-US" w:eastAsia="zh-CN"/>
              </w:rPr>
              <w:t>4，排气筒高度根据</w:t>
            </w:r>
            <w:r>
              <w:rPr>
                <w:rFonts w:hint="eastAsia" w:ascii="Times New Roman" w:hAnsi="Times New Roman" w:eastAsia="宋体" w:cs="Times New Roman"/>
                <w:b w:val="0"/>
                <w:bCs w:val="0"/>
                <w:color w:val="auto"/>
                <w:sz w:val="24"/>
                <w:shd w:val="clear" w:color="auto" w:fill="FFFFFF"/>
                <w:lang w:eastAsia="zh-CN"/>
              </w:rPr>
              <w:t>《水泥工业大气污染物排放标准》</w:t>
            </w:r>
            <w:r>
              <w:rPr>
                <w:rFonts w:hint="eastAsia" w:ascii="Times New Roman" w:hAnsi="Times New Roman" w:eastAsia="宋体" w:cs="Times New Roman"/>
                <w:b w:val="0"/>
                <w:bCs w:val="0"/>
                <w:color w:val="auto"/>
                <w:sz w:val="24"/>
                <w:shd w:val="clear" w:color="auto" w:fill="FFFFFF"/>
                <w:lang w:val="en-US" w:eastAsia="zh-CN"/>
              </w:rPr>
              <w:t>DB35/1311-2013中要求“除提升输送、储库下小仓的除尘设施外，生产设备排气筒（含车间排气筒）一律不得低于15m，并应高出本体建筑物3m以上”，因此</w:t>
            </w:r>
            <w:r>
              <w:rPr>
                <w:rFonts w:hint="eastAsia" w:cs="Times New Roman"/>
                <w:b w:val="0"/>
                <w:bCs w:val="0"/>
                <w:color w:val="auto"/>
                <w:sz w:val="24"/>
                <w:shd w:val="clear" w:color="auto" w:fill="FFFFFF"/>
                <w:lang w:val="en-US" w:eastAsia="zh-CN"/>
              </w:rPr>
              <w:t>3#物料库</w:t>
            </w:r>
            <w:r>
              <w:rPr>
                <w:rFonts w:hint="eastAsia" w:ascii="Times New Roman" w:hAnsi="Times New Roman" w:eastAsia="宋体" w:cs="Times New Roman"/>
                <w:b w:val="0"/>
                <w:bCs w:val="0"/>
                <w:color w:val="auto"/>
                <w:sz w:val="24"/>
                <w:shd w:val="clear" w:color="auto" w:fill="FFFFFF"/>
                <w:lang w:val="en-US" w:eastAsia="zh-CN"/>
              </w:rPr>
              <w:t>排气筒DA001高度按15m设计。</w:t>
            </w:r>
          </w:p>
          <w:p>
            <w:pPr>
              <w:pStyle w:val="33"/>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textAlignment w:val="auto"/>
              <w:rPr>
                <w:rFonts w:hint="eastAsia"/>
                <w:lang w:val="en-US" w:eastAsia="zh-CN"/>
              </w:rPr>
            </w:pPr>
            <w:r>
              <w:t>表</w:t>
            </w:r>
            <w:r>
              <w:rPr>
                <w:rFonts w:hint="eastAsia"/>
              </w:rPr>
              <w:t>3.</w:t>
            </w:r>
            <w:r>
              <w:rPr>
                <w:rFonts w:hint="eastAsia"/>
                <w:lang w:val="en-US" w:eastAsia="zh-CN"/>
              </w:rPr>
              <w:t>7-4 《</w:t>
            </w:r>
            <w:r>
              <w:rPr>
                <w:rFonts w:hint="eastAsia"/>
                <w:highlight w:val="none"/>
                <w:lang w:val="en-US" w:eastAsia="zh-CN"/>
              </w:rPr>
              <w:t>大气污染物综合排放标准</w:t>
            </w:r>
            <w:r>
              <w:rPr>
                <w:rFonts w:hint="eastAsia"/>
                <w:lang w:val="en-US" w:eastAsia="zh-CN"/>
              </w:rPr>
              <w:t>》（GB16297-1996）表2摘录</w:t>
            </w:r>
          </w:p>
          <w:tbl>
            <w:tblPr>
              <w:tblStyle w:val="24"/>
              <w:tblW w:w="8084"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83"/>
              <w:gridCol w:w="1442"/>
              <w:gridCol w:w="1654"/>
              <w:gridCol w:w="1231"/>
              <w:gridCol w:w="297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262" w:hRule="atLeast"/>
              </w:trPr>
              <w:tc>
                <w:tcPr>
                  <w:tcW w:w="783" w:type="dxa"/>
                  <w:vMerge w:val="restart"/>
                  <w:tcMar>
                    <w:top w:w="15" w:type="dxa"/>
                    <w:left w:w="15" w:type="dxa"/>
                    <w:right w:w="15" w:type="dxa"/>
                  </w:tcMar>
                  <w:vAlign w:val="center"/>
                </w:tcPr>
                <w:p>
                  <w:pPr>
                    <w:pStyle w:val="28"/>
                    <w:rPr>
                      <w:rFonts w:hint="default"/>
                      <w:lang w:val="en-US" w:eastAsia="zh-CN"/>
                    </w:rPr>
                  </w:pPr>
                  <w:r>
                    <w:rPr>
                      <w:rFonts w:hint="eastAsia"/>
                      <w:lang w:val="en-US" w:eastAsia="zh-CN"/>
                    </w:rPr>
                    <w:t>污染物</w:t>
                  </w:r>
                </w:p>
              </w:tc>
              <w:tc>
                <w:tcPr>
                  <w:tcW w:w="1442" w:type="dxa"/>
                  <w:vMerge w:val="restart"/>
                  <w:tcMar>
                    <w:top w:w="15" w:type="dxa"/>
                    <w:left w:w="15" w:type="dxa"/>
                    <w:right w:w="15" w:type="dxa"/>
                  </w:tcMar>
                  <w:vAlign w:val="center"/>
                </w:tcPr>
                <w:p>
                  <w:pPr>
                    <w:pStyle w:val="28"/>
                    <w:rPr>
                      <w:rFonts w:hint="default"/>
                      <w:lang w:val="en-US" w:eastAsia="zh-CN"/>
                    </w:rPr>
                  </w:pPr>
                  <w:r>
                    <w:rPr>
                      <w:rFonts w:hint="eastAsia"/>
                      <w:lang w:val="en-US" w:eastAsia="zh-CN"/>
                    </w:rPr>
                    <w:t>最高允许排放浓度mg/m</w:t>
                  </w:r>
                  <w:r>
                    <w:rPr>
                      <w:rFonts w:hint="eastAsia"/>
                      <w:vertAlign w:val="superscript"/>
                      <w:lang w:val="en-US" w:eastAsia="zh-CN"/>
                    </w:rPr>
                    <w:t>3</w:t>
                  </w:r>
                </w:p>
              </w:tc>
              <w:tc>
                <w:tcPr>
                  <w:tcW w:w="2885" w:type="dxa"/>
                  <w:gridSpan w:val="2"/>
                  <w:tcMar>
                    <w:top w:w="15" w:type="dxa"/>
                    <w:left w:w="15" w:type="dxa"/>
                    <w:right w:w="15" w:type="dxa"/>
                  </w:tcMar>
                  <w:vAlign w:val="center"/>
                </w:tcPr>
                <w:p>
                  <w:pPr>
                    <w:pStyle w:val="28"/>
                    <w:rPr>
                      <w:rFonts w:hint="eastAsia"/>
                      <w:lang w:eastAsia="zh-CN"/>
                    </w:rPr>
                  </w:pPr>
                  <w:r>
                    <w:rPr>
                      <w:rFonts w:hint="eastAsia"/>
                      <w:lang w:eastAsia="zh-CN"/>
                    </w:rPr>
                    <w:t>最高允许排放速率</w:t>
                  </w:r>
                </w:p>
              </w:tc>
              <w:tc>
                <w:tcPr>
                  <w:tcW w:w="2974" w:type="dxa"/>
                  <w:vMerge w:val="restart"/>
                  <w:tcMar>
                    <w:top w:w="15" w:type="dxa"/>
                    <w:left w:w="15" w:type="dxa"/>
                    <w:right w:w="15" w:type="dxa"/>
                  </w:tcMar>
                  <w:vAlign w:val="center"/>
                </w:tcPr>
                <w:p>
                  <w:pPr>
                    <w:pStyle w:val="28"/>
                  </w:pPr>
                  <w:r>
                    <w:t>标准</w:t>
                  </w:r>
                  <w:r>
                    <w:rPr>
                      <w:rFonts w:hint="eastAsia"/>
                    </w:rPr>
                    <w:t>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352" w:hRule="atLeast"/>
              </w:trPr>
              <w:tc>
                <w:tcPr>
                  <w:tcW w:w="783" w:type="dxa"/>
                  <w:vMerge w:val="continue"/>
                  <w:tcMar>
                    <w:top w:w="15" w:type="dxa"/>
                    <w:left w:w="15" w:type="dxa"/>
                    <w:right w:w="15" w:type="dxa"/>
                  </w:tcMar>
                  <w:vAlign w:val="center"/>
                </w:tcPr>
                <w:p>
                  <w:pPr>
                    <w:pStyle w:val="28"/>
                    <w:bidi w:val="0"/>
                  </w:pPr>
                </w:p>
              </w:tc>
              <w:tc>
                <w:tcPr>
                  <w:tcW w:w="1442" w:type="dxa"/>
                  <w:vMerge w:val="continue"/>
                  <w:tcMar>
                    <w:top w:w="15" w:type="dxa"/>
                    <w:left w:w="15" w:type="dxa"/>
                    <w:right w:w="15" w:type="dxa"/>
                  </w:tcMar>
                  <w:vAlign w:val="center"/>
                </w:tcPr>
                <w:p>
                  <w:pPr>
                    <w:pStyle w:val="28"/>
                    <w:bidi w:val="0"/>
                  </w:pPr>
                </w:p>
              </w:tc>
              <w:tc>
                <w:tcPr>
                  <w:tcW w:w="1654" w:type="dxa"/>
                  <w:tcMar>
                    <w:top w:w="15" w:type="dxa"/>
                    <w:left w:w="15" w:type="dxa"/>
                    <w:right w:w="15" w:type="dxa"/>
                  </w:tcMar>
                  <w:vAlign w:val="center"/>
                </w:tcPr>
                <w:p>
                  <w:pPr>
                    <w:pStyle w:val="28"/>
                    <w:rPr>
                      <w:rFonts w:hint="eastAsia"/>
                      <w:lang w:val="en-US" w:eastAsia="zh-CN"/>
                    </w:rPr>
                  </w:pPr>
                  <w:r>
                    <w:rPr>
                      <w:rFonts w:hint="eastAsia"/>
                      <w:lang w:val="en-US" w:eastAsia="zh-CN"/>
                    </w:rPr>
                    <w:t>排气筒高度</w:t>
                  </w:r>
                </w:p>
                <w:p>
                  <w:pPr>
                    <w:pStyle w:val="28"/>
                    <w:rPr>
                      <w:rFonts w:hint="eastAsia"/>
                      <w:lang w:eastAsia="zh-CN"/>
                    </w:rPr>
                  </w:pPr>
                  <w:r>
                    <w:rPr>
                      <w:rFonts w:hint="eastAsia"/>
                      <w:lang w:val="en-US" w:eastAsia="zh-CN"/>
                    </w:rPr>
                    <w:t>m</w:t>
                  </w:r>
                </w:p>
              </w:tc>
              <w:tc>
                <w:tcPr>
                  <w:tcW w:w="1231" w:type="dxa"/>
                  <w:tcMar>
                    <w:top w:w="15" w:type="dxa"/>
                    <w:left w:w="15" w:type="dxa"/>
                    <w:right w:w="15" w:type="dxa"/>
                  </w:tcMar>
                  <w:vAlign w:val="center"/>
                </w:tcPr>
                <w:p>
                  <w:pPr>
                    <w:pStyle w:val="28"/>
                    <w:rPr>
                      <w:rFonts w:hint="eastAsia"/>
                      <w:lang w:val="en-US" w:eastAsia="zh-CN"/>
                    </w:rPr>
                  </w:pPr>
                  <w:r>
                    <w:rPr>
                      <w:rFonts w:hint="eastAsia"/>
                      <w:lang w:val="en-US" w:eastAsia="zh-CN"/>
                    </w:rPr>
                    <w:t>二级</w:t>
                  </w:r>
                </w:p>
                <w:p>
                  <w:pPr>
                    <w:pStyle w:val="28"/>
                    <w:rPr>
                      <w:rFonts w:hint="eastAsia"/>
                      <w:lang w:val="en-US" w:eastAsia="zh-CN"/>
                    </w:rPr>
                  </w:pPr>
                  <w:r>
                    <w:rPr>
                      <w:rFonts w:hint="eastAsia"/>
                      <w:lang w:val="en-US" w:eastAsia="zh-CN"/>
                    </w:rPr>
                    <w:t>kg/h</w:t>
                  </w:r>
                </w:p>
              </w:tc>
              <w:tc>
                <w:tcPr>
                  <w:tcW w:w="2974" w:type="dxa"/>
                  <w:vMerge w:val="continue"/>
                  <w:tcMar>
                    <w:top w:w="15" w:type="dxa"/>
                    <w:left w:w="15" w:type="dxa"/>
                    <w:right w:w="15" w:type="dxa"/>
                  </w:tcMar>
                  <w:vAlign w:val="center"/>
                </w:tcPr>
                <w:p>
                  <w:pPr>
                    <w:pStyle w:val="28"/>
                    <w:bidi w:val="0"/>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834" w:hRule="atLeast"/>
              </w:trPr>
              <w:tc>
                <w:tcPr>
                  <w:tcW w:w="783" w:type="dxa"/>
                  <w:tcMar>
                    <w:top w:w="15" w:type="dxa"/>
                    <w:left w:w="15" w:type="dxa"/>
                    <w:right w:w="15" w:type="dxa"/>
                  </w:tcMar>
                  <w:vAlign w:val="center"/>
                </w:tcPr>
                <w:p>
                  <w:pPr>
                    <w:pStyle w:val="28"/>
                    <w:bidi w:val="0"/>
                    <w:rPr>
                      <w:rFonts w:hint="eastAsia"/>
                      <w:lang w:val="en-US" w:eastAsia="zh-CN"/>
                    </w:rPr>
                  </w:pPr>
                  <w:r>
                    <w:rPr>
                      <w:rFonts w:hint="eastAsia"/>
                      <w:lang w:val="en-US" w:eastAsia="zh-CN"/>
                    </w:rPr>
                    <w:t>颗粒物</w:t>
                  </w:r>
                </w:p>
              </w:tc>
              <w:tc>
                <w:tcPr>
                  <w:tcW w:w="1442" w:type="dxa"/>
                  <w:tcMar>
                    <w:top w:w="15" w:type="dxa"/>
                    <w:left w:w="15" w:type="dxa"/>
                    <w:right w:w="15" w:type="dxa"/>
                  </w:tcMar>
                  <w:vAlign w:val="center"/>
                </w:tcPr>
                <w:p>
                  <w:pPr>
                    <w:pStyle w:val="28"/>
                    <w:bidi w:val="0"/>
                    <w:rPr>
                      <w:rFonts w:hint="eastAsia"/>
                      <w:lang w:val="en-US" w:eastAsia="zh-CN"/>
                    </w:rPr>
                  </w:pPr>
                  <w:r>
                    <w:rPr>
                      <w:rFonts w:hint="eastAsia"/>
                      <w:lang w:val="en-US" w:eastAsia="zh-CN"/>
                    </w:rPr>
                    <w:t>120</w:t>
                  </w:r>
                </w:p>
              </w:tc>
              <w:tc>
                <w:tcPr>
                  <w:tcW w:w="1654" w:type="dxa"/>
                  <w:tcMar>
                    <w:top w:w="15" w:type="dxa"/>
                    <w:left w:w="15" w:type="dxa"/>
                    <w:right w:w="15" w:type="dxa"/>
                  </w:tcMar>
                  <w:vAlign w:val="center"/>
                </w:tcPr>
                <w:p>
                  <w:pPr>
                    <w:pStyle w:val="28"/>
                    <w:bidi w:val="0"/>
                    <w:rPr>
                      <w:rFonts w:hint="default"/>
                      <w:lang w:val="en-US" w:eastAsia="zh-CN"/>
                    </w:rPr>
                  </w:pPr>
                  <w:r>
                    <w:rPr>
                      <w:rFonts w:hint="eastAsia"/>
                      <w:lang w:val="en-US" w:eastAsia="zh-CN"/>
                    </w:rPr>
                    <w:t>15</w:t>
                  </w:r>
                </w:p>
              </w:tc>
              <w:tc>
                <w:tcPr>
                  <w:tcW w:w="1231" w:type="dxa"/>
                  <w:tcMar>
                    <w:top w:w="15" w:type="dxa"/>
                    <w:left w:w="15" w:type="dxa"/>
                    <w:right w:w="15" w:type="dxa"/>
                  </w:tcMar>
                  <w:vAlign w:val="center"/>
                </w:tcPr>
                <w:p>
                  <w:pPr>
                    <w:pStyle w:val="28"/>
                    <w:bidi w:val="0"/>
                    <w:rPr>
                      <w:rFonts w:hint="default"/>
                      <w:lang w:val="en-US" w:eastAsia="zh-CN"/>
                    </w:rPr>
                  </w:pPr>
                  <w:r>
                    <w:rPr>
                      <w:rFonts w:hint="eastAsia"/>
                      <w:lang w:val="en-US" w:eastAsia="zh-CN"/>
                    </w:rPr>
                    <w:t>3.5</w:t>
                  </w:r>
                </w:p>
              </w:tc>
              <w:tc>
                <w:tcPr>
                  <w:tcW w:w="2974" w:type="dxa"/>
                  <w:tcMar>
                    <w:top w:w="15" w:type="dxa"/>
                    <w:left w:w="15" w:type="dxa"/>
                    <w:right w:w="15" w:type="dxa"/>
                  </w:tcMar>
                  <w:vAlign w:val="center"/>
                </w:tcPr>
                <w:p>
                  <w:pPr>
                    <w:pStyle w:val="28"/>
                    <w:bidi w:val="0"/>
                    <w:rPr>
                      <w:rFonts w:hint="default"/>
                      <w:lang w:val="en-US" w:eastAsia="zh-CN"/>
                    </w:rPr>
                  </w:pPr>
                  <w:r>
                    <w:rPr>
                      <w:rFonts w:hint="eastAsia"/>
                      <w:highlight w:val="none"/>
                      <w:lang w:eastAsia="zh-CN"/>
                    </w:rPr>
                    <w:t>《</w:t>
                  </w:r>
                  <w:r>
                    <w:rPr>
                      <w:rFonts w:hint="eastAsia"/>
                      <w:highlight w:val="none"/>
                      <w:lang w:val="en-US" w:eastAsia="zh-CN"/>
                    </w:rPr>
                    <w:t>大气污染物综合排放标准</w:t>
                  </w:r>
                  <w:r>
                    <w:rPr>
                      <w:rFonts w:hint="eastAsia"/>
                      <w:highlight w:val="none"/>
                      <w:lang w:eastAsia="zh-CN"/>
                    </w:rPr>
                    <w:t>》（GB1</w:t>
                  </w:r>
                  <w:r>
                    <w:rPr>
                      <w:rFonts w:hint="eastAsia"/>
                      <w:highlight w:val="none"/>
                      <w:lang w:val="en-US" w:eastAsia="zh-CN"/>
                    </w:rPr>
                    <w:t>6297</w:t>
                  </w:r>
                  <w:r>
                    <w:rPr>
                      <w:rFonts w:hint="eastAsia"/>
                      <w:highlight w:val="none"/>
                      <w:lang w:eastAsia="zh-CN"/>
                    </w:rPr>
                    <w:t>-</w:t>
                  </w:r>
                  <w:r>
                    <w:rPr>
                      <w:rFonts w:hint="eastAsia"/>
                      <w:highlight w:val="none"/>
                      <w:lang w:val="en-US" w:eastAsia="zh-CN"/>
                    </w:rPr>
                    <w:t>1996</w:t>
                  </w:r>
                  <w:r>
                    <w:rPr>
                      <w:rFonts w:hint="eastAsia"/>
                      <w:highlight w:val="none"/>
                      <w:lang w:eastAsia="zh-CN"/>
                    </w:rPr>
                    <w:t>）</w:t>
                  </w:r>
                  <w:r>
                    <w:rPr>
                      <w:rFonts w:hint="default"/>
                      <w:lang w:val="en-US" w:eastAsia="zh-CN"/>
                    </w:rPr>
                    <w:t>表</w:t>
                  </w:r>
                  <w:r>
                    <w:rPr>
                      <w:rFonts w:hint="eastAsia"/>
                      <w:lang w:val="en-US" w:eastAsia="zh-CN"/>
                    </w:rPr>
                    <w:t>2</w:t>
                  </w:r>
                  <w:r>
                    <w:rPr>
                      <w:rFonts w:hint="default"/>
                      <w:lang w:val="en-US" w:eastAsia="zh-CN"/>
                    </w:rPr>
                    <w:t>排放限值</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.3</w:t>
            </w:r>
            <w:r>
              <w:rPr>
                <w:rFonts w:hint="default"/>
                <w:color w:val="auto"/>
              </w:rPr>
              <w:t>厂界噪声</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lang w:val="en-US" w:eastAsia="zh-CN"/>
              </w:rPr>
              <w:t>施工期</w:t>
            </w:r>
          </w:p>
          <w:p>
            <w:pPr>
              <w:bidi w:val="0"/>
              <w:rPr>
                <w:rFonts w:hint="default"/>
                <w:color w:val="auto"/>
              </w:rPr>
            </w:pPr>
            <w:r>
              <w:rPr>
                <w:rFonts w:hint="default"/>
                <w:color w:val="auto"/>
              </w:rPr>
              <w:t>项目施工期场界噪声执行《建筑施工场界环境噪声排放标准》(GB12523-2011)表1排放限值，详见表</w:t>
            </w:r>
            <w:r>
              <w:rPr>
                <w:rFonts w:hint="default"/>
                <w:color w:val="auto"/>
                <w:highlight w:val="none"/>
                <w:lang w:val="en-US" w:eastAsia="zh-CN"/>
              </w:rPr>
              <w:t>3</w:t>
            </w:r>
            <w:r>
              <w:rPr>
                <w:rFonts w:hint="default"/>
                <w:color w:val="auto"/>
                <w:highlight w:val="none"/>
              </w:rPr>
              <w:t>.</w:t>
            </w:r>
            <w:r>
              <w:rPr>
                <w:rFonts w:hint="eastAsia"/>
                <w:color w:val="auto"/>
                <w:highlight w:val="none"/>
                <w:lang w:val="en-US" w:eastAsia="zh-CN"/>
              </w:rPr>
              <w:t>7</w:t>
            </w:r>
            <w:r>
              <w:rPr>
                <w:rFonts w:hint="default"/>
                <w:color w:val="auto"/>
                <w:highlight w:val="none"/>
              </w:rPr>
              <w:t>-</w:t>
            </w:r>
            <w:r>
              <w:rPr>
                <w:rFonts w:hint="eastAsia"/>
                <w:color w:val="auto"/>
                <w:highlight w:val="none"/>
                <w:lang w:val="en-US" w:eastAsia="zh-CN"/>
              </w:rPr>
              <w:t>4</w:t>
            </w:r>
            <w:r>
              <w:rPr>
                <w:rFonts w:hint="default"/>
                <w:color w:val="auto"/>
                <w:highlight w:val="none"/>
              </w:rPr>
              <w:t>。</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.7-4</w:t>
            </w:r>
            <w:r>
              <w:rPr>
                <w:rFonts w:hint="default"/>
                <w:color w:val="auto"/>
                <w:sz w:val="24"/>
                <w:szCs w:val="24"/>
              </w:rPr>
              <w:t xml:space="preserve"> 《建筑施工场界环境噪声排放标准》(GB12523-2011)(摘录)</w:t>
            </w:r>
          </w:p>
          <w:tbl>
            <w:tblPr>
              <w:tblStyle w:val="24"/>
              <w:tblW w:w="809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171"/>
              <w:gridCol w:w="39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171" w:type="dxa"/>
                  <w:vAlign w:val="center"/>
                </w:tcPr>
                <w:p>
                  <w:pPr>
                    <w:pStyle w:val="33"/>
                    <w:bidi w:val="0"/>
                    <w:rPr>
                      <w:rFonts w:hint="default"/>
                      <w:color w:val="auto"/>
                    </w:rPr>
                  </w:pPr>
                  <w:r>
                    <w:rPr>
                      <w:rFonts w:hint="default"/>
                      <w:color w:val="auto"/>
                    </w:rPr>
                    <w:t>昼间[dB(A)]</w:t>
                  </w:r>
                </w:p>
              </w:tc>
              <w:tc>
                <w:tcPr>
                  <w:tcW w:w="3920" w:type="dxa"/>
                  <w:vAlign w:val="center"/>
                </w:tcPr>
                <w:p>
                  <w:pPr>
                    <w:pStyle w:val="33"/>
                    <w:bidi w:val="0"/>
                    <w:rPr>
                      <w:rFonts w:hint="default"/>
                      <w:color w:val="auto"/>
                    </w:rPr>
                  </w:pPr>
                  <w:r>
                    <w:rPr>
                      <w:rFonts w:hint="default"/>
                      <w:color w:val="auto"/>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171" w:type="dxa"/>
                  <w:vAlign w:val="center"/>
                </w:tcPr>
                <w:p>
                  <w:pPr>
                    <w:pStyle w:val="28"/>
                    <w:bidi w:val="0"/>
                    <w:rPr>
                      <w:rFonts w:hint="default"/>
                      <w:color w:val="auto"/>
                    </w:rPr>
                  </w:pPr>
                  <w:r>
                    <w:rPr>
                      <w:rFonts w:hint="default"/>
                      <w:color w:val="auto"/>
                    </w:rPr>
                    <w:t>70</w:t>
                  </w:r>
                </w:p>
              </w:tc>
              <w:tc>
                <w:tcPr>
                  <w:tcW w:w="3920" w:type="dxa"/>
                  <w:vAlign w:val="center"/>
                </w:tcPr>
                <w:p>
                  <w:pPr>
                    <w:pStyle w:val="28"/>
                    <w:bidi w:val="0"/>
                    <w:rPr>
                      <w:rFonts w:hint="default"/>
                      <w:color w:val="auto"/>
                    </w:rPr>
                  </w:pPr>
                  <w:r>
                    <w:rPr>
                      <w:rFonts w:hint="default"/>
                      <w:color w:val="auto"/>
                    </w:rPr>
                    <w:t>55</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lang w:val="en-US"/>
              </w:rPr>
            </w:pPr>
            <w:r>
              <w:rPr>
                <w:rFonts w:hint="default"/>
                <w:color w:val="auto"/>
              </w:rPr>
              <w:t>项目运营期</w:t>
            </w:r>
            <w:r>
              <w:rPr>
                <w:rFonts w:hint="eastAsia"/>
                <w:color w:val="auto"/>
                <w:lang w:eastAsia="zh-CN"/>
              </w:rPr>
              <w:t>夜间不生产，昼间</w:t>
            </w:r>
            <w:r>
              <w:rPr>
                <w:rFonts w:hint="default"/>
                <w:color w:val="auto"/>
              </w:rPr>
              <w:t>厂界噪声执行《工业企业厂界环境噪声排放标准》(GB12348-2008)中</w:t>
            </w:r>
            <w:r>
              <w:rPr>
                <w:rFonts w:hint="eastAsia"/>
                <w:color w:val="auto"/>
                <w:lang w:val="en-US" w:eastAsia="zh-CN"/>
              </w:rPr>
              <w:t>2</w:t>
            </w:r>
            <w:r>
              <w:rPr>
                <w:rFonts w:hint="default"/>
                <w:color w:val="auto"/>
                <w:lang w:val="en-US" w:eastAsia="zh-CN"/>
              </w:rPr>
              <w:t>类</w:t>
            </w:r>
            <w:r>
              <w:rPr>
                <w:rFonts w:hint="eastAsia"/>
                <w:color w:val="auto"/>
                <w:lang w:val="en-US" w:eastAsia="zh-CN"/>
              </w:rPr>
              <w:t>标准。</w:t>
            </w:r>
          </w:p>
          <w:p>
            <w:pPr>
              <w:pStyle w:val="33"/>
              <w:bidi w:val="0"/>
              <w:rPr>
                <w:rFonts w:hint="default"/>
                <w:color w:val="auto"/>
                <w:sz w:val="24"/>
                <w:szCs w:val="24"/>
              </w:rPr>
            </w:pPr>
            <w:r>
              <w:rPr>
                <w:rFonts w:hint="default"/>
                <w:color w:val="auto"/>
                <w:sz w:val="24"/>
                <w:szCs w:val="24"/>
              </w:rPr>
              <w:t>表3.</w:t>
            </w:r>
            <w:r>
              <w:rPr>
                <w:rFonts w:hint="eastAsia"/>
                <w:color w:val="auto"/>
                <w:sz w:val="24"/>
                <w:szCs w:val="24"/>
                <w:lang w:val="en-US" w:eastAsia="zh-CN"/>
              </w:rPr>
              <w:t xml:space="preserve">7-5 </w:t>
            </w:r>
            <w:r>
              <w:rPr>
                <w:rFonts w:hint="default"/>
                <w:color w:val="auto"/>
                <w:sz w:val="24"/>
                <w:szCs w:val="24"/>
              </w:rPr>
              <w:t>《工业企业厂界环境噪声排放标准》(GB12348-2008)表1(摘录)</w:t>
            </w:r>
          </w:p>
          <w:tbl>
            <w:tblPr>
              <w:tblStyle w:val="24"/>
              <w:tblW w:w="8091"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068"/>
              <w:gridCol w:w="2001"/>
              <w:gridCol w:w="20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068" w:type="dxa"/>
                  <w:tcBorders>
                    <w:tl2br w:val="single" w:color="auto" w:sz="2" w:space="0"/>
                  </w:tcBorders>
                  <w:vAlign w:val="center"/>
                </w:tcPr>
                <w:p>
                  <w:pPr>
                    <w:pStyle w:val="33"/>
                    <w:bidi w:val="0"/>
                    <w:jc w:val="right"/>
                    <w:rPr>
                      <w:rFonts w:hint="default"/>
                      <w:color w:val="auto"/>
                    </w:rPr>
                  </w:pPr>
                  <w:r>
                    <w:rPr>
                      <w:rFonts w:hint="default"/>
                      <w:color w:val="auto"/>
                    </w:rPr>
                    <w:t>时段</w:t>
                  </w:r>
                </w:p>
                <w:p>
                  <w:pPr>
                    <w:pStyle w:val="33"/>
                    <w:bidi w:val="0"/>
                    <w:jc w:val="left"/>
                    <w:rPr>
                      <w:rFonts w:hint="default"/>
                      <w:color w:val="auto"/>
                    </w:rPr>
                  </w:pPr>
                  <w:r>
                    <w:rPr>
                      <w:rFonts w:hint="default"/>
                      <w:color w:val="auto"/>
                    </w:rPr>
                    <w:t>厂界外声环境功能区类别</w:t>
                  </w:r>
                </w:p>
              </w:tc>
              <w:tc>
                <w:tcPr>
                  <w:tcW w:w="2001" w:type="dxa"/>
                  <w:tcBorders>
                    <w:right w:val="single" w:color="auto" w:sz="4" w:space="0"/>
                  </w:tcBorders>
                  <w:vAlign w:val="center"/>
                </w:tcPr>
                <w:p>
                  <w:pPr>
                    <w:pStyle w:val="33"/>
                    <w:bidi w:val="0"/>
                    <w:rPr>
                      <w:rFonts w:hint="default"/>
                      <w:color w:val="auto"/>
                    </w:rPr>
                  </w:pPr>
                  <w:r>
                    <w:rPr>
                      <w:rFonts w:hint="default"/>
                      <w:color w:val="auto"/>
                    </w:rPr>
                    <w:t>昼 间</w:t>
                  </w:r>
                </w:p>
              </w:tc>
              <w:tc>
                <w:tcPr>
                  <w:tcW w:w="2022" w:type="dxa"/>
                  <w:vAlign w:val="center"/>
                </w:tcPr>
                <w:p>
                  <w:pPr>
                    <w:pStyle w:val="33"/>
                    <w:bidi w:val="0"/>
                    <w:rPr>
                      <w:rFonts w:hint="default"/>
                      <w:color w:val="auto"/>
                    </w:rPr>
                  </w:pPr>
                  <w:r>
                    <w:rPr>
                      <w:rFonts w:hint="default"/>
                      <w:color w:val="auto"/>
                    </w:rPr>
                    <w:t>单 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397" w:hRule="atLeast"/>
                <w:jc w:val="center"/>
              </w:trPr>
              <w:tc>
                <w:tcPr>
                  <w:tcW w:w="4068" w:type="dxa"/>
                  <w:vAlign w:val="center"/>
                </w:tcPr>
                <w:p>
                  <w:pPr>
                    <w:pStyle w:val="28"/>
                    <w:bidi w:val="0"/>
                    <w:rPr>
                      <w:rFonts w:hint="default"/>
                      <w:color w:val="auto"/>
                    </w:rPr>
                  </w:pPr>
                  <w:r>
                    <w:rPr>
                      <w:rFonts w:hint="eastAsia"/>
                      <w:color w:val="auto"/>
                      <w:lang w:val="en-US" w:eastAsia="zh-CN"/>
                    </w:rPr>
                    <w:t>2</w:t>
                  </w:r>
                  <w:r>
                    <w:rPr>
                      <w:rFonts w:hint="default"/>
                      <w:color w:val="auto"/>
                    </w:rPr>
                    <w:t>类</w:t>
                  </w:r>
                </w:p>
              </w:tc>
              <w:tc>
                <w:tcPr>
                  <w:tcW w:w="2001" w:type="dxa"/>
                  <w:tcBorders>
                    <w:right w:val="single" w:color="auto" w:sz="4" w:space="0"/>
                  </w:tcBorders>
                  <w:vAlign w:val="center"/>
                </w:tcPr>
                <w:p>
                  <w:pPr>
                    <w:pStyle w:val="28"/>
                    <w:bidi w:val="0"/>
                    <w:rPr>
                      <w:rFonts w:hint="default"/>
                      <w:color w:val="auto"/>
                      <w:lang w:val="en-US" w:eastAsia="zh-CN"/>
                    </w:rPr>
                  </w:pPr>
                  <w:r>
                    <w:rPr>
                      <w:rFonts w:hint="default"/>
                      <w:color w:val="auto"/>
                    </w:rPr>
                    <w:t>≤</w:t>
                  </w:r>
                  <w:r>
                    <w:rPr>
                      <w:rFonts w:hint="eastAsia"/>
                      <w:color w:val="auto"/>
                      <w:lang w:val="en-US" w:eastAsia="zh-CN"/>
                    </w:rPr>
                    <w:t>60</w:t>
                  </w:r>
                </w:p>
              </w:tc>
              <w:tc>
                <w:tcPr>
                  <w:tcW w:w="2022" w:type="dxa"/>
                  <w:vAlign w:val="center"/>
                </w:tcPr>
                <w:p>
                  <w:pPr>
                    <w:pStyle w:val="28"/>
                    <w:bidi w:val="0"/>
                    <w:rPr>
                      <w:rFonts w:hint="default"/>
                      <w:color w:val="auto"/>
                    </w:rPr>
                  </w:pPr>
                  <w:r>
                    <w:rPr>
                      <w:rFonts w:hint="default"/>
                      <w:color w:val="auto"/>
                    </w:rPr>
                    <w:t>dB(A)</w:t>
                  </w:r>
                </w:p>
              </w:tc>
            </w:tr>
          </w:tbl>
          <w:p>
            <w:pPr>
              <w:pStyle w:val="4"/>
              <w:bidi w:val="0"/>
              <w:rPr>
                <w:rFonts w:hint="default"/>
                <w:color w:val="auto"/>
              </w:rPr>
            </w:pPr>
            <w:r>
              <w:rPr>
                <w:rFonts w:hint="default"/>
                <w:color w:val="auto"/>
                <w:lang w:val="en-US" w:eastAsia="zh-CN"/>
              </w:rPr>
              <w:t>3.</w:t>
            </w:r>
            <w:r>
              <w:rPr>
                <w:rFonts w:hint="eastAsia"/>
                <w:color w:val="auto"/>
                <w:lang w:val="en-US" w:eastAsia="zh-CN"/>
              </w:rPr>
              <w:t>7</w:t>
            </w:r>
            <w:r>
              <w:rPr>
                <w:rFonts w:hint="default"/>
                <w:color w:val="auto"/>
                <w:lang w:val="en-US" w:eastAsia="zh-CN"/>
              </w:rPr>
              <w:t xml:space="preserve">.4 </w:t>
            </w:r>
            <w:r>
              <w:rPr>
                <w:rFonts w:hint="default"/>
                <w:color w:val="auto"/>
              </w:rPr>
              <w:t>固体废物</w:t>
            </w:r>
          </w:p>
          <w:p>
            <w:pPr>
              <w:bidi w:val="0"/>
              <w:rPr>
                <w:rFonts w:hint="default" w:ascii="Times New Roman" w:hAnsi="Times New Roman" w:eastAsia="宋体" w:cs="Times New Roman"/>
                <w:color w:val="auto"/>
                <w:kern w:val="0"/>
                <w:szCs w:val="21"/>
              </w:rPr>
            </w:pPr>
            <w:r>
              <w:rPr>
                <w:rFonts w:hint="default"/>
                <w:color w:val="auto"/>
              </w:rPr>
              <w:t>运营期项目内产生的</w:t>
            </w:r>
            <w:r>
              <w:rPr>
                <w:rFonts w:hint="default"/>
                <w:color w:val="auto"/>
                <w:lang w:eastAsia="zh-CN"/>
              </w:rPr>
              <w:t>一般工业固废</w:t>
            </w:r>
            <w:r>
              <w:rPr>
                <w:rFonts w:hint="eastAsia"/>
                <w:color w:val="auto"/>
                <w:lang w:val="en-US" w:eastAsia="zh-CN"/>
              </w:rPr>
              <w:t>贮存</w:t>
            </w:r>
            <w:r>
              <w:rPr>
                <w:rFonts w:hint="default"/>
                <w:color w:val="auto"/>
                <w:lang w:eastAsia="zh-CN"/>
              </w:rPr>
              <w:t>应</w:t>
            </w:r>
            <w:r>
              <w:rPr>
                <w:rFonts w:hint="default"/>
                <w:color w:val="auto"/>
              </w:rPr>
              <w:t>按照</w:t>
            </w:r>
            <w:r>
              <w:rPr>
                <w:rFonts w:hint="eastAsia"/>
                <w:color w:val="auto"/>
                <w:lang w:eastAsia="zh-CN"/>
              </w:rPr>
              <w:t>《一般工业固体废物贮存和填埋污染控制标准》(GB18599-2020)要求</w:t>
            </w:r>
            <w:r>
              <w:rPr>
                <w:rFonts w:hint="default"/>
                <w:color w:val="auto"/>
              </w:rPr>
              <w:t>进行</w:t>
            </w:r>
            <w:r>
              <w:rPr>
                <w:rFonts w:hint="eastAsia"/>
                <w:color w:val="auto"/>
                <w:lang w:eastAsia="zh-CN"/>
              </w:rPr>
              <w:t>；</w:t>
            </w:r>
            <w:r>
              <w:rPr>
                <w:rFonts w:hint="default"/>
                <w:color w:val="auto"/>
              </w:rPr>
              <w:t>危险废物</w:t>
            </w:r>
            <w:r>
              <w:rPr>
                <w:rFonts w:hint="eastAsia"/>
                <w:color w:val="auto"/>
                <w:lang w:val="en-US" w:eastAsia="zh-CN"/>
              </w:rPr>
              <w:t>贮存</w:t>
            </w:r>
            <w:r>
              <w:rPr>
                <w:rFonts w:hint="default"/>
                <w:color w:val="auto"/>
              </w:rPr>
              <w:t>应按照</w:t>
            </w:r>
            <w:r>
              <w:rPr>
                <w:rFonts w:hint="eastAsia"/>
                <w:color w:val="auto"/>
                <w:lang w:val="en-US" w:eastAsia="zh-CN"/>
              </w:rPr>
              <w:t>《危险废物贮存污染控制标准》(GB18597-2023)要求</w:t>
            </w:r>
            <w:r>
              <w:rPr>
                <w:rFonts w:hint="default"/>
                <w:color w:val="auto"/>
              </w:rPr>
              <w:t>进行</w:t>
            </w:r>
            <w:r>
              <w:rPr>
                <w:rFonts w:hint="eastAsia"/>
                <w:color w:val="auto"/>
                <w:lang w:eastAsia="zh-CN"/>
              </w:rPr>
              <w:t>，</w:t>
            </w:r>
            <w:r>
              <w:rPr>
                <w:rFonts w:hint="eastAsia"/>
                <w:color w:val="auto"/>
                <w:lang w:val="en-US" w:eastAsia="zh-CN"/>
              </w:rPr>
              <w:t>危险废物识别标志按照《危险废物识别标志设置技术规范》(HJ 1276-2022)要求进行</w:t>
            </w:r>
            <w:r>
              <w:rPr>
                <w:rFonts w:hint="default"/>
                <w:color w:val="auto"/>
                <w:lang w:val="en-US" w:eastAsia="zh-CN"/>
              </w:rPr>
              <w:t>设置</w:t>
            </w:r>
            <w:r>
              <w:rPr>
                <w:rFonts w:hint="eastAsia"/>
                <w:color w:val="auto"/>
                <w:lang w:eastAsia="zh-CN"/>
              </w:rPr>
              <w:t>，</w:t>
            </w:r>
            <w:r>
              <w:rPr>
                <w:rFonts w:hint="eastAsia"/>
                <w:color w:val="auto"/>
                <w:lang w:val="en-US" w:eastAsia="zh-CN"/>
              </w:rPr>
              <w:t>危险废物转移按照《危险废物转移管理办法》要求进行；项</w:t>
            </w:r>
            <w:r>
              <w:rPr>
                <w:rFonts w:hint="default"/>
                <w:color w:val="auto"/>
              </w:rPr>
              <w:t>目生活垃圾</w:t>
            </w:r>
            <w:r>
              <w:rPr>
                <w:rFonts w:hint="default"/>
                <w:color w:val="auto"/>
                <w:lang w:val="en-US" w:eastAsia="zh-CN"/>
              </w:rPr>
              <w:t>参照</w:t>
            </w:r>
            <w:r>
              <w:rPr>
                <w:rFonts w:hint="default"/>
                <w:color w:val="auto"/>
              </w:rPr>
              <w:t>《城市环境卫生设施规划规范》</w:t>
            </w:r>
            <w:r>
              <w:rPr>
                <w:rFonts w:hint="default"/>
                <w:color w:val="auto"/>
                <w:lang w:val="en-US" w:eastAsia="zh-CN"/>
              </w:rPr>
              <w:t>(</w:t>
            </w:r>
            <w:r>
              <w:rPr>
                <w:rFonts w:hint="default"/>
                <w:color w:val="auto"/>
              </w:rPr>
              <w:t>GB50337-2018</w:t>
            </w:r>
            <w:r>
              <w:rPr>
                <w:rFonts w:hint="default"/>
                <w:color w:val="auto"/>
                <w:lang w:val="en-US" w:eastAsia="zh-CN"/>
              </w:rPr>
              <w:t>)</w:t>
            </w:r>
            <w:r>
              <w:rPr>
                <w:rFonts w:hint="default"/>
                <w:color w:val="auto"/>
              </w:rPr>
              <w:t>中的要求进行综合利用和处置</w:t>
            </w:r>
            <w:r>
              <w:rPr>
                <w:rFonts w:hint="default"/>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25" w:hRule="atLeast"/>
          <w:jc w:val="center"/>
        </w:trPr>
        <w:tc>
          <w:tcPr>
            <w:tcW w:w="680" w:type="dxa"/>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总量</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控制</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highlight w:val="none"/>
              </w:rPr>
              <w:t>指标</w:t>
            </w:r>
          </w:p>
        </w:tc>
        <w:tc>
          <w:tcPr>
            <w:tcW w:w="8310" w:type="dxa"/>
            <w:vAlign w:val="center"/>
          </w:tcPr>
          <w:p>
            <w:pPr>
              <w:pStyle w:val="3"/>
              <w:bidi w:val="0"/>
              <w:rPr>
                <w:rFonts w:hint="default"/>
                <w:color w:val="auto"/>
                <w:lang w:val="en-US" w:eastAsia="zh-CN"/>
              </w:rPr>
            </w:pPr>
            <w:r>
              <w:rPr>
                <w:rFonts w:hint="eastAsia"/>
                <w:color w:val="auto"/>
                <w:lang w:val="en-US" w:eastAsia="zh-CN"/>
              </w:rPr>
              <w:t>3.8 总量控制指标</w:t>
            </w:r>
          </w:p>
          <w:p>
            <w:pPr>
              <w:pStyle w:val="4"/>
              <w:bidi w:val="0"/>
              <w:rPr>
                <w:rFonts w:hint="default"/>
                <w:color w:val="auto"/>
                <w:lang w:val="en-US" w:eastAsia="zh-CN"/>
              </w:rPr>
            </w:pPr>
            <w:r>
              <w:rPr>
                <w:rFonts w:hint="eastAsia"/>
                <w:color w:val="auto"/>
                <w:lang w:val="en-US" w:eastAsia="zh-CN"/>
              </w:rPr>
              <w:t>3.8.1 总量控制指标</w:t>
            </w:r>
          </w:p>
          <w:p>
            <w:pPr>
              <w:bidi w:val="0"/>
              <w:rPr>
                <w:rFonts w:hint="eastAsia"/>
                <w:color w:val="auto"/>
                <w:lang w:val="en-US" w:eastAsia="zh-CN"/>
              </w:rPr>
            </w:pPr>
            <w:r>
              <w:rPr>
                <w:rFonts w:hint="default"/>
                <w:color w:val="auto"/>
                <w:lang w:val="en-GB"/>
              </w:rPr>
              <w:t>根据《福建省建设项目主要污染物排放总量指标管理办法</w:t>
            </w:r>
            <w:r>
              <w:rPr>
                <w:rFonts w:hint="eastAsia"/>
                <w:color w:val="auto"/>
                <w:lang w:val="en-GB" w:eastAsia="zh-CN"/>
              </w:rPr>
              <w:t>（</w:t>
            </w:r>
            <w:r>
              <w:rPr>
                <w:rFonts w:hint="default"/>
                <w:color w:val="auto"/>
                <w:lang w:val="en-GB"/>
              </w:rPr>
              <w:t>试行</w:t>
            </w:r>
            <w:r>
              <w:rPr>
                <w:rFonts w:hint="eastAsia"/>
                <w:color w:val="auto"/>
                <w:lang w:val="en-GB" w:eastAsia="zh-CN"/>
              </w:rPr>
              <w:t>）</w:t>
            </w:r>
            <w:r>
              <w:rPr>
                <w:rFonts w:hint="default"/>
                <w:color w:val="auto"/>
                <w:lang w:val="en-GB"/>
              </w:rPr>
              <w:t>的通知》</w:t>
            </w:r>
            <w:r>
              <w:rPr>
                <w:rFonts w:hint="eastAsia"/>
                <w:color w:val="auto"/>
                <w:lang w:val="en-GB" w:eastAsia="zh-CN"/>
              </w:rPr>
              <w:t>（</w:t>
            </w:r>
            <w:r>
              <w:rPr>
                <w:rFonts w:hint="default"/>
                <w:color w:val="auto"/>
                <w:lang w:val="en-GB"/>
              </w:rPr>
              <w:t>闽环发</w:t>
            </w:r>
            <w:r>
              <w:rPr>
                <w:rFonts w:hint="eastAsia"/>
                <w:color w:val="auto"/>
                <w:lang w:val="en-GB" w:eastAsia="zh-CN"/>
              </w:rPr>
              <w:t>〔</w:t>
            </w:r>
            <w:r>
              <w:rPr>
                <w:rFonts w:hint="default"/>
                <w:color w:val="auto"/>
                <w:lang w:val="en-GB"/>
              </w:rPr>
              <w:t>2014</w:t>
            </w:r>
            <w:r>
              <w:rPr>
                <w:rFonts w:hint="eastAsia"/>
                <w:color w:val="auto"/>
                <w:lang w:val="en-GB" w:eastAsia="zh-CN"/>
              </w:rPr>
              <w:t>〕</w:t>
            </w:r>
            <w:r>
              <w:rPr>
                <w:rFonts w:hint="default"/>
                <w:color w:val="auto"/>
                <w:lang w:val="en-GB"/>
              </w:rPr>
              <w:t>13号</w:t>
            </w:r>
            <w:r>
              <w:rPr>
                <w:rFonts w:hint="eastAsia"/>
                <w:color w:val="auto"/>
                <w:lang w:val="en-GB" w:eastAsia="zh-CN"/>
              </w:rPr>
              <w:t>）</w:t>
            </w:r>
            <w:r>
              <w:rPr>
                <w:rFonts w:hint="default"/>
                <w:color w:val="auto"/>
                <w:lang w:val="en-GB"/>
              </w:rPr>
              <w:t>、《福建省关于全面实施排污权有偿使用和交易工作的意见》</w:t>
            </w:r>
            <w:r>
              <w:rPr>
                <w:rFonts w:hint="eastAsia"/>
                <w:color w:val="auto"/>
                <w:lang w:val="en-GB" w:eastAsia="zh-CN"/>
              </w:rPr>
              <w:t>（</w:t>
            </w:r>
            <w:r>
              <w:rPr>
                <w:rFonts w:hint="default"/>
                <w:color w:val="auto"/>
                <w:lang w:val="en-GB"/>
              </w:rPr>
              <w:t>政2016号54号</w:t>
            </w:r>
            <w:r>
              <w:rPr>
                <w:rFonts w:hint="eastAsia"/>
                <w:color w:val="auto"/>
                <w:lang w:val="en-GB" w:eastAsia="zh-CN"/>
              </w:rPr>
              <w:t>）</w:t>
            </w:r>
            <w:r>
              <w:rPr>
                <w:rFonts w:hint="eastAsia"/>
                <w:color w:val="auto"/>
                <w:lang w:val="en-US" w:eastAsia="zh-CN"/>
              </w:rPr>
              <w:t>等文件要求，</w:t>
            </w:r>
            <w:r>
              <w:rPr>
                <w:rFonts w:hint="default"/>
                <w:color w:val="auto"/>
                <w:lang w:val="en-GB"/>
              </w:rPr>
              <w:t>现阶段</w:t>
            </w:r>
            <w:r>
              <w:rPr>
                <w:rFonts w:hint="eastAsia"/>
                <w:color w:val="auto"/>
                <w:lang w:val="en-US" w:eastAsia="zh-CN"/>
              </w:rPr>
              <w:t>福建省主要污染物排放总量指标为COD、NH</w:t>
            </w:r>
            <w:r>
              <w:rPr>
                <w:rFonts w:hint="eastAsia"/>
                <w:color w:val="auto"/>
                <w:vertAlign w:val="subscript"/>
                <w:lang w:val="en-US" w:eastAsia="zh-CN"/>
              </w:rPr>
              <w:t>3</w:t>
            </w:r>
            <w:r>
              <w:rPr>
                <w:rFonts w:hint="eastAsia"/>
                <w:color w:val="auto"/>
                <w:lang w:val="en-US" w:eastAsia="zh-CN"/>
              </w:rPr>
              <w:t>-N、SO</w:t>
            </w:r>
            <w:r>
              <w:rPr>
                <w:rFonts w:hint="eastAsia"/>
                <w:color w:val="auto"/>
                <w:vertAlign w:val="subscript"/>
                <w:lang w:val="en-US" w:eastAsia="zh-CN"/>
              </w:rPr>
              <w:t>2</w:t>
            </w:r>
            <w:r>
              <w:rPr>
                <w:rFonts w:hint="eastAsia"/>
                <w:color w:val="auto"/>
                <w:lang w:val="en-US" w:eastAsia="zh-CN"/>
              </w:rPr>
              <w:t>、NO</w:t>
            </w:r>
            <w:r>
              <w:rPr>
                <w:rFonts w:hint="eastAsia"/>
                <w:color w:val="auto"/>
                <w:vertAlign w:val="subscript"/>
                <w:lang w:val="en-US" w:eastAsia="zh-CN"/>
              </w:rPr>
              <w:t>x</w:t>
            </w:r>
            <w:r>
              <w:rPr>
                <w:rFonts w:hint="eastAsia"/>
                <w:color w:val="auto"/>
                <w:lang w:val="en-US" w:eastAsia="zh-CN"/>
              </w:rPr>
              <w:t>。同时根据《福建省大气污染防治条例》，结合《福州市生态环境局关于印发福州市大气污染联防联控联治工作方案的通知》（榕环保综〔2018〕386号）等文件要求，VOCs指标也列入总量控制行列。</w:t>
            </w:r>
          </w:p>
          <w:p>
            <w:pPr>
              <w:pStyle w:val="4"/>
              <w:bidi w:val="0"/>
              <w:rPr>
                <w:rFonts w:hint="default"/>
                <w:color w:val="auto"/>
                <w:lang w:val="en-US" w:eastAsia="zh-CN"/>
              </w:rPr>
            </w:pPr>
            <w:r>
              <w:rPr>
                <w:rFonts w:hint="eastAsia"/>
                <w:color w:val="auto"/>
                <w:lang w:val="en-US" w:eastAsia="zh-CN"/>
              </w:rPr>
              <w:t>3.8.2 废水主要污染物排放总量</w:t>
            </w:r>
          </w:p>
          <w:p>
            <w:pPr>
              <w:bidi w:val="0"/>
              <w:rPr>
                <w:rFonts w:hint="eastAsia" w:ascii="Times New Roman" w:hAnsi="Times New Roman" w:eastAsia="宋体"/>
                <w:color w:val="auto"/>
                <w:szCs w:val="21"/>
                <w:lang w:val="en-US" w:eastAsia="zh-CN"/>
              </w:rPr>
            </w:pPr>
            <w:r>
              <w:rPr>
                <w:rFonts w:hint="eastAsia"/>
                <w:color w:val="auto"/>
                <w:lang w:val="en-US" w:eastAsia="zh-CN"/>
              </w:rPr>
              <w:t>本项目生产废水及生产区初期雨水经处理后全部回用，不外排；厂区职工日常生活污水通过管线进入化粪池+一体化生物滤池处理设施处理，尾水近期回用于厂区绿化灌溉。</w:t>
            </w:r>
            <w:r>
              <w:rPr>
                <w:color w:val="auto"/>
              </w:rPr>
              <w:t>根据《福建省环保厅关于进一步明确排污权工作有关问题的通知》</w:t>
            </w:r>
            <w:r>
              <w:rPr>
                <w:rFonts w:hint="eastAsia"/>
                <w:color w:val="auto"/>
                <w:lang w:eastAsia="zh-CN"/>
              </w:rPr>
              <w:t>（</w:t>
            </w:r>
            <w:r>
              <w:rPr>
                <w:color w:val="auto"/>
              </w:rPr>
              <w:t>闽环保财</w:t>
            </w:r>
            <w:r>
              <w:rPr>
                <w:rFonts w:hint="eastAsia"/>
                <w:color w:val="auto"/>
                <w:lang w:eastAsia="zh-CN"/>
              </w:rPr>
              <w:t>〔</w:t>
            </w:r>
            <w:r>
              <w:rPr>
                <w:color w:val="auto"/>
              </w:rPr>
              <w:t>2017</w:t>
            </w:r>
            <w:r>
              <w:rPr>
                <w:rFonts w:hint="eastAsia"/>
                <w:color w:val="auto"/>
                <w:lang w:eastAsia="zh-CN"/>
              </w:rPr>
              <w:t>〕</w:t>
            </w:r>
            <w:r>
              <w:rPr>
                <w:color w:val="auto"/>
              </w:rPr>
              <w:t>22号</w:t>
            </w:r>
            <w:r>
              <w:rPr>
                <w:rFonts w:hint="eastAsia"/>
                <w:color w:val="auto"/>
                <w:lang w:eastAsia="zh-CN"/>
              </w:rPr>
              <w:t>）</w:t>
            </w:r>
            <w:r>
              <w:rPr>
                <w:color w:val="auto"/>
              </w:rPr>
              <w:t>，现有工业排污单位的水污染物的初始排污权只核定工业废水部分，项目生活污水排放暂不需要购买相应的排污权指标</w:t>
            </w:r>
            <w:r>
              <w:rPr>
                <w:rFonts w:hint="eastAsia"/>
                <w:color w:val="auto"/>
                <w:lang w:eastAsia="zh-CN"/>
              </w:rPr>
              <w:t>，因此项目无需申请</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-N排污权指标。</w:t>
            </w:r>
          </w:p>
          <w:p>
            <w:pPr>
              <w:pStyle w:val="4"/>
              <w:bidi w:val="0"/>
              <w:rPr>
                <w:rFonts w:hint="default"/>
                <w:color w:val="auto"/>
                <w:lang w:val="en-US" w:eastAsia="zh-CN"/>
              </w:rPr>
            </w:pPr>
            <w:r>
              <w:rPr>
                <w:rFonts w:hint="eastAsia"/>
                <w:color w:val="auto"/>
                <w:lang w:val="en-US" w:eastAsia="zh-CN"/>
              </w:rPr>
              <w:t>3.8.3 废气主要污染物排放总量</w:t>
            </w:r>
          </w:p>
          <w:p>
            <w:pPr>
              <w:bidi w:val="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本项目不产生SO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及VOCs，不需要进行SO</w:t>
            </w:r>
            <w:r>
              <w:rPr>
                <w:rFonts w:hint="eastAsia" w:ascii="Times New Roman" w:hAnsi="Times New Roman" w:eastAsia="宋体" w:cs="Times New Roman"/>
                <w:color w:val="auto"/>
                <w:sz w:val="24"/>
                <w:vertAlign w:val="subscript"/>
                <w:lang w:val="en-US" w:eastAsia="zh-CN"/>
              </w:rPr>
              <w:t>2</w:t>
            </w:r>
            <w:r>
              <w:rPr>
                <w:rFonts w:hint="eastAsia" w:ascii="Times New Roman" w:hAnsi="Times New Roman" w:eastAsia="宋体" w:cs="Times New Roman"/>
                <w:color w:val="auto"/>
                <w:sz w:val="24"/>
                <w:lang w:val="en-US" w:eastAsia="zh-CN"/>
              </w:rPr>
              <w:t>、NO</w:t>
            </w:r>
            <w:r>
              <w:rPr>
                <w:rFonts w:hint="eastAsia" w:ascii="Times New Roman" w:hAnsi="Times New Roman" w:eastAsia="宋体" w:cs="Times New Roman"/>
                <w:color w:val="auto"/>
                <w:sz w:val="24"/>
                <w:vertAlign w:val="subscript"/>
                <w:lang w:val="en-US" w:eastAsia="zh-CN"/>
              </w:rPr>
              <w:t>X</w:t>
            </w:r>
            <w:r>
              <w:rPr>
                <w:rFonts w:hint="eastAsia" w:ascii="Times New Roman" w:hAnsi="Times New Roman" w:eastAsia="宋体" w:cs="Times New Roman"/>
                <w:color w:val="auto"/>
                <w:sz w:val="24"/>
                <w:lang w:val="en-US" w:eastAsia="zh-CN"/>
              </w:rPr>
              <w:t>废气总量购买及VOCs</w:t>
            </w:r>
            <w:r>
              <w:rPr>
                <w:rFonts w:hint="default" w:ascii="Times New Roman" w:hAnsi="Times New Roman" w:eastAsia="宋体" w:cs="Times New Roman"/>
                <w:color w:val="auto"/>
                <w:sz w:val="24"/>
                <w:lang w:val="en-US" w:eastAsia="zh-CN"/>
              </w:rPr>
              <w:t>区域削减替代</w:t>
            </w:r>
            <w:r>
              <w:rPr>
                <w:rFonts w:hint="eastAsia"/>
                <w:color w:val="auto"/>
                <w:lang w:val="en-US" w:eastAsia="zh-CN"/>
              </w:rPr>
              <w:t>。</w:t>
            </w:r>
            <w:r>
              <w:rPr>
                <w:rFonts w:hint="eastAsia" w:ascii="Times New Roman" w:hAnsi="Times New Roman" w:eastAsia="宋体" w:cs="Times New Roman"/>
                <w:color w:val="auto"/>
                <w:sz w:val="24"/>
                <w:lang w:val="en-US" w:eastAsia="zh-CN"/>
              </w:rPr>
              <w:t>项目排放的少量颗粒物以达标排放控制，粉尘排放总量详见表3.8-1。</w:t>
            </w:r>
          </w:p>
          <w:p>
            <w:pPr>
              <w:spacing w:before="120" w:beforeLines="50"/>
              <w:jc w:val="center"/>
              <w:rPr>
                <w:rFonts w:hint="default" w:ascii="Times New Roman" w:hAnsi="Times New Roman" w:eastAsia="黑体" w:cs="Times New Roman"/>
                <w:color w:val="auto"/>
                <w:sz w:val="24"/>
                <w:highlight w:val="none"/>
              </w:rPr>
            </w:pPr>
            <w:r>
              <w:rPr>
                <w:rFonts w:hint="default" w:ascii="Times New Roman" w:hAnsi="Times New Roman" w:eastAsia="黑体" w:cs="Times New Roman"/>
                <w:color w:val="auto"/>
                <w:sz w:val="24"/>
                <w:highlight w:val="none"/>
              </w:rPr>
              <w:t>表</w:t>
            </w:r>
            <w:r>
              <w:rPr>
                <w:rFonts w:hint="eastAsia" w:ascii="Times New Roman" w:hAnsi="Times New Roman" w:eastAsia="黑体" w:cs="Times New Roman"/>
                <w:color w:val="auto"/>
                <w:sz w:val="24"/>
                <w:highlight w:val="none"/>
                <w:lang w:val="en-US" w:eastAsia="zh-CN"/>
              </w:rPr>
              <w:t xml:space="preserve">3.8-1 </w:t>
            </w:r>
            <w:r>
              <w:rPr>
                <w:rFonts w:hint="default" w:ascii="Times New Roman" w:hAnsi="Times New Roman" w:eastAsia="黑体" w:cs="Times New Roman"/>
                <w:color w:val="auto"/>
                <w:sz w:val="24"/>
                <w:highlight w:val="none"/>
              </w:rPr>
              <w:t>项目废气污染物排放总量指标一览表</w:t>
            </w:r>
          </w:p>
          <w:p>
            <w:pPr>
              <w:bidi w:val="0"/>
              <w:rPr>
                <w:rFonts w:hint="default"/>
                <w:color w:val="auto"/>
                <w:lang w:val="en-US" w:eastAsia="zh-CN"/>
              </w:rPr>
            </w:pPr>
          </w:p>
        </w:tc>
      </w:tr>
    </w:tbl>
    <w:p>
      <w:pPr>
        <w:pStyle w:val="2"/>
        <w:numPr>
          <w:ilvl w:val="0"/>
          <w:numId w:val="7"/>
        </w:numPr>
        <w:bidi w:val="0"/>
        <w:jc w:val="center"/>
        <w:rPr>
          <w:rFonts w:hint="default" w:ascii="Times New Roman" w:hAnsi="Times New Roman" w:eastAsia="宋体" w:cs="Times New Roman"/>
          <w:snapToGrid w:val="0"/>
          <w:color w:val="auto"/>
          <w:szCs w:val="30"/>
        </w:rPr>
      </w:pPr>
      <w:r>
        <w:rPr>
          <w:rFonts w:hint="default" w:ascii="Times New Roman" w:hAnsi="Times New Roman" w:eastAsia="宋体" w:cs="Times New Roman"/>
          <w:snapToGrid w:val="0"/>
          <w:color w:val="auto"/>
          <w:szCs w:val="36"/>
        </w:rPr>
        <w:br w:type="page"/>
      </w:r>
      <w:bookmarkStart w:id="23" w:name="_Toc12325"/>
      <w:bookmarkStart w:id="24" w:name="_Toc20172"/>
      <w:r>
        <w:rPr>
          <w:rFonts w:hint="default"/>
          <w:color w:val="auto"/>
        </w:rPr>
        <w:t>主要环境影响和保护措施</w:t>
      </w:r>
      <w:bookmarkEnd w:id="23"/>
      <w:bookmarkEnd w:id="24"/>
    </w:p>
    <w:tbl>
      <w:tblPr>
        <w:tblStyle w:val="24"/>
        <w:tblW w:w="882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0"/>
        <w:gridCol w:w="814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2" w:hRule="atLeast"/>
          <w:jc w:val="center"/>
        </w:trPr>
        <w:tc>
          <w:tcPr>
            <w:tcW w:w="680" w:type="dxa"/>
            <w:tcMar>
              <w:left w:w="28" w:type="dxa"/>
              <w:right w:w="28" w:type="dxa"/>
            </w:tcMar>
            <w:vAlign w:val="center"/>
          </w:tcPr>
          <w:p>
            <w:pPr>
              <w:pStyle w:val="28"/>
              <w:bidi w:val="0"/>
              <w:rPr>
                <w:rFonts w:hint="default"/>
                <w:color w:val="auto"/>
                <w:sz w:val="24"/>
                <w:szCs w:val="32"/>
              </w:rPr>
            </w:pPr>
            <w:r>
              <w:rPr>
                <w:rFonts w:hint="default"/>
                <w:color w:val="auto"/>
                <w:sz w:val="24"/>
                <w:szCs w:val="32"/>
              </w:rPr>
              <w:t>施工</w:t>
            </w:r>
          </w:p>
          <w:p>
            <w:pPr>
              <w:pStyle w:val="28"/>
              <w:bidi w:val="0"/>
              <w:rPr>
                <w:rFonts w:hint="default"/>
                <w:color w:val="auto"/>
                <w:sz w:val="24"/>
                <w:szCs w:val="32"/>
              </w:rPr>
            </w:pPr>
            <w:r>
              <w:rPr>
                <w:rFonts w:hint="default"/>
                <w:color w:val="auto"/>
                <w:sz w:val="24"/>
                <w:szCs w:val="32"/>
              </w:rPr>
              <w:t>期环</w:t>
            </w:r>
          </w:p>
          <w:p>
            <w:pPr>
              <w:pStyle w:val="28"/>
              <w:bidi w:val="0"/>
              <w:rPr>
                <w:rFonts w:hint="default"/>
                <w:color w:val="auto"/>
                <w:sz w:val="24"/>
                <w:szCs w:val="32"/>
              </w:rPr>
            </w:pPr>
            <w:r>
              <w:rPr>
                <w:rFonts w:hint="default"/>
                <w:color w:val="auto"/>
                <w:sz w:val="24"/>
                <w:szCs w:val="32"/>
              </w:rPr>
              <w:t>境保</w:t>
            </w:r>
          </w:p>
          <w:p>
            <w:pPr>
              <w:pStyle w:val="28"/>
              <w:bidi w:val="0"/>
              <w:rPr>
                <w:rFonts w:hint="default"/>
                <w:color w:val="auto"/>
                <w:sz w:val="24"/>
                <w:szCs w:val="32"/>
              </w:rPr>
            </w:pPr>
            <w:r>
              <w:rPr>
                <w:rFonts w:hint="default"/>
                <w:color w:val="auto"/>
                <w:sz w:val="24"/>
                <w:szCs w:val="32"/>
              </w:rPr>
              <w:t>护措</w:t>
            </w:r>
          </w:p>
          <w:p>
            <w:pPr>
              <w:pStyle w:val="28"/>
              <w:bidi w:val="0"/>
              <w:rPr>
                <w:rFonts w:hint="default" w:ascii="Times New Roman" w:hAnsi="Times New Roman" w:eastAsia="宋体" w:cs="Times New Roman"/>
                <w:bCs/>
                <w:color w:val="auto"/>
                <w:kern w:val="2"/>
                <w:szCs w:val="21"/>
              </w:rPr>
            </w:pPr>
            <w:r>
              <w:rPr>
                <w:rFonts w:hint="default"/>
                <w:color w:val="auto"/>
                <w:sz w:val="24"/>
                <w:szCs w:val="32"/>
              </w:rPr>
              <w:t>施</w:t>
            </w:r>
          </w:p>
        </w:tc>
        <w:tc>
          <w:tcPr>
            <w:tcW w:w="8149" w:type="dxa"/>
            <w:vAlign w:val="center"/>
          </w:tcPr>
          <w:p>
            <w:pPr>
              <w:pStyle w:val="3"/>
              <w:bidi w:val="0"/>
              <w:rPr>
                <w:rFonts w:hint="default"/>
                <w:color w:val="auto"/>
                <w:lang w:val="en-US" w:eastAsia="zh-CN"/>
              </w:rPr>
            </w:pPr>
            <w:bookmarkStart w:id="25" w:name="_Toc4697"/>
            <w:bookmarkStart w:id="26" w:name="_Toc22024"/>
            <w:r>
              <w:rPr>
                <w:rFonts w:hint="default"/>
                <w:color w:val="auto"/>
              </w:rPr>
              <w:t>4.</w:t>
            </w:r>
            <w:r>
              <w:rPr>
                <w:rFonts w:hint="eastAsia"/>
                <w:color w:val="auto"/>
                <w:lang w:val="en-US" w:eastAsia="zh-CN"/>
              </w:rPr>
              <w:t>1 施工期环境保护措施</w:t>
            </w:r>
            <w:bookmarkEnd w:id="25"/>
            <w:bookmarkEnd w:id="26"/>
          </w:p>
          <w:p>
            <w:pPr>
              <w:bidi w:val="0"/>
              <w:rPr>
                <w:rFonts w:hint="eastAsia"/>
                <w:color w:val="auto"/>
                <w:lang w:val="en-US" w:eastAsia="zh-CN"/>
              </w:rPr>
            </w:pPr>
            <w:r>
              <w:rPr>
                <w:rFonts w:hint="default"/>
                <w:color w:val="auto"/>
                <w:lang w:val="en-US" w:eastAsia="zh-CN"/>
              </w:rPr>
              <w:t>本项目</w:t>
            </w:r>
            <w:r>
              <w:rPr>
                <w:rFonts w:hint="eastAsia"/>
                <w:color w:val="auto"/>
                <w:lang w:val="en-US" w:eastAsia="zh-CN"/>
              </w:rPr>
              <w:t>选址</w:t>
            </w:r>
            <w:r>
              <w:rPr>
                <w:rFonts w:hint="default"/>
                <w:color w:val="auto"/>
                <w:lang w:val="en-US" w:eastAsia="zh-CN"/>
              </w:rPr>
              <w:t>于</w:t>
            </w:r>
            <w:r>
              <w:rPr>
                <w:rFonts w:hint="eastAsia"/>
                <w:color w:val="auto"/>
                <w:lang w:eastAsia="zh-CN"/>
              </w:rPr>
              <w:t>福建省福州市</w:t>
            </w:r>
            <w:r>
              <w:rPr>
                <w:rFonts w:hint="eastAsia"/>
                <w:color w:val="auto"/>
                <w:lang w:val="en-US" w:eastAsia="zh-CN"/>
              </w:rPr>
              <w:t>福清市海口镇南厝村</w:t>
            </w:r>
            <w:r>
              <w:rPr>
                <w:rFonts w:hint="default"/>
                <w:color w:val="auto"/>
                <w:lang w:val="en-US" w:eastAsia="zh-CN"/>
              </w:rPr>
              <w:t>，</w:t>
            </w:r>
            <w:r>
              <w:rPr>
                <w:rFonts w:hint="eastAsia"/>
                <w:color w:val="auto"/>
                <w:lang w:val="en-US" w:eastAsia="zh-CN"/>
              </w:rPr>
              <w:t>项目施工期建设内容主要为1#宿舍楼、2#搅拌楼及其附属设施、3#物料库、5#生产车间、6#生产车间的搭建，厂区地面硬化，绿化施工、设备安装调试等，施工时间约24个月，随着施工结束，施工期环境影响也随着消失，采取相应的保护措施后，对周边环境造成施工影响较小。项目施工期环境保护措施如下：</w:t>
            </w:r>
          </w:p>
          <w:p>
            <w:pPr>
              <w:pStyle w:val="4"/>
              <w:bidi w:val="0"/>
              <w:rPr>
                <w:rFonts w:hint="default"/>
                <w:color w:val="auto"/>
              </w:rPr>
            </w:pPr>
            <w:r>
              <w:rPr>
                <w:rFonts w:hint="eastAsia"/>
                <w:color w:val="auto"/>
                <w:lang w:val="en-US" w:eastAsia="zh-CN"/>
              </w:rPr>
              <w:t>4.1</w:t>
            </w:r>
            <w:r>
              <w:rPr>
                <w:rFonts w:hint="default"/>
                <w:color w:val="auto"/>
              </w:rPr>
              <w:t>.1</w:t>
            </w:r>
            <w:r>
              <w:rPr>
                <w:rFonts w:hint="eastAsia"/>
                <w:color w:val="auto"/>
                <w:lang w:val="en-US" w:eastAsia="zh-CN"/>
              </w:rPr>
              <w:t>施工期</w:t>
            </w:r>
            <w:r>
              <w:rPr>
                <w:rFonts w:hint="default"/>
                <w:color w:val="auto"/>
              </w:rPr>
              <w:t>水环境的影响分析</w:t>
            </w:r>
            <w:r>
              <w:rPr>
                <w:rFonts w:hint="eastAsia"/>
                <w:color w:val="auto"/>
                <w:lang w:val="en-US" w:eastAsia="zh-CN"/>
              </w:rPr>
              <w:t>及保护措施</w:t>
            </w:r>
          </w:p>
          <w:p>
            <w:pPr>
              <w:bidi w:val="0"/>
              <w:rPr>
                <w:rFonts w:hint="default"/>
                <w:color w:val="auto"/>
                <w:lang w:val="en-US" w:eastAsia="zh-CN"/>
              </w:rPr>
            </w:pPr>
            <w:bookmarkStart w:id="27" w:name="_Toc10508"/>
            <w:bookmarkStart w:id="28" w:name="_Toc18014"/>
            <w:r>
              <w:rPr>
                <w:rFonts w:hint="eastAsia"/>
                <w:color w:val="auto"/>
                <w:lang w:val="en-US" w:eastAsia="zh-CN"/>
              </w:rPr>
              <w:t>项目施工期废水主要为施工人员生活污水、施工废水，建议采取以下水污染防治措施：</w:t>
            </w:r>
          </w:p>
          <w:p>
            <w:pPr>
              <w:bidi w:val="0"/>
              <w:rPr>
                <w:rFonts w:hint="eastAsia"/>
                <w:color w:val="auto"/>
                <w:lang w:val="en-US" w:eastAsia="zh-CN"/>
              </w:rPr>
            </w:pPr>
            <w:r>
              <w:rPr>
                <w:rFonts w:hint="eastAsia"/>
                <w:color w:val="auto"/>
                <w:lang w:val="en-US" w:eastAsia="zh-CN"/>
              </w:rPr>
              <w:t>（1）</w:t>
            </w:r>
            <w:r>
              <w:rPr>
                <w:rFonts w:hint="default"/>
                <w:color w:val="auto"/>
                <w:lang w:val="en-US" w:eastAsia="zh-CN"/>
              </w:rPr>
              <w:t>本项目</w:t>
            </w:r>
            <w:r>
              <w:rPr>
                <w:rFonts w:hint="eastAsia"/>
                <w:color w:val="auto"/>
                <w:lang w:val="en-US" w:eastAsia="zh-CN"/>
              </w:rPr>
              <w:t>施工作业人员租住在周边民宅，产生的少量生活污水可</w:t>
            </w:r>
            <w:r>
              <w:rPr>
                <w:rFonts w:hint="default"/>
                <w:color w:val="auto"/>
                <w:lang w:val="en-US" w:eastAsia="zh-CN"/>
              </w:rPr>
              <w:t>依托</w:t>
            </w:r>
            <w:r>
              <w:rPr>
                <w:rFonts w:hint="eastAsia"/>
                <w:color w:val="auto"/>
                <w:lang w:val="en-US" w:eastAsia="zh-CN"/>
              </w:rPr>
              <w:t>区域内现有污水处理系统和排放管网，经处理达标后</w:t>
            </w:r>
            <w:r>
              <w:rPr>
                <w:rFonts w:hint="default"/>
                <w:color w:val="auto"/>
                <w:lang w:val="en-US" w:eastAsia="zh-CN"/>
              </w:rPr>
              <w:t>接入市政污水管网排入</w:t>
            </w:r>
            <w:r>
              <w:rPr>
                <w:rFonts w:hint="eastAsia"/>
                <w:color w:val="auto"/>
                <w:lang w:val="en-US" w:eastAsia="zh-CN"/>
              </w:rPr>
              <w:t>区域污水处理系统集中处理，不会对周边地表水环境产生直接不利影响。</w:t>
            </w:r>
          </w:p>
          <w:p>
            <w:pPr>
              <w:bidi w:val="0"/>
              <w:rPr>
                <w:rFonts w:hint="eastAsia"/>
                <w:color w:val="auto"/>
                <w:lang w:val="en-US" w:eastAsia="zh-CN"/>
              </w:rPr>
            </w:pPr>
            <w:r>
              <w:rPr>
                <w:rFonts w:hint="eastAsia"/>
                <w:color w:val="auto"/>
                <w:lang w:val="en-US" w:eastAsia="zh-CN"/>
              </w:rPr>
              <w:t>（2）施工期废水包括钻孔等作业产生的砂浆水、各种施工机械设备运转的冷却及洗涤用水等，含有一定量的SS、石油类，因此，施工现场应设立隔油池和沉淀池，施工废水均通过排水沟流入隔油沉淀池中，经隔油沉淀上清液循环使用，不外排。</w:t>
            </w:r>
          </w:p>
          <w:p>
            <w:pPr>
              <w:bidi w:val="0"/>
              <w:rPr>
                <w:rFonts w:hint="eastAsia"/>
                <w:color w:val="auto"/>
                <w:lang w:val="en-US" w:eastAsia="zh-CN"/>
              </w:rPr>
            </w:pPr>
            <w:r>
              <w:rPr>
                <w:rFonts w:hint="eastAsia"/>
                <w:color w:val="auto"/>
                <w:lang w:val="en-US" w:eastAsia="zh-CN"/>
              </w:rPr>
              <w:t>（3）施工材料应集中堆放在施工场地临时仓库内，不得随意堆放，避免雨水冲刷进入河道。</w:t>
            </w:r>
          </w:p>
          <w:p>
            <w:pPr>
              <w:bidi w:val="0"/>
              <w:rPr>
                <w:rFonts w:hint="default"/>
                <w:color w:val="auto"/>
                <w:lang w:val="en-US" w:eastAsia="zh-CN"/>
              </w:rPr>
            </w:pPr>
            <w:r>
              <w:rPr>
                <w:rFonts w:hint="eastAsia"/>
                <w:color w:val="auto"/>
                <w:lang w:val="en-US" w:eastAsia="zh-CN"/>
              </w:rPr>
              <w:t>（4）对施工用油的油桶暂存实行严格管理，避免跑冒滴漏。定期检查施工机械设备及运输车辆，一旦发现滴、漏油现象，应立即送到附近的机修厂进行维修。</w:t>
            </w:r>
          </w:p>
          <w:p>
            <w:pPr>
              <w:bidi w:val="0"/>
              <w:rPr>
                <w:rFonts w:hint="eastAsia"/>
                <w:color w:val="auto"/>
                <w:lang w:val="en-US" w:eastAsia="zh-CN"/>
              </w:rPr>
            </w:pPr>
            <w:r>
              <w:rPr>
                <w:rFonts w:hint="default"/>
                <w:color w:val="auto"/>
                <w:lang w:val="en-US" w:eastAsia="zh-CN"/>
              </w:rPr>
              <w:t>采取以上措施后，项目施工期</w:t>
            </w:r>
            <w:r>
              <w:rPr>
                <w:rFonts w:hint="eastAsia"/>
                <w:color w:val="auto"/>
                <w:lang w:val="en-US" w:eastAsia="zh-CN"/>
              </w:rPr>
              <w:t>废水不会直接进入周边水环境，不对地表水环境产生直接不利影响。</w:t>
            </w:r>
          </w:p>
          <w:p>
            <w:pPr>
              <w:pStyle w:val="4"/>
              <w:keepNext/>
              <w:keepLines w:val="0"/>
              <w:pageBreakBefore w:val="0"/>
              <w:widowControl w:val="0"/>
              <w:kinsoku/>
              <w:wordWrap/>
              <w:overflowPunct/>
              <w:topLinePunct w:val="0"/>
              <w:autoSpaceDE/>
              <w:autoSpaceDN/>
              <w:bidi w:val="0"/>
              <w:adjustRightInd/>
              <w:snapToGrid/>
              <w:textAlignment w:val="auto"/>
              <w:rPr>
                <w:rFonts w:hint="eastAsia"/>
                <w:color w:val="auto"/>
              </w:rPr>
            </w:pPr>
            <w:r>
              <w:rPr>
                <w:rFonts w:hint="default"/>
                <w:color w:val="auto"/>
              </w:rPr>
              <w:t>4.</w:t>
            </w:r>
            <w:r>
              <w:rPr>
                <w:rFonts w:hint="eastAsia"/>
                <w:color w:val="auto"/>
                <w:lang w:val="en-US" w:eastAsia="zh-CN"/>
              </w:rPr>
              <w:t>1</w:t>
            </w:r>
            <w:r>
              <w:rPr>
                <w:rFonts w:hint="default"/>
                <w:color w:val="auto"/>
              </w:rPr>
              <w:t>.</w:t>
            </w:r>
            <w:r>
              <w:rPr>
                <w:rFonts w:hint="eastAsia"/>
                <w:color w:val="auto"/>
                <w:lang w:val="en-US" w:eastAsia="zh-CN"/>
              </w:rPr>
              <w:t>2施工期废气环境</w:t>
            </w:r>
            <w:r>
              <w:rPr>
                <w:rFonts w:hint="default"/>
                <w:color w:val="auto"/>
              </w:rPr>
              <w:t>影响分析</w:t>
            </w:r>
            <w:bookmarkEnd w:id="27"/>
            <w:bookmarkEnd w:id="28"/>
            <w:r>
              <w:rPr>
                <w:rFonts w:hint="eastAsia"/>
                <w:color w:val="auto"/>
                <w:lang w:val="en-US" w:eastAsia="zh-CN"/>
              </w:rPr>
              <w:t>及保护措施</w:t>
            </w:r>
          </w:p>
          <w:p>
            <w:pPr>
              <w:bidi w:val="0"/>
              <w:rPr>
                <w:rFonts w:hint="eastAsia"/>
                <w:color w:val="auto"/>
                <w:lang w:eastAsia="zh-CN"/>
              </w:rPr>
            </w:pPr>
            <w:bookmarkStart w:id="29" w:name="_Toc19444"/>
            <w:bookmarkStart w:id="30" w:name="_Toc14716"/>
            <w:r>
              <w:rPr>
                <w:rFonts w:hint="eastAsia"/>
                <w:color w:val="auto"/>
                <w:lang w:eastAsia="zh-CN"/>
              </w:rPr>
              <w:t>项目施工期大气污染物主要为施工扬尘，施工机械、运输车辆尾气，装修期间装修材料散发少量有机溶剂废气。</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）施工扬尘</w:t>
            </w:r>
          </w:p>
          <w:p>
            <w:pPr>
              <w:bidi w:val="0"/>
              <w:rPr>
                <w:rFonts w:hint="eastAsia"/>
                <w:color w:val="auto"/>
                <w:lang w:eastAsia="zh-CN"/>
              </w:rPr>
            </w:pPr>
            <w:r>
              <w:rPr>
                <w:rFonts w:hint="eastAsia"/>
                <w:color w:val="auto"/>
                <w:lang w:eastAsia="zh-CN"/>
              </w:rPr>
              <w:t>施工过程扬尘主要来自三个方面：运输扬尘、堆场扬尘和施工作业点扬尘。</w:t>
            </w:r>
          </w:p>
          <w:p>
            <w:pPr>
              <w:bidi w:val="0"/>
              <w:rPr>
                <w:rFonts w:hint="eastAsia"/>
                <w:color w:val="auto"/>
                <w:lang w:eastAsia="zh-CN"/>
              </w:rPr>
            </w:pPr>
            <w:r>
              <w:rPr>
                <w:rFonts w:hint="eastAsia"/>
                <w:color w:val="auto"/>
                <w:lang w:eastAsia="zh-CN"/>
              </w:rPr>
              <w:t>①运输扬尘：机动车在运输建筑材料等过程中，车轮从施工场地等携带的泥块、沙尘、物料以及车载建筑原料均会抖落遗撒，经往来车辆的碾压后形成粒径较小的颗粒物进入空气，形成运输扬尘。车辆行驶产生的扬尘占施工扬尘总量的60%以上。</w:t>
            </w:r>
          </w:p>
          <w:p>
            <w:pPr>
              <w:bidi w:val="0"/>
              <w:rPr>
                <w:rFonts w:hint="eastAsia"/>
                <w:color w:val="auto"/>
                <w:lang w:eastAsia="zh-CN"/>
              </w:rPr>
            </w:pPr>
            <w:r>
              <w:rPr>
                <w:rFonts w:hint="eastAsia"/>
                <w:color w:val="auto"/>
                <w:lang w:eastAsia="zh-CN"/>
              </w:rPr>
              <w:t>②堆场扬尘：堆场扬尘主要为临时建筑材料由于堆积、装卸操作以及风作用等造成的扬尘。</w:t>
            </w:r>
          </w:p>
          <w:p>
            <w:pPr>
              <w:bidi w:val="0"/>
              <w:rPr>
                <w:rFonts w:hint="eastAsia"/>
                <w:color w:val="auto"/>
                <w:lang w:eastAsia="zh-CN"/>
              </w:rPr>
            </w:pPr>
            <w:r>
              <w:rPr>
                <w:rFonts w:hint="eastAsia"/>
                <w:color w:val="auto"/>
                <w:lang w:eastAsia="zh-CN"/>
              </w:rPr>
              <w:t>③施工作业点扬尘：施工作业点扬尘主要为场地平整硬化、施工等产生的扬尘。施工扬尘排放量与施工面积、施工水平、施工强度和土壤类型、气候条件等有关。</w:t>
            </w:r>
          </w:p>
          <w:p>
            <w:pPr>
              <w:bidi w:val="0"/>
              <w:rPr>
                <w:rFonts w:hint="eastAsia"/>
                <w:color w:val="auto"/>
                <w:lang w:eastAsia="zh-CN"/>
              </w:rPr>
            </w:pPr>
            <w:r>
              <w:rPr>
                <w:rFonts w:hint="eastAsia"/>
                <w:color w:val="auto"/>
              </w:rPr>
              <w:t>根据类比调查，施工扬尘的影响范围主要在施工现场附近，一般情况下，施工工地在自然风的作用下产生的扬尘所影响的范围在100m以内。如果施工期间对作业面实施洒水抑尘（每天4~5次），可使扬尘减少70%左右</w:t>
            </w:r>
            <w:r>
              <w:rPr>
                <w:rFonts w:hint="eastAsia"/>
                <w:color w:val="auto"/>
                <w:lang w:eastAsia="zh-CN"/>
              </w:rPr>
              <w:t>，</w:t>
            </w:r>
            <w:r>
              <w:rPr>
                <w:color w:val="auto"/>
              </w:rPr>
              <w:t>扬尘造成的TSP污染距离减小到50m范围</w:t>
            </w:r>
            <w:r>
              <w:rPr>
                <w:rFonts w:hint="eastAsia"/>
                <w:color w:val="auto"/>
                <w:lang w:eastAsia="zh-CN"/>
              </w:rPr>
              <w:t>。</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）施工机械、运输车辆尾气</w:t>
            </w:r>
          </w:p>
          <w:p>
            <w:pPr>
              <w:bidi w:val="0"/>
              <w:rPr>
                <w:rFonts w:hint="eastAsia"/>
                <w:color w:val="auto"/>
              </w:rPr>
            </w:pPr>
            <w:r>
              <w:rPr>
                <w:color w:val="auto"/>
              </w:rPr>
              <w:t>建筑</w:t>
            </w:r>
            <w:r>
              <w:rPr>
                <w:rFonts w:hint="eastAsia"/>
                <w:color w:val="auto"/>
              </w:rPr>
              <w:t>工地上大量使用的施工机械和大型建筑材料运输车辆一般都以柴油为燃料。由柴油燃烧产生的尾气中主要含有颗粒物和碳氢化合物等废气，在常规气象条件下废气污染影响范围最大不超过排气孔下风向轴线几十米远的距离。一般情况下，在工地内运行的机械及载重卡车的废气污染影响范围仅局限于施工工地内，不影响界外区域。在工程施工期间，使用液体燃料的施工机械及运输车辆的发动机排放的尾气中含有SO</w:t>
            </w:r>
            <w:r>
              <w:rPr>
                <w:rFonts w:hint="eastAsia"/>
                <w:color w:val="auto"/>
                <w:vertAlign w:val="subscript"/>
              </w:rPr>
              <w:t>2</w:t>
            </w:r>
            <w:r>
              <w:rPr>
                <w:rFonts w:hint="eastAsia"/>
                <w:color w:val="auto"/>
              </w:rPr>
              <w:t>、NO</w:t>
            </w:r>
            <w:r>
              <w:rPr>
                <w:rFonts w:hint="eastAsia"/>
                <w:color w:val="auto"/>
                <w:vertAlign w:val="subscript"/>
              </w:rPr>
              <w:t>x</w:t>
            </w:r>
            <w:r>
              <w:rPr>
                <w:rFonts w:hint="eastAsia"/>
                <w:color w:val="auto"/>
              </w:rPr>
              <w:t>、CO、烃类等污染物，一般情况下，这些污染物的排放量不大</w:t>
            </w:r>
            <w:r>
              <w:rPr>
                <w:rFonts w:hint="eastAsia"/>
                <w:color w:val="auto"/>
                <w:lang w:eastAsia="zh-CN"/>
              </w:rPr>
              <w:t>且</w:t>
            </w:r>
            <w:r>
              <w:rPr>
                <w:rFonts w:hint="eastAsia"/>
                <w:color w:val="auto"/>
              </w:rPr>
              <w:t>本地区大气扩散条件良好，因此此类废气对周边大气环境的影响较小。</w:t>
            </w:r>
          </w:p>
          <w:p>
            <w:pPr>
              <w:bidi w:val="0"/>
              <w:rPr>
                <w:rFonts w:hint="eastAsia"/>
                <w:color w:val="auto"/>
                <w:lang w:val="en-US" w:eastAsia="zh-CN"/>
              </w:rPr>
            </w:pPr>
            <w:r>
              <w:rPr>
                <w:rFonts w:hint="eastAsia"/>
                <w:color w:val="auto"/>
                <w:lang w:val="en-US" w:eastAsia="zh-CN"/>
              </w:rPr>
              <w:t>（3）装修废气</w:t>
            </w:r>
          </w:p>
          <w:p>
            <w:pPr>
              <w:bidi w:val="0"/>
              <w:rPr>
                <w:rFonts w:hint="eastAsia"/>
                <w:color w:val="auto"/>
                <w:lang w:eastAsia="zh-CN"/>
              </w:rPr>
            </w:pPr>
            <w:r>
              <w:rPr>
                <w:rFonts w:hint="eastAsia"/>
                <w:color w:val="auto"/>
                <w:lang w:eastAsia="zh-CN"/>
              </w:rPr>
              <w:t>装修施工阶段，墙面、地面装饰需要使用涂料（油漆）。装修有机废气来自涂料中的挥发性成分，属无组织排放，主要污染因子为非甲烷总烃。装修期间有机废气向周边环境弥散。</w:t>
            </w:r>
          </w:p>
          <w:p>
            <w:pPr>
              <w:bidi w:val="0"/>
              <w:rPr>
                <w:rFonts w:hint="eastAsia"/>
                <w:color w:val="auto"/>
                <w:lang w:val="en-US" w:eastAsia="zh-CN"/>
              </w:rPr>
            </w:pPr>
            <w:r>
              <w:rPr>
                <w:rFonts w:hint="eastAsia"/>
                <w:color w:val="auto"/>
                <w:lang w:eastAsia="zh-CN"/>
              </w:rPr>
              <w:t>本项目周边敏感目标主要为西</w:t>
            </w:r>
            <w:r>
              <w:rPr>
                <w:rFonts w:hint="eastAsia"/>
                <w:color w:val="auto"/>
                <w:lang w:val="en-US" w:eastAsia="zh-CN"/>
              </w:rPr>
              <w:t>北</w:t>
            </w:r>
            <w:r>
              <w:rPr>
                <w:rFonts w:hint="eastAsia"/>
                <w:color w:val="auto"/>
                <w:lang w:eastAsia="zh-CN"/>
              </w:rPr>
              <w:t>侧约</w:t>
            </w:r>
            <w:r>
              <w:rPr>
                <w:rFonts w:hint="eastAsia"/>
                <w:color w:val="auto"/>
                <w:lang w:val="en-US" w:eastAsia="zh-CN"/>
              </w:rPr>
              <w:t>260m的石溪村，在施工工地自然风作用下产生的扬尘所影响的范围100m以外，因此项目施工对该敏感目标影响较小。为减少施工扬尘对周边环境的影响，建设单位应采取以下防治措施：</w:t>
            </w:r>
          </w:p>
          <w:p>
            <w:pPr>
              <w:bidi w:val="0"/>
              <w:rPr>
                <w:rFonts w:hint="eastAsia"/>
                <w:color w:val="auto"/>
                <w:lang w:eastAsia="zh-CN"/>
              </w:rPr>
            </w:pPr>
            <w:r>
              <w:rPr>
                <w:rFonts w:hint="eastAsia"/>
                <w:color w:val="auto"/>
                <w:lang w:eastAsia="zh-CN"/>
              </w:rPr>
              <w:t>（</w:t>
            </w:r>
            <w:r>
              <w:rPr>
                <w:rFonts w:hint="eastAsia"/>
                <w:color w:val="auto"/>
                <w:lang w:val="en-US" w:eastAsia="zh-CN"/>
              </w:rPr>
              <w:t>1</w:t>
            </w:r>
            <w:r>
              <w:rPr>
                <w:rFonts w:hint="eastAsia"/>
                <w:color w:val="auto"/>
                <w:lang w:eastAsia="zh-CN"/>
              </w:rPr>
              <w:t>）施工场地四周应设置2.5m高硬质围挡，并做到坚固、平整、整洁、美观，建筑物施工设垂直封闭网。</w:t>
            </w:r>
          </w:p>
          <w:p>
            <w:pPr>
              <w:bidi w:val="0"/>
              <w:rPr>
                <w:rFonts w:hint="eastAsia"/>
                <w:color w:val="auto"/>
                <w:lang w:eastAsia="zh-CN"/>
              </w:rPr>
            </w:pPr>
            <w:r>
              <w:rPr>
                <w:rFonts w:hint="eastAsia"/>
                <w:color w:val="auto"/>
                <w:lang w:eastAsia="zh-CN"/>
              </w:rPr>
              <w:t>（</w:t>
            </w:r>
            <w:r>
              <w:rPr>
                <w:rFonts w:hint="eastAsia"/>
                <w:color w:val="auto"/>
                <w:lang w:val="en-US" w:eastAsia="zh-CN"/>
              </w:rPr>
              <w:t>2</w:t>
            </w:r>
            <w:r>
              <w:rPr>
                <w:rFonts w:hint="eastAsia"/>
                <w:color w:val="auto"/>
                <w:lang w:eastAsia="zh-CN"/>
              </w:rPr>
              <w:t>）项目施工过程中，易产尘材料均采取防尘网遮盖，建筑垃圾及时清运，不在场地内长时间堆存。场地内配备移动式洒水车，并指定专人定期对易产生扬尘的地点进行喷水，使其保持一定的湿度，降低扬尘。</w:t>
            </w:r>
          </w:p>
          <w:p>
            <w:pPr>
              <w:bidi w:val="0"/>
              <w:rPr>
                <w:rFonts w:hint="eastAsia"/>
                <w:color w:val="auto"/>
                <w:lang w:eastAsia="zh-CN"/>
              </w:rPr>
            </w:pPr>
            <w:r>
              <w:rPr>
                <w:rFonts w:hint="eastAsia"/>
                <w:color w:val="auto"/>
                <w:lang w:eastAsia="zh-CN"/>
              </w:rPr>
              <w:t>（</w:t>
            </w:r>
            <w:r>
              <w:rPr>
                <w:rFonts w:hint="eastAsia"/>
                <w:color w:val="auto"/>
                <w:lang w:val="en-US" w:eastAsia="zh-CN"/>
              </w:rPr>
              <w:t>3</w:t>
            </w:r>
            <w:r>
              <w:rPr>
                <w:rFonts w:hint="eastAsia"/>
                <w:color w:val="auto"/>
                <w:lang w:eastAsia="zh-CN"/>
              </w:rPr>
              <w:t>）施工场地出入口设置洗车平台，运输车辆底盘和车轮冲洗干净后，方驶离施工现场。</w:t>
            </w:r>
          </w:p>
          <w:p>
            <w:pPr>
              <w:bidi w:val="0"/>
              <w:rPr>
                <w:rFonts w:hint="eastAsia"/>
                <w:color w:val="auto"/>
                <w:lang w:eastAsia="zh-CN"/>
              </w:rPr>
            </w:pPr>
            <w:r>
              <w:rPr>
                <w:rFonts w:hint="eastAsia"/>
                <w:color w:val="auto"/>
                <w:lang w:eastAsia="zh-CN"/>
              </w:rPr>
              <w:t>（</w:t>
            </w:r>
            <w:r>
              <w:rPr>
                <w:rFonts w:hint="eastAsia"/>
                <w:color w:val="auto"/>
                <w:lang w:val="en-US" w:eastAsia="zh-CN"/>
              </w:rPr>
              <w:t>4</w:t>
            </w:r>
            <w:r>
              <w:rPr>
                <w:rFonts w:hint="eastAsia"/>
                <w:color w:val="auto"/>
                <w:lang w:eastAsia="zh-CN"/>
              </w:rPr>
              <w:t>）对施工区的主要通道、进出道路、材料加工区及办公生活区地面进行硬化处理，并且工地出入口与城市道路连接区域在全部硬化的同时，按要求敷设钢板，防止路面破损。</w:t>
            </w:r>
          </w:p>
          <w:p>
            <w:pPr>
              <w:bidi w:val="0"/>
              <w:rPr>
                <w:rFonts w:hint="eastAsia"/>
                <w:color w:val="auto"/>
                <w:lang w:eastAsia="zh-CN"/>
              </w:rPr>
            </w:pPr>
            <w:r>
              <w:rPr>
                <w:rFonts w:hint="eastAsia"/>
                <w:color w:val="auto"/>
                <w:lang w:eastAsia="zh-CN"/>
              </w:rPr>
              <w:t>（</w:t>
            </w:r>
            <w:r>
              <w:rPr>
                <w:rFonts w:hint="eastAsia"/>
                <w:color w:val="auto"/>
                <w:lang w:val="en-US" w:eastAsia="zh-CN"/>
              </w:rPr>
              <w:t>5</w:t>
            </w:r>
            <w:r>
              <w:rPr>
                <w:rFonts w:hint="eastAsia"/>
                <w:color w:val="auto"/>
                <w:lang w:eastAsia="zh-CN"/>
              </w:rPr>
              <w:t>）施工现场安排专人负责卫生保洁工作，围挡上方设置水喷雾设施，并配备移动式洒水车，施工期间遇到大风天气时，增加洒水降尘次数。</w:t>
            </w:r>
          </w:p>
          <w:p>
            <w:pPr>
              <w:bidi w:val="0"/>
              <w:rPr>
                <w:rFonts w:hint="eastAsia"/>
                <w:color w:val="auto"/>
                <w:lang w:eastAsia="zh-CN"/>
              </w:rPr>
            </w:pPr>
            <w:r>
              <w:rPr>
                <w:rFonts w:hint="eastAsia"/>
                <w:color w:val="auto"/>
                <w:lang w:eastAsia="zh-CN"/>
              </w:rPr>
              <w:t>（</w:t>
            </w:r>
            <w:r>
              <w:rPr>
                <w:rFonts w:hint="eastAsia"/>
                <w:color w:val="auto"/>
                <w:lang w:val="en-US" w:eastAsia="zh-CN"/>
              </w:rPr>
              <w:t>6</w:t>
            </w:r>
            <w:r>
              <w:rPr>
                <w:rFonts w:hint="eastAsia"/>
                <w:color w:val="auto"/>
                <w:lang w:eastAsia="zh-CN"/>
              </w:rPr>
              <w:t>）车辆在运输建筑材料等散装物料时，采取密闭措施，做到车辆密</w:t>
            </w:r>
            <w:r>
              <w:rPr>
                <w:rFonts w:hint="eastAsia"/>
                <w:color w:val="auto"/>
                <w:lang w:val="en-US" w:eastAsia="zh-CN"/>
              </w:rPr>
              <w:t>闭</w:t>
            </w:r>
            <w:r>
              <w:rPr>
                <w:rFonts w:hint="eastAsia"/>
                <w:color w:val="auto"/>
                <w:lang w:eastAsia="zh-CN"/>
              </w:rPr>
              <w:t>、装载均衡，不出现沿途洒落，造成二次道路扬尘污染。</w:t>
            </w:r>
          </w:p>
          <w:p>
            <w:pPr>
              <w:bidi w:val="0"/>
              <w:rPr>
                <w:rFonts w:hint="eastAsia"/>
                <w:color w:val="auto"/>
                <w:lang w:eastAsia="zh-CN"/>
              </w:rPr>
            </w:pPr>
            <w:r>
              <w:rPr>
                <w:rFonts w:hint="eastAsia"/>
                <w:color w:val="auto"/>
                <w:lang w:eastAsia="zh-CN"/>
              </w:rPr>
              <w:t>（</w:t>
            </w:r>
            <w:r>
              <w:rPr>
                <w:rFonts w:hint="eastAsia"/>
                <w:color w:val="auto"/>
                <w:lang w:val="en-US" w:eastAsia="zh-CN"/>
              </w:rPr>
              <w:t>7</w:t>
            </w:r>
            <w:r>
              <w:rPr>
                <w:rFonts w:hint="eastAsia"/>
                <w:color w:val="auto"/>
                <w:lang w:eastAsia="zh-CN"/>
              </w:rPr>
              <w:t>）选择合理的运输路线和时间，使运输扬尘对周边环境的影响在可接受范围内。</w:t>
            </w:r>
          </w:p>
          <w:p>
            <w:pPr>
              <w:bidi w:val="0"/>
              <w:rPr>
                <w:color w:val="auto"/>
              </w:rPr>
            </w:pPr>
            <w:r>
              <w:rPr>
                <w:rFonts w:hint="eastAsia"/>
                <w:color w:val="auto"/>
                <w:lang w:eastAsia="zh-CN"/>
              </w:rPr>
              <w:t>（</w:t>
            </w:r>
            <w:r>
              <w:rPr>
                <w:rFonts w:hint="eastAsia"/>
                <w:color w:val="auto"/>
                <w:lang w:val="en-US" w:eastAsia="zh-CN"/>
              </w:rPr>
              <w:t>8</w:t>
            </w:r>
            <w:r>
              <w:rPr>
                <w:rFonts w:hint="eastAsia"/>
                <w:color w:val="auto"/>
                <w:lang w:eastAsia="zh-CN"/>
              </w:rPr>
              <w:t>）</w:t>
            </w:r>
            <w:r>
              <w:rPr>
                <w:rFonts w:hint="default"/>
                <w:color w:val="auto"/>
                <w:lang w:val="en-US" w:eastAsia="zh-CN"/>
              </w:rPr>
              <w:t>选择符合环保要求的施工机械，尽量选择以电能或燃轻柴油的设备，减少机械设备燃料废气的产生量</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（9）装修过程中应选用符合《民用建筑工程室内环境污染控制标准》（GB50325-2020）标准规定的建筑材料和装饰材料，并通过加强排气通风。</w:t>
            </w:r>
          </w:p>
          <w:p>
            <w:pPr>
              <w:bidi w:val="0"/>
              <w:rPr>
                <w:rFonts w:hint="eastAsia"/>
                <w:color w:val="auto"/>
                <w:lang w:eastAsia="zh-CN"/>
              </w:rPr>
            </w:pPr>
            <w:r>
              <w:rPr>
                <w:rFonts w:hint="eastAsia"/>
                <w:color w:val="auto"/>
                <w:lang w:val="en-US" w:eastAsia="zh-CN"/>
              </w:rPr>
              <w:t>采取以上综合防治措施后，可最大</w:t>
            </w:r>
            <w:r>
              <w:rPr>
                <w:rFonts w:hint="eastAsia"/>
                <w:color w:val="auto"/>
              </w:rPr>
              <w:t>减轻</w:t>
            </w:r>
            <w:r>
              <w:rPr>
                <w:rFonts w:hint="eastAsia"/>
                <w:color w:val="auto"/>
                <w:lang w:val="en-US" w:eastAsia="zh-CN"/>
              </w:rPr>
              <w:t>施工期废气</w:t>
            </w:r>
            <w:r>
              <w:rPr>
                <w:rFonts w:hint="eastAsia"/>
                <w:color w:val="auto"/>
              </w:rPr>
              <w:t>对区域环境空气质量</w:t>
            </w:r>
            <w:r>
              <w:rPr>
                <w:rFonts w:hint="eastAsia"/>
                <w:color w:val="auto"/>
                <w:lang w:val="en-US" w:eastAsia="zh-CN"/>
              </w:rPr>
              <w:t>带来</w:t>
            </w:r>
            <w:r>
              <w:rPr>
                <w:rFonts w:hint="eastAsia"/>
                <w:color w:val="auto"/>
              </w:rPr>
              <w:t>的不利影响</w:t>
            </w:r>
            <w:r>
              <w:rPr>
                <w:rFonts w:hint="eastAsia"/>
                <w:color w:val="auto"/>
                <w:lang w:eastAsia="zh-CN"/>
              </w:rPr>
              <w:t>，对周边大气环境及周边敏感点影响较小。</w:t>
            </w:r>
          </w:p>
          <w:p>
            <w:pPr>
              <w:pStyle w:val="4"/>
              <w:bidi w:val="0"/>
              <w:rPr>
                <w:rFonts w:hint="default"/>
                <w:color w:val="auto"/>
                <w:lang w:val="en-US" w:eastAsia="zh-CN"/>
              </w:rPr>
            </w:pPr>
            <w:r>
              <w:rPr>
                <w:rFonts w:hint="eastAsia"/>
                <w:color w:val="auto"/>
                <w:lang w:val="en-US" w:eastAsia="zh-CN"/>
              </w:rPr>
              <w:t>4.1.3施工期噪声环境影响分析</w:t>
            </w:r>
            <w:bookmarkEnd w:id="29"/>
            <w:bookmarkEnd w:id="30"/>
            <w:r>
              <w:rPr>
                <w:rFonts w:hint="eastAsia"/>
                <w:color w:val="auto"/>
                <w:lang w:val="en-US" w:eastAsia="zh-CN"/>
              </w:rPr>
              <w:t>及保护措施</w:t>
            </w:r>
          </w:p>
          <w:p>
            <w:pPr>
              <w:bidi w:val="0"/>
              <w:rPr>
                <w:rFonts w:hint="default"/>
                <w:color w:val="auto"/>
              </w:rPr>
            </w:pPr>
            <w:bookmarkStart w:id="31" w:name="_Toc165"/>
            <w:bookmarkStart w:id="32" w:name="_Toc166"/>
            <w:r>
              <w:rPr>
                <w:rFonts w:hint="default"/>
                <w:color w:val="auto"/>
              </w:rPr>
              <w:t>项目噪声主要来</w:t>
            </w:r>
            <w:r>
              <w:rPr>
                <w:rFonts w:hint="eastAsia"/>
                <w:color w:val="auto"/>
                <w:lang w:eastAsia="zh-CN"/>
              </w:rPr>
              <w:t>源于</w:t>
            </w:r>
            <w:r>
              <w:rPr>
                <w:rFonts w:hint="default"/>
                <w:color w:val="auto"/>
              </w:rPr>
              <w:t>施工现场的各类机械设备</w:t>
            </w:r>
            <w:r>
              <w:rPr>
                <w:rFonts w:hint="eastAsia"/>
                <w:color w:val="auto"/>
                <w:lang w:val="en-US" w:eastAsia="zh-CN"/>
              </w:rPr>
              <w:t>噪声</w:t>
            </w:r>
            <w:r>
              <w:rPr>
                <w:rFonts w:hint="default"/>
                <w:color w:val="auto"/>
              </w:rPr>
              <w:t>和物料运输的交通噪声。施工设备噪声值依据福建省环保局闽环保总队</w:t>
            </w:r>
            <w:r>
              <w:rPr>
                <w:rFonts w:hint="eastAsia"/>
                <w:color w:val="auto"/>
                <w:lang w:eastAsia="zh-CN"/>
              </w:rPr>
              <w:t>〔2006〕4号</w:t>
            </w:r>
            <w:r>
              <w:rPr>
                <w:rFonts w:hint="default"/>
                <w:color w:val="auto"/>
              </w:rPr>
              <w:t>文中“福建省建筑施工噪声类比监测数据一览表</w:t>
            </w:r>
            <w:r>
              <w:rPr>
                <w:rFonts w:hint="default"/>
                <w:color w:val="auto"/>
                <w:lang w:val="en-US" w:eastAsia="zh-CN"/>
              </w:rPr>
              <w:t>(</w:t>
            </w:r>
            <w:r>
              <w:rPr>
                <w:rFonts w:hint="default"/>
                <w:color w:val="auto"/>
              </w:rPr>
              <w:t>试行</w:t>
            </w:r>
            <w:r>
              <w:rPr>
                <w:rFonts w:hint="default"/>
                <w:color w:val="auto"/>
                <w:lang w:val="en-US" w:eastAsia="zh-CN"/>
              </w:rPr>
              <w:t>)</w:t>
            </w:r>
            <w:r>
              <w:rPr>
                <w:rFonts w:hint="default"/>
                <w:color w:val="auto"/>
              </w:rPr>
              <w:t>”中相关数据，见表</w:t>
            </w:r>
            <w:r>
              <w:rPr>
                <w:rFonts w:hint="eastAsia"/>
                <w:color w:val="auto"/>
                <w:lang w:val="en-US" w:eastAsia="zh-CN"/>
              </w:rPr>
              <w:t>4.1-1</w:t>
            </w:r>
            <w:r>
              <w:rPr>
                <w:rFonts w:hint="default"/>
                <w:color w:val="auto"/>
              </w:rPr>
              <w:t>。</w:t>
            </w:r>
          </w:p>
          <w:p>
            <w:pPr>
              <w:pStyle w:val="33"/>
              <w:keepNext/>
              <w:keepLines w:val="0"/>
              <w:pageBreakBefore w:val="0"/>
              <w:widowControl w:val="0"/>
              <w:kinsoku/>
              <w:wordWrap/>
              <w:overflowPunct/>
              <w:topLinePunct w:val="0"/>
              <w:autoSpaceDE/>
              <w:autoSpaceDN/>
              <w:bidi w:val="0"/>
              <w:adjustRightInd/>
              <w:snapToGrid/>
              <w:spacing w:before="0" w:beforeLines="0"/>
              <w:textAlignment w:val="auto"/>
              <w:rPr>
                <w:rFonts w:hint="default"/>
                <w:color w:val="auto"/>
                <w:sz w:val="24"/>
                <w:szCs w:val="24"/>
                <w:lang w:val="en-US" w:eastAsia="zh-CN"/>
              </w:rPr>
            </w:pPr>
            <w:r>
              <w:rPr>
                <w:rFonts w:hint="default"/>
                <w:color w:val="auto"/>
                <w:sz w:val="24"/>
                <w:szCs w:val="24"/>
                <w:lang w:val="en-US" w:eastAsia="zh-CN"/>
              </w:rPr>
              <w:t>表4.1-1 项目施工机械噪声源源强</w:t>
            </w:r>
          </w:p>
          <w:tbl>
            <w:tblPr>
              <w:tblStyle w:val="24"/>
              <w:tblW w:w="7930" w:type="dxa"/>
              <w:jc w:val="center"/>
              <w:tblInd w:w="0" w:type="dxa"/>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
            <w:tblGrid>
              <w:gridCol w:w="1512"/>
              <w:gridCol w:w="1328"/>
              <w:gridCol w:w="1923"/>
              <w:gridCol w:w="1474"/>
              <w:gridCol w:w="1693"/>
            </w:tblGrid>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Align w:val="center"/>
                </w:tcPr>
                <w:p>
                  <w:pPr>
                    <w:pStyle w:val="28"/>
                    <w:bidi w:val="0"/>
                    <w:rPr>
                      <w:rFonts w:hint="default"/>
                      <w:b/>
                      <w:bCs/>
                      <w:color w:val="auto"/>
                    </w:rPr>
                  </w:pPr>
                  <w:r>
                    <w:rPr>
                      <w:rFonts w:hint="default"/>
                      <w:b/>
                      <w:bCs/>
                      <w:color w:val="auto"/>
                    </w:rPr>
                    <w:t>施工阶段</w:t>
                  </w:r>
                </w:p>
              </w:tc>
              <w:tc>
                <w:tcPr>
                  <w:tcW w:w="1328" w:type="dxa"/>
                  <w:vAlign w:val="center"/>
                </w:tcPr>
                <w:p>
                  <w:pPr>
                    <w:pStyle w:val="28"/>
                    <w:bidi w:val="0"/>
                    <w:rPr>
                      <w:rFonts w:hint="default"/>
                      <w:b/>
                      <w:bCs/>
                      <w:color w:val="auto"/>
                    </w:rPr>
                  </w:pPr>
                  <w:r>
                    <w:rPr>
                      <w:rFonts w:hint="default"/>
                      <w:b/>
                      <w:bCs/>
                      <w:color w:val="auto"/>
                    </w:rPr>
                    <w:t>施工设备</w:t>
                  </w:r>
                </w:p>
              </w:tc>
              <w:tc>
                <w:tcPr>
                  <w:tcW w:w="1923" w:type="dxa"/>
                  <w:vAlign w:val="center"/>
                </w:tcPr>
                <w:p>
                  <w:pPr>
                    <w:pStyle w:val="28"/>
                    <w:bidi w:val="0"/>
                    <w:rPr>
                      <w:rFonts w:hint="default"/>
                      <w:b/>
                      <w:bCs/>
                      <w:color w:val="auto"/>
                    </w:rPr>
                  </w:pPr>
                  <w:r>
                    <w:rPr>
                      <w:rFonts w:hint="default"/>
                      <w:b/>
                      <w:bCs/>
                      <w:color w:val="auto"/>
                    </w:rPr>
                    <w:t>测点与设备距离(m)</w:t>
                  </w:r>
                </w:p>
              </w:tc>
              <w:tc>
                <w:tcPr>
                  <w:tcW w:w="1474" w:type="dxa"/>
                  <w:tcBorders>
                    <w:right w:val="single" w:color="auto" w:sz="4" w:space="0"/>
                  </w:tcBorders>
                  <w:vAlign w:val="center"/>
                </w:tcPr>
                <w:p>
                  <w:pPr>
                    <w:pStyle w:val="28"/>
                    <w:bidi w:val="0"/>
                    <w:rPr>
                      <w:rFonts w:hint="default"/>
                      <w:b/>
                      <w:bCs/>
                      <w:color w:val="auto"/>
                    </w:rPr>
                  </w:pPr>
                  <w:r>
                    <w:rPr>
                      <w:rFonts w:hint="default"/>
                      <w:b/>
                      <w:bCs/>
                      <w:color w:val="auto"/>
                    </w:rPr>
                    <w:t>噪声级dB(A)</w:t>
                  </w:r>
                </w:p>
              </w:tc>
              <w:tc>
                <w:tcPr>
                  <w:tcW w:w="1693" w:type="dxa"/>
                  <w:tcBorders>
                    <w:left w:val="single" w:color="auto" w:sz="4" w:space="0"/>
                  </w:tcBorders>
                  <w:vAlign w:val="center"/>
                </w:tcPr>
                <w:p>
                  <w:pPr>
                    <w:pStyle w:val="28"/>
                    <w:bidi w:val="0"/>
                    <w:rPr>
                      <w:rFonts w:hint="default"/>
                      <w:b/>
                      <w:bCs/>
                      <w:color w:val="auto"/>
                    </w:rPr>
                  </w:pPr>
                  <w:r>
                    <w:rPr>
                      <w:rFonts w:hint="default"/>
                      <w:b/>
                      <w:bCs/>
                      <w:color w:val="auto"/>
                    </w:rPr>
                    <w:t>综合噪声级dB(A)</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restart"/>
                  <w:vAlign w:val="center"/>
                </w:tcPr>
                <w:p>
                  <w:pPr>
                    <w:pStyle w:val="28"/>
                    <w:bidi w:val="0"/>
                    <w:rPr>
                      <w:rFonts w:hint="default"/>
                      <w:color w:val="auto"/>
                    </w:rPr>
                  </w:pPr>
                  <w:r>
                    <w:rPr>
                      <w:rFonts w:hint="default"/>
                      <w:color w:val="auto"/>
                    </w:rPr>
                    <w:t>土石方阶段</w:t>
                  </w:r>
                </w:p>
              </w:tc>
              <w:tc>
                <w:tcPr>
                  <w:tcW w:w="1328" w:type="dxa"/>
                  <w:vAlign w:val="center"/>
                </w:tcPr>
                <w:p>
                  <w:pPr>
                    <w:pStyle w:val="28"/>
                    <w:bidi w:val="0"/>
                    <w:rPr>
                      <w:rFonts w:hint="default"/>
                      <w:color w:val="auto"/>
                    </w:rPr>
                  </w:pPr>
                  <w:r>
                    <w:rPr>
                      <w:rFonts w:hint="default"/>
                      <w:color w:val="auto"/>
                    </w:rPr>
                    <w:t>装载车</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80</w:t>
                  </w:r>
                </w:p>
              </w:tc>
              <w:tc>
                <w:tcPr>
                  <w:tcW w:w="1693" w:type="dxa"/>
                  <w:vMerge w:val="restart"/>
                  <w:tcBorders>
                    <w:left w:val="single" w:color="auto" w:sz="4" w:space="0"/>
                  </w:tcBorders>
                  <w:vAlign w:val="center"/>
                </w:tcPr>
                <w:p>
                  <w:pPr>
                    <w:pStyle w:val="28"/>
                    <w:bidi w:val="0"/>
                    <w:rPr>
                      <w:rFonts w:hint="default"/>
                      <w:color w:val="auto"/>
                    </w:rPr>
                  </w:pPr>
                  <w:r>
                    <w:rPr>
                      <w:rFonts w:hint="default"/>
                      <w:color w:val="auto"/>
                    </w:rPr>
                    <w:t>93.2</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柴油空压机</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88</w:t>
                  </w:r>
                </w:p>
              </w:tc>
              <w:tc>
                <w:tcPr>
                  <w:tcW w:w="1693" w:type="dxa"/>
                  <w:vMerge w:val="continue"/>
                  <w:tcBorders>
                    <w:left w:val="single" w:color="auto" w:sz="4" w:space="0"/>
                  </w:tcBorders>
                  <w:vAlign w:val="center"/>
                </w:tcPr>
                <w:p>
                  <w:pPr>
                    <w:pStyle w:val="28"/>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挖掘机</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79</w:t>
                  </w:r>
                </w:p>
              </w:tc>
              <w:tc>
                <w:tcPr>
                  <w:tcW w:w="1693" w:type="dxa"/>
                  <w:vMerge w:val="continue"/>
                  <w:tcBorders>
                    <w:left w:val="single" w:color="auto" w:sz="4" w:space="0"/>
                  </w:tcBorders>
                  <w:vAlign w:val="center"/>
                </w:tcPr>
                <w:p>
                  <w:pPr>
                    <w:pStyle w:val="28"/>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风镐</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91</w:t>
                  </w:r>
                </w:p>
              </w:tc>
              <w:tc>
                <w:tcPr>
                  <w:tcW w:w="1693" w:type="dxa"/>
                  <w:vMerge w:val="continue"/>
                  <w:tcBorders>
                    <w:left w:val="single" w:color="auto" w:sz="4" w:space="0"/>
                  </w:tcBorders>
                  <w:vAlign w:val="center"/>
                </w:tcPr>
                <w:p>
                  <w:pPr>
                    <w:pStyle w:val="28"/>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Align w:val="center"/>
                </w:tcPr>
                <w:p>
                  <w:pPr>
                    <w:pStyle w:val="28"/>
                    <w:bidi w:val="0"/>
                    <w:rPr>
                      <w:rFonts w:hint="default"/>
                      <w:color w:val="auto"/>
                    </w:rPr>
                  </w:pPr>
                  <w:r>
                    <w:rPr>
                      <w:rFonts w:hint="default"/>
                      <w:color w:val="auto"/>
                    </w:rPr>
                    <w:t>基础打桩阶段</w:t>
                  </w:r>
                </w:p>
              </w:tc>
              <w:tc>
                <w:tcPr>
                  <w:tcW w:w="1328" w:type="dxa"/>
                  <w:vAlign w:val="center"/>
                </w:tcPr>
                <w:p>
                  <w:pPr>
                    <w:pStyle w:val="28"/>
                    <w:bidi w:val="0"/>
                    <w:rPr>
                      <w:rFonts w:hint="default"/>
                      <w:color w:val="auto"/>
                    </w:rPr>
                  </w:pPr>
                  <w:r>
                    <w:rPr>
                      <w:rFonts w:hint="default"/>
                      <w:color w:val="auto"/>
                    </w:rPr>
                    <w:t>冲孔灌注桩</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90</w:t>
                  </w:r>
                </w:p>
              </w:tc>
              <w:tc>
                <w:tcPr>
                  <w:tcW w:w="1693" w:type="dxa"/>
                  <w:tcBorders>
                    <w:left w:val="single" w:color="auto" w:sz="4" w:space="0"/>
                  </w:tcBorders>
                  <w:vAlign w:val="center"/>
                </w:tcPr>
                <w:p>
                  <w:pPr>
                    <w:pStyle w:val="28"/>
                    <w:bidi w:val="0"/>
                    <w:rPr>
                      <w:rFonts w:hint="default"/>
                      <w:color w:val="auto"/>
                    </w:rPr>
                  </w:pPr>
                  <w:r>
                    <w:rPr>
                      <w:rFonts w:hint="default"/>
                      <w:color w:val="auto"/>
                    </w:rPr>
                    <w:t>90.0</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restart"/>
                  <w:vAlign w:val="center"/>
                </w:tcPr>
                <w:p>
                  <w:pPr>
                    <w:pStyle w:val="28"/>
                    <w:bidi w:val="0"/>
                    <w:rPr>
                      <w:rFonts w:hint="default"/>
                      <w:color w:val="auto"/>
                    </w:rPr>
                  </w:pPr>
                  <w:r>
                    <w:rPr>
                      <w:rFonts w:hint="default"/>
                      <w:color w:val="auto"/>
                    </w:rPr>
                    <w:t>结构施工</w:t>
                  </w:r>
                  <w:r>
                    <w:rPr>
                      <w:rFonts w:hint="eastAsia"/>
                      <w:color w:val="auto"/>
                      <w:lang w:eastAsia="zh-CN"/>
                    </w:rPr>
                    <w:t>浇筑</w:t>
                  </w:r>
                </w:p>
                <w:p>
                  <w:pPr>
                    <w:pStyle w:val="28"/>
                    <w:bidi w:val="0"/>
                    <w:rPr>
                      <w:rFonts w:hint="default"/>
                      <w:color w:val="auto"/>
                    </w:rPr>
                  </w:pPr>
                  <w:r>
                    <w:rPr>
                      <w:rFonts w:hint="default"/>
                      <w:color w:val="auto"/>
                    </w:rPr>
                    <w:t>阶段</w:t>
                  </w:r>
                </w:p>
              </w:tc>
              <w:tc>
                <w:tcPr>
                  <w:tcW w:w="1328" w:type="dxa"/>
                  <w:vAlign w:val="center"/>
                </w:tcPr>
                <w:p>
                  <w:pPr>
                    <w:pStyle w:val="28"/>
                    <w:bidi w:val="0"/>
                    <w:rPr>
                      <w:rFonts w:hint="default"/>
                      <w:color w:val="auto"/>
                    </w:rPr>
                  </w:pPr>
                  <w:r>
                    <w:rPr>
                      <w:rFonts w:hint="default"/>
                      <w:color w:val="auto"/>
                    </w:rPr>
                    <w:t>搅拌机</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78</w:t>
                  </w:r>
                </w:p>
              </w:tc>
              <w:tc>
                <w:tcPr>
                  <w:tcW w:w="1693" w:type="dxa"/>
                  <w:vMerge w:val="restart"/>
                  <w:tcBorders>
                    <w:left w:val="single" w:color="auto" w:sz="4" w:space="0"/>
                  </w:tcBorders>
                  <w:vAlign w:val="center"/>
                </w:tcPr>
                <w:p>
                  <w:pPr>
                    <w:pStyle w:val="28"/>
                    <w:bidi w:val="0"/>
                    <w:rPr>
                      <w:rFonts w:hint="default"/>
                      <w:color w:val="auto"/>
                    </w:rPr>
                  </w:pPr>
                  <w:r>
                    <w:rPr>
                      <w:rFonts w:hint="default"/>
                      <w:color w:val="auto"/>
                    </w:rPr>
                    <w:t>83.5</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起重机</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80</w:t>
                  </w:r>
                </w:p>
              </w:tc>
              <w:tc>
                <w:tcPr>
                  <w:tcW w:w="1693" w:type="dxa"/>
                  <w:vMerge w:val="continue"/>
                  <w:tcBorders>
                    <w:left w:val="single" w:color="auto" w:sz="4" w:space="0"/>
                  </w:tcBorders>
                  <w:vAlign w:val="center"/>
                </w:tcPr>
                <w:p>
                  <w:pPr>
                    <w:pStyle w:val="28"/>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振动棒</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78</w:t>
                  </w:r>
                </w:p>
              </w:tc>
              <w:tc>
                <w:tcPr>
                  <w:tcW w:w="1693" w:type="dxa"/>
                  <w:vMerge w:val="continue"/>
                  <w:tcBorders>
                    <w:left w:val="single" w:color="auto" w:sz="4" w:space="0"/>
                  </w:tcBorders>
                  <w:vAlign w:val="center"/>
                </w:tcPr>
                <w:p>
                  <w:pPr>
                    <w:pStyle w:val="28"/>
                    <w:bidi w:val="0"/>
                    <w:rPr>
                      <w:rFonts w:hint="default"/>
                      <w:color w:val="auto"/>
                    </w:rPr>
                  </w:pP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restart"/>
                  <w:vAlign w:val="center"/>
                </w:tcPr>
                <w:p>
                  <w:pPr>
                    <w:pStyle w:val="28"/>
                    <w:bidi w:val="0"/>
                    <w:rPr>
                      <w:rFonts w:hint="default"/>
                      <w:color w:val="auto"/>
                    </w:rPr>
                  </w:pPr>
                  <w:r>
                    <w:rPr>
                      <w:rFonts w:hint="default"/>
                      <w:color w:val="auto"/>
                    </w:rPr>
                    <w:t>装修阶段</w:t>
                  </w:r>
                </w:p>
              </w:tc>
              <w:tc>
                <w:tcPr>
                  <w:tcW w:w="1328" w:type="dxa"/>
                  <w:vAlign w:val="center"/>
                </w:tcPr>
                <w:p>
                  <w:pPr>
                    <w:pStyle w:val="28"/>
                    <w:bidi w:val="0"/>
                    <w:rPr>
                      <w:rFonts w:hint="default"/>
                      <w:color w:val="auto"/>
                    </w:rPr>
                  </w:pPr>
                  <w:r>
                    <w:rPr>
                      <w:rFonts w:hint="default"/>
                      <w:color w:val="auto"/>
                    </w:rPr>
                    <w:t>拉直切断机</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78</w:t>
                  </w:r>
                </w:p>
              </w:tc>
              <w:tc>
                <w:tcPr>
                  <w:tcW w:w="1693" w:type="dxa"/>
                  <w:vMerge w:val="restart"/>
                  <w:tcBorders>
                    <w:left w:val="single" w:color="auto" w:sz="4" w:space="0"/>
                  </w:tcBorders>
                  <w:vAlign w:val="center"/>
                </w:tcPr>
                <w:p>
                  <w:pPr>
                    <w:pStyle w:val="28"/>
                    <w:bidi w:val="0"/>
                    <w:rPr>
                      <w:rFonts w:hint="default"/>
                      <w:color w:val="auto"/>
                    </w:rPr>
                  </w:pPr>
                  <w:r>
                    <w:rPr>
                      <w:rFonts w:hint="default"/>
                      <w:color w:val="auto"/>
                    </w:rPr>
                    <w:t>82.8</w:t>
                  </w:r>
                </w:p>
              </w:tc>
            </w:tr>
            <w:tr>
              <w:tblPrEx>
                <w:tblBorders>
                  <w:top w:val="single" w:color="auto" w:sz="12" w:space="0"/>
                  <w:left w:val="none" w:color="auto" w:sz="0" w:space="0"/>
                  <w:bottom w:val="single" w:color="auto" w:sz="12" w:space="0"/>
                  <w:right w:val="none" w:color="auto" w:sz="0" w:space="0"/>
                  <w:insideH w:val="single" w:color="000000" w:sz="2" w:space="0"/>
                  <w:insideV w:val="single" w:color="000000" w:sz="2" w:space="0"/>
                </w:tblBorders>
                <w:tblLayout w:type="fixed"/>
                <w:tblCellMar>
                  <w:top w:w="0" w:type="dxa"/>
                  <w:left w:w="30" w:type="dxa"/>
                  <w:bottom w:w="0" w:type="dxa"/>
                  <w:right w:w="30" w:type="dxa"/>
                </w:tblCellMar>
              </w:tblPrEx>
              <w:trPr>
                <w:cantSplit/>
                <w:trHeight w:val="397" w:hRule="atLeast"/>
                <w:jc w:val="center"/>
              </w:trPr>
              <w:tc>
                <w:tcPr>
                  <w:tcW w:w="1512" w:type="dxa"/>
                  <w:vMerge w:val="continue"/>
                  <w:vAlign w:val="center"/>
                </w:tcPr>
                <w:p>
                  <w:pPr>
                    <w:pStyle w:val="28"/>
                    <w:bidi w:val="0"/>
                    <w:rPr>
                      <w:rFonts w:hint="default"/>
                      <w:color w:val="auto"/>
                    </w:rPr>
                  </w:pPr>
                </w:p>
              </w:tc>
              <w:tc>
                <w:tcPr>
                  <w:tcW w:w="1328" w:type="dxa"/>
                  <w:vAlign w:val="center"/>
                </w:tcPr>
                <w:p>
                  <w:pPr>
                    <w:pStyle w:val="28"/>
                    <w:bidi w:val="0"/>
                    <w:rPr>
                      <w:rFonts w:hint="default"/>
                      <w:color w:val="auto"/>
                    </w:rPr>
                  </w:pPr>
                  <w:r>
                    <w:rPr>
                      <w:rFonts w:hint="default"/>
                      <w:color w:val="auto"/>
                    </w:rPr>
                    <w:t>冲击钻</w:t>
                  </w:r>
                </w:p>
              </w:tc>
              <w:tc>
                <w:tcPr>
                  <w:tcW w:w="1923" w:type="dxa"/>
                  <w:vAlign w:val="center"/>
                </w:tcPr>
                <w:p>
                  <w:pPr>
                    <w:pStyle w:val="28"/>
                    <w:bidi w:val="0"/>
                    <w:rPr>
                      <w:rFonts w:hint="default"/>
                      <w:color w:val="auto"/>
                    </w:rPr>
                  </w:pPr>
                  <w:r>
                    <w:rPr>
                      <w:rFonts w:hint="default"/>
                      <w:color w:val="auto"/>
                    </w:rPr>
                    <w:t>5</w:t>
                  </w:r>
                </w:p>
              </w:tc>
              <w:tc>
                <w:tcPr>
                  <w:tcW w:w="1474" w:type="dxa"/>
                  <w:tcBorders>
                    <w:right w:val="single" w:color="auto" w:sz="4" w:space="0"/>
                  </w:tcBorders>
                  <w:vAlign w:val="center"/>
                </w:tcPr>
                <w:p>
                  <w:pPr>
                    <w:pStyle w:val="28"/>
                    <w:bidi w:val="0"/>
                    <w:rPr>
                      <w:rFonts w:hint="default"/>
                      <w:color w:val="auto"/>
                    </w:rPr>
                  </w:pPr>
                  <w:r>
                    <w:rPr>
                      <w:rFonts w:hint="default"/>
                      <w:color w:val="auto"/>
                    </w:rPr>
                    <w:t>81</w:t>
                  </w:r>
                </w:p>
              </w:tc>
              <w:tc>
                <w:tcPr>
                  <w:tcW w:w="1693" w:type="dxa"/>
                  <w:vMerge w:val="continue"/>
                  <w:tcBorders>
                    <w:left w:val="single" w:color="auto" w:sz="4" w:space="0"/>
                  </w:tcBorders>
                  <w:vAlign w:val="center"/>
                </w:tcPr>
                <w:p>
                  <w:pPr>
                    <w:pStyle w:val="28"/>
                    <w:bidi w:val="0"/>
                    <w:rPr>
                      <w:rFonts w:hint="default"/>
                      <w:color w:val="auto"/>
                    </w:rPr>
                  </w:pP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color w:val="auto"/>
              </w:rPr>
            </w:pPr>
            <w:r>
              <w:rPr>
                <w:rFonts w:hint="default"/>
                <w:color w:val="auto"/>
              </w:rPr>
              <w:t>在没有消声和屏障等衰减条件下，传播不同距离处，各种施工机械噪声值几何衰减情况见表</w:t>
            </w:r>
            <w:r>
              <w:rPr>
                <w:rFonts w:hint="eastAsia"/>
                <w:color w:val="auto"/>
                <w:lang w:val="en-US" w:eastAsia="zh-CN"/>
              </w:rPr>
              <w:t>4.1-2</w:t>
            </w:r>
            <w:r>
              <w:rPr>
                <w:rFonts w:hint="default"/>
                <w:color w:val="auto"/>
              </w:rPr>
              <w:t>。</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4.1-2</w:t>
            </w:r>
            <w:r>
              <w:rPr>
                <w:rFonts w:hint="default"/>
                <w:color w:val="auto"/>
                <w:sz w:val="24"/>
                <w:szCs w:val="24"/>
              </w:rPr>
              <w:t xml:space="preserve"> 各施工阶段主要施工机械噪声几何衰减值情况表</w:t>
            </w:r>
          </w:p>
          <w:tbl>
            <w:tblPr>
              <w:tblStyle w:val="24"/>
              <w:tblW w:w="7931" w:type="dxa"/>
              <w:jc w:val="center"/>
              <w:tblInd w:w="0" w:type="dxa"/>
              <w:tblLayout w:type="fixed"/>
              <w:tblCellMar>
                <w:top w:w="0" w:type="dxa"/>
                <w:left w:w="30" w:type="dxa"/>
                <w:bottom w:w="0" w:type="dxa"/>
                <w:right w:w="30" w:type="dxa"/>
              </w:tblCellMar>
            </w:tblPr>
            <w:tblGrid>
              <w:gridCol w:w="906"/>
              <w:gridCol w:w="906"/>
              <w:gridCol w:w="474"/>
              <w:gridCol w:w="474"/>
              <w:gridCol w:w="477"/>
              <w:gridCol w:w="474"/>
              <w:gridCol w:w="474"/>
              <w:gridCol w:w="477"/>
              <w:gridCol w:w="525"/>
              <w:gridCol w:w="585"/>
              <w:gridCol w:w="539"/>
              <w:gridCol w:w="540"/>
              <w:gridCol w:w="540"/>
              <w:gridCol w:w="540"/>
            </w:tblGrid>
            <w:tr>
              <w:tblPrEx>
                <w:tblLayout w:type="fixed"/>
                <w:tblCellMar>
                  <w:top w:w="0" w:type="dxa"/>
                  <w:left w:w="30" w:type="dxa"/>
                  <w:bottom w:w="0" w:type="dxa"/>
                  <w:right w:w="30" w:type="dxa"/>
                </w:tblCellMar>
              </w:tblPrEx>
              <w:trPr>
                <w:cantSplit/>
                <w:trHeight w:val="397" w:hRule="atLeast"/>
                <w:jc w:val="center"/>
              </w:trPr>
              <w:tc>
                <w:tcPr>
                  <w:tcW w:w="906" w:type="dxa"/>
                  <w:vMerge w:val="restart"/>
                  <w:tcBorders>
                    <w:top w:val="single" w:color="auto" w:sz="12" w:space="0"/>
                    <w:right w:val="single" w:color="000000" w:sz="2" w:space="0"/>
                  </w:tcBorders>
                  <w:vAlign w:val="center"/>
                </w:tcPr>
                <w:p>
                  <w:pPr>
                    <w:pStyle w:val="28"/>
                    <w:bidi w:val="0"/>
                    <w:rPr>
                      <w:rFonts w:hint="default"/>
                      <w:color w:val="auto"/>
                    </w:rPr>
                  </w:pPr>
                  <w:r>
                    <w:rPr>
                      <w:rFonts w:hint="default"/>
                      <w:color w:val="auto"/>
                    </w:rPr>
                    <w:t>施工阶段</w:t>
                  </w:r>
                </w:p>
              </w:tc>
              <w:tc>
                <w:tcPr>
                  <w:tcW w:w="906" w:type="dxa"/>
                  <w:vMerge w:val="restart"/>
                  <w:tcBorders>
                    <w:top w:val="single" w:color="auto" w:sz="12" w:space="0"/>
                    <w:left w:val="single" w:color="000000" w:sz="2" w:space="0"/>
                    <w:right w:val="single" w:color="000000" w:sz="2" w:space="0"/>
                  </w:tcBorders>
                  <w:vAlign w:val="center"/>
                </w:tcPr>
                <w:p>
                  <w:pPr>
                    <w:pStyle w:val="28"/>
                    <w:bidi w:val="0"/>
                    <w:rPr>
                      <w:rFonts w:hint="default"/>
                      <w:color w:val="auto"/>
                      <w:lang w:eastAsia="zh-CN"/>
                    </w:rPr>
                  </w:pPr>
                  <w:r>
                    <w:rPr>
                      <w:rFonts w:hint="default"/>
                      <w:color w:val="auto"/>
                      <w:lang w:eastAsia="zh-CN"/>
                    </w:rPr>
                    <w:t>综合</w:t>
                  </w:r>
                  <w:r>
                    <w:rPr>
                      <w:rFonts w:hint="default"/>
                      <w:color w:val="auto"/>
                    </w:rPr>
                    <w:t>声级</w:t>
                  </w:r>
                  <w:r>
                    <w:rPr>
                      <w:rFonts w:hint="default"/>
                      <w:color w:val="auto"/>
                      <w:lang w:val="en-US" w:eastAsia="zh-CN"/>
                    </w:rPr>
                    <w:t>(</w:t>
                  </w:r>
                  <w:r>
                    <w:rPr>
                      <w:rFonts w:hint="default"/>
                      <w:color w:val="auto"/>
                    </w:rPr>
                    <w:t>dB</w:t>
                  </w:r>
                  <w:r>
                    <w:rPr>
                      <w:rFonts w:hint="default"/>
                      <w:color w:val="auto"/>
                      <w:lang w:val="en-US" w:eastAsia="zh-CN"/>
                    </w:rPr>
                    <w:t>(A))</w:t>
                  </w:r>
                </w:p>
              </w:tc>
              <w:tc>
                <w:tcPr>
                  <w:tcW w:w="6119" w:type="dxa"/>
                  <w:gridSpan w:val="12"/>
                  <w:tcBorders>
                    <w:top w:val="single" w:color="auto" w:sz="12" w:space="0"/>
                    <w:left w:val="single" w:color="000000" w:sz="2" w:space="0"/>
                    <w:bottom w:val="single" w:color="000000" w:sz="2" w:space="0"/>
                  </w:tcBorders>
                  <w:vAlign w:val="center"/>
                </w:tcPr>
                <w:p>
                  <w:pPr>
                    <w:pStyle w:val="28"/>
                    <w:bidi w:val="0"/>
                    <w:rPr>
                      <w:rFonts w:hint="default"/>
                      <w:color w:val="auto"/>
                    </w:rPr>
                  </w:pPr>
                  <w:r>
                    <w:rPr>
                      <w:rFonts w:hint="default"/>
                      <w:color w:val="auto"/>
                    </w:rPr>
                    <w:t>不同距离噪声值(dB(A))</w:t>
                  </w:r>
                </w:p>
              </w:tc>
            </w:tr>
            <w:tr>
              <w:tblPrEx>
                <w:tblLayout w:type="fixed"/>
                <w:tblCellMar>
                  <w:top w:w="0" w:type="dxa"/>
                  <w:left w:w="30" w:type="dxa"/>
                  <w:bottom w:w="0" w:type="dxa"/>
                  <w:right w:w="30" w:type="dxa"/>
                </w:tblCellMar>
              </w:tblPrEx>
              <w:trPr>
                <w:cantSplit/>
                <w:trHeight w:val="397" w:hRule="atLeast"/>
                <w:jc w:val="center"/>
              </w:trPr>
              <w:tc>
                <w:tcPr>
                  <w:tcW w:w="906" w:type="dxa"/>
                  <w:vMerge w:val="continue"/>
                  <w:tcBorders>
                    <w:bottom w:val="single" w:color="auto" w:sz="4" w:space="0"/>
                    <w:right w:val="single" w:color="000000" w:sz="2" w:space="0"/>
                  </w:tcBorders>
                  <w:vAlign w:val="center"/>
                </w:tcPr>
                <w:p>
                  <w:pPr>
                    <w:pStyle w:val="28"/>
                    <w:bidi w:val="0"/>
                    <w:rPr>
                      <w:rFonts w:hint="default"/>
                      <w:color w:val="auto"/>
                    </w:rPr>
                  </w:pPr>
                </w:p>
              </w:tc>
              <w:tc>
                <w:tcPr>
                  <w:tcW w:w="906" w:type="dxa"/>
                  <w:vMerge w:val="continue"/>
                  <w:tcBorders>
                    <w:left w:val="single" w:color="000000" w:sz="2" w:space="0"/>
                    <w:bottom w:val="single" w:color="000000" w:sz="2" w:space="0"/>
                    <w:right w:val="single" w:color="000000" w:sz="2" w:space="0"/>
                  </w:tcBorders>
                  <w:vAlign w:val="center"/>
                </w:tcPr>
                <w:p>
                  <w:pPr>
                    <w:pStyle w:val="28"/>
                    <w:bidi w:val="0"/>
                    <w:rPr>
                      <w:rFonts w:hint="default"/>
                      <w:color w:val="auto"/>
                    </w:rPr>
                  </w:pP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10m</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15m</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20m</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30m</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45m</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60m</w:t>
                  </w:r>
                </w:p>
              </w:tc>
              <w:tc>
                <w:tcPr>
                  <w:tcW w:w="52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70m</w:t>
                  </w:r>
                </w:p>
              </w:tc>
              <w:tc>
                <w:tcPr>
                  <w:tcW w:w="58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100m</w:t>
                  </w:r>
                </w:p>
              </w:tc>
              <w:tc>
                <w:tcPr>
                  <w:tcW w:w="539"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150m</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170m</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180m</w:t>
                  </w:r>
                </w:p>
              </w:tc>
              <w:tc>
                <w:tcPr>
                  <w:tcW w:w="540" w:type="dxa"/>
                  <w:tcBorders>
                    <w:top w:val="single" w:color="000000" w:sz="2" w:space="0"/>
                    <w:left w:val="single" w:color="000000" w:sz="2" w:space="0"/>
                    <w:bottom w:val="single" w:color="000000" w:sz="2" w:space="0"/>
                  </w:tcBorders>
                  <w:vAlign w:val="center"/>
                </w:tcPr>
                <w:p>
                  <w:pPr>
                    <w:pStyle w:val="28"/>
                    <w:bidi w:val="0"/>
                    <w:rPr>
                      <w:rFonts w:hint="default"/>
                      <w:color w:val="auto"/>
                    </w:rPr>
                  </w:pPr>
                  <w:r>
                    <w:rPr>
                      <w:rFonts w:hint="default"/>
                      <w:color w:val="auto"/>
                    </w:rPr>
                    <w:t>200m</w:t>
                  </w:r>
                </w:p>
              </w:tc>
            </w:tr>
            <w:tr>
              <w:tblPrEx>
                <w:tblLayout w:type="fixed"/>
                <w:tblCellMar>
                  <w:top w:w="0" w:type="dxa"/>
                  <w:left w:w="30" w:type="dxa"/>
                  <w:bottom w:w="0" w:type="dxa"/>
                  <w:right w:w="30" w:type="dxa"/>
                </w:tblCellMar>
              </w:tblPrEx>
              <w:trPr>
                <w:cantSplit/>
                <w:trHeight w:val="397" w:hRule="atLeast"/>
                <w:jc w:val="center"/>
              </w:trPr>
              <w:tc>
                <w:tcPr>
                  <w:tcW w:w="906" w:type="dxa"/>
                  <w:tcBorders>
                    <w:top w:val="single" w:color="auto" w:sz="4" w:space="0"/>
                    <w:bottom w:val="single" w:color="auto" w:sz="4" w:space="0"/>
                    <w:right w:val="single" w:color="000000" w:sz="2" w:space="0"/>
                  </w:tcBorders>
                  <w:vAlign w:val="center"/>
                </w:tcPr>
                <w:p>
                  <w:pPr>
                    <w:pStyle w:val="28"/>
                    <w:bidi w:val="0"/>
                    <w:rPr>
                      <w:rFonts w:hint="default"/>
                      <w:color w:val="auto"/>
                    </w:rPr>
                  </w:pPr>
                  <w:bookmarkStart w:id="33" w:name="_Hlk252220818"/>
                  <w:r>
                    <w:rPr>
                      <w:rFonts w:hint="default"/>
                      <w:color w:val="auto"/>
                    </w:rPr>
                    <w:t>土石方</w:t>
                  </w:r>
                </w:p>
              </w:tc>
              <w:tc>
                <w:tcPr>
                  <w:tcW w:w="906"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93.2</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73.2</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69.7</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67.1</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63.7</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60.1</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57.6</w:t>
                  </w:r>
                </w:p>
              </w:tc>
              <w:tc>
                <w:tcPr>
                  <w:tcW w:w="52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56.3</w:t>
                  </w:r>
                </w:p>
              </w:tc>
              <w:tc>
                <w:tcPr>
                  <w:tcW w:w="58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53.2</w:t>
                  </w:r>
                </w:p>
              </w:tc>
              <w:tc>
                <w:tcPr>
                  <w:tcW w:w="539"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49.7</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48.6</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48.1</w:t>
                  </w:r>
                </w:p>
              </w:tc>
              <w:tc>
                <w:tcPr>
                  <w:tcW w:w="540" w:type="dxa"/>
                  <w:tcBorders>
                    <w:top w:val="single" w:color="000000" w:sz="2" w:space="0"/>
                    <w:left w:val="single" w:color="000000" w:sz="2" w:space="0"/>
                    <w:bottom w:val="single" w:color="000000" w:sz="2" w:space="0"/>
                  </w:tcBorders>
                  <w:vAlign w:val="center"/>
                </w:tcPr>
                <w:p>
                  <w:pPr>
                    <w:pStyle w:val="28"/>
                    <w:bidi w:val="0"/>
                    <w:rPr>
                      <w:rFonts w:hint="default"/>
                      <w:color w:val="auto"/>
                    </w:rPr>
                  </w:pPr>
                  <w:r>
                    <w:rPr>
                      <w:rFonts w:hint="default"/>
                      <w:color w:val="auto"/>
                    </w:rPr>
                    <w:t>47.2</w:t>
                  </w:r>
                </w:p>
              </w:tc>
            </w:tr>
            <w:bookmarkEnd w:id="33"/>
            <w:tr>
              <w:tblPrEx>
                <w:tblLayout w:type="fixed"/>
                <w:tblCellMar>
                  <w:top w:w="0" w:type="dxa"/>
                  <w:left w:w="30" w:type="dxa"/>
                  <w:bottom w:w="0" w:type="dxa"/>
                  <w:right w:w="30" w:type="dxa"/>
                </w:tblCellMar>
              </w:tblPrEx>
              <w:trPr>
                <w:cantSplit/>
                <w:trHeight w:val="397" w:hRule="atLeast"/>
                <w:jc w:val="center"/>
              </w:trPr>
              <w:tc>
                <w:tcPr>
                  <w:tcW w:w="906" w:type="dxa"/>
                  <w:tcBorders>
                    <w:top w:val="single" w:color="auto" w:sz="4" w:space="0"/>
                    <w:bottom w:val="single" w:color="auto" w:sz="4" w:space="0"/>
                    <w:right w:val="single" w:color="000000" w:sz="2" w:space="0"/>
                  </w:tcBorders>
                  <w:vAlign w:val="center"/>
                </w:tcPr>
                <w:p>
                  <w:pPr>
                    <w:pStyle w:val="28"/>
                    <w:bidi w:val="0"/>
                    <w:rPr>
                      <w:rFonts w:hint="default"/>
                      <w:color w:val="auto"/>
                    </w:rPr>
                  </w:pPr>
                  <w:r>
                    <w:rPr>
                      <w:rFonts w:hint="default"/>
                      <w:color w:val="auto"/>
                    </w:rPr>
                    <w:t>打桩</w:t>
                  </w:r>
                </w:p>
              </w:tc>
              <w:tc>
                <w:tcPr>
                  <w:tcW w:w="906"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90.0</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70.0</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66.5</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64.0</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60.0</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58.0</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56.0</w:t>
                  </w:r>
                </w:p>
              </w:tc>
              <w:tc>
                <w:tcPr>
                  <w:tcW w:w="52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54.0</w:t>
                  </w:r>
                </w:p>
              </w:tc>
              <w:tc>
                <w:tcPr>
                  <w:tcW w:w="58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562.0</w:t>
                  </w:r>
                </w:p>
              </w:tc>
              <w:tc>
                <w:tcPr>
                  <w:tcW w:w="539"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50.0</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48.0</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46.0</w:t>
                  </w:r>
                </w:p>
              </w:tc>
              <w:tc>
                <w:tcPr>
                  <w:tcW w:w="540" w:type="dxa"/>
                  <w:tcBorders>
                    <w:top w:val="single" w:color="000000" w:sz="2" w:space="0"/>
                    <w:left w:val="single" w:color="000000" w:sz="2" w:space="0"/>
                    <w:bottom w:val="single" w:color="000000" w:sz="2" w:space="0"/>
                  </w:tcBorders>
                  <w:vAlign w:val="center"/>
                </w:tcPr>
                <w:p>
                  <w:pPr>
                    <w:pStyle w:val="28"/>
                    <w:bidi w:val="0"/>
                    <w:rPr>
                      <w:rFonts w:hint="default"/>
                      <w:color w:val="auto"/>
                    </w:rPr>
                  </w:pPr>
                  <w:r>
                    <w:rPr>
                      <w:rFonts w:hint="default"/>
                      <w:color w:val="auto"/>
                    </w:rPr>
                    <w:t>44.0</w:t>
                  </w:r>
                </w:p>
              </w:tc>
            </w:tr>
            <w:tr>
              <w:tblPrEx>
                <w:tblLayout w:type="fixed"/>
                <w:tblCellMar>
                  <w:top w:w="0" w:type="dxa"/>
                  <w:left w:w="30" w:type="dxa"/>
                  <w:bottom w:w="0" w:type="dxa"/>
                  <w:right w:w="30" w:type="dxa"/>
                </w:tblCellMar>
              </w:tblPrEx>
              <w:trPr>
                <w:cantSplit/>
                <w:trHeight w:val="397" w:hRule="atLeast"/>
                <w:jc w:val="center"/>
              </w:trPr>
              <w:tc>
                <w:tcPr>
                  <w:tcW w:w="906" w:type="dxa"/>
                  <w:tcBorders>
                    <w:top w:val="single" w:color="auto" w:sz="4" w:space="0"/>
                    <w:bottom w:val="single" w:color="auto" w:sz="4" w:space="0"/>
                    <w:right w:val="single" w:color="000000" w:sz="2" w:space="0"/>
                  </w:tcBorders>
                  <w:vAlign w:val="center"/>
                </w:tcPr>
                <w:p>
                  <w:pPr>
                    <w:pStyle w:val="28"/>
                    <w:bidi w:val="0"/>
                    <w:rPr>
                      <w:rFonts w:hint="default"/>
                      <w:color w:val="auto"/>
                    </w:rPr>
                  </w:pPr>
                  <w:r>
                    <w:rPr>
                      <w:rFonts w:hint="default"/>
                      <w:color w:val="auto"/>
                    </w:rPr>
                    <w:t>结构</w:t>
                  </w:r>
                </w:p>
              </w:tc>
              <w:tc>
                <w:tcPr>
                  <w:tcW w:w="906"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83.5</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63.5</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60.0</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57.5</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54.0</w:t>
                  </w:r>
                </w:p>
              </w:tc>
              <w:tc>
                <w:tcPr>
                  <w:tcW w:w="474"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50.4</w:t>
                  </w:r>
                </w:p>
              </w:tc>
              <w:tc>
                <w:tcPr>
                  <w:tcW w:w="477"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47.9</w:t>
                  </w:r>
                </w:p>
              </w:tc>
              <w:tc>
                <w:tcPr>
                  <w:tcW w:w="52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46.6</w:t>
                  </w:r>
                </w:p>
              </w:tc>
              <w:tc>
                <w:tcPr>
                  <w:tcW w:w="585"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43.5</w:t>
                  </w:r>
                </w:p>
              </w:tc>
              <w:tc>
                <w:tcPr>
                  <w:tcW w:w="539"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40.0</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38.9</w:t>
                  </w:r>
                </w:p>
              </w:tc>
              <w:tc>
                <w:tcPr>
                  <w:tcW w:w="540" w:type="dxa"/>
                  <w:tcBorders>
                    <w:top w:val="single" w:color="000000" w:sz="2" w:space="0"/>
                    <w:left w:val="single" w:color="000000" w:sz="2" w:space="0"/>
                    <w:bottom w:val="single" w:color="000000" w:sz="2" w:space="0"/>
                    <w:right w:val="single" w:color="000000" w:sz="2" w:space="0"/>
                  </w:tcBorders>
                  <w:vAlign w:val="center"/>
                </w:tcPr>
                <w:p>
                  <w:pPr>
                    <w:pStyle w:val="28"/>
                    <w:bidi w:val="0"/>
                    <w:rPr>
                      <w:rFonts w:hint="default"/>
                      <w:color w:val="auto"/>
                    </w:rPr>
                  </w:pPr>
                  <w:r>
                    <w:rPr>
                      <w:rFonts w:hint="default"/>
                      <w:color w:val="auto"/>
                    </w:rPr>
                    <w:t>38.4</w:t>
                  </w:r>
                </w:p>
              </w:tc>
              <w:tc>
                <w:tcPr>
                  <w:tcW w:w="540" w:type="dxa"/>
                  <w:tcBorders>
                    <w:top w:val="single" w:color="000000" w:sz="2" w:space="0"/>
                    <w:left w:val="single" w:color="000000" w:sz="2" w:space="0"/>
                    <w:bottom w:val="single" w:color="000000" w:sz="2" w:space="0"/>
                  </w:tcBorders>
                  <w:vAlign w:val="center"/>
                </w:tcPr>
                <w:p>
                  <w:pPr>
                    <w:pStyle w:val="28"/>
                    <w:bidi w:val="0"/>
                    <w:rPr>
                      <w:rFonts w:hint="default"/>
                      <w:color w:val="auto"/>
                    </w:rPr>
                  </w:pPr>
                  <w:r>
                    <w:rPr>
                      <w:rFonts w:hint="default"/>
                      <w:color w:val="auto"/>
                    </w:rPr>
                    <w:t>37.5</w:t>
                  </w:r>
                </w:p>
              </w:tc>
            </w:tr>
            <w:tr>
              <w:tblPrEx>
                <w:tblLayout w:type="fixed"/>
                <w:tblCellMar>
                  <w:top w:w="0" w:type="dxa"/>
                  <w:left w:w="30" w:type="dxa"/>
                  <w:bottom w:w="0" w:type="dxa"/>
                  <w:right w:w="30" w:type="dxa"/>
                </w:tblCellMar>
              </w:tblPrEx>
              <w:trPr>
                <w:cantSplit/>
                <w:trHeight w:val="397" w:hRule="atLeast"/>
                <w:jc w:val="center"/>
              </w:trPr>
              <w:tc>
                <w:tcPr>
                  <w:tcW w:w="906" w:type="dxa"/>
                  <w:tcBorders>
                    <w:top w:val="single" w:color="auto" w:sz="4" w:space="0"/>
                    <w:bottom w:val="single" w:color="auto" w:sz="12" w:space="0"/>
                    <w:right w:val="single" w:color="000000" w:sz="2" w:space="0"/>
                  </w:tcBorders>
                  <w:vAlign w:val="center"/>
                </w:tcPr>
                <w:p>
                  <w:pPr>
                    <w:pStyle w:val="28"/>
                    <w:bidi w:val="0"/>
                    <w:rPr>
                      <w:rFonts w:hint="default"/>
                      <w:color w:val="auto"/>
                    </w:rPr>
                  </w:pPr>
                  <w:r>
                    <w:rPr>
                      <w:rFonts w:hint="default"/>
                      <w:color w:val="auto"/>
                    </w:rPr>
                    <w:t>装修</w:t>
                  </w:r>
                </w:p>
              </w:tc>
              <w:tc>
                <w:tcPr>
                  <w:tcW w:w="906"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82.8</w:t>
                  </w:r>
                </w:p>
              </w:tc>
              <w:tc>
                <w:tcPr>
                  <w:tcW w:w="474"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62.8</w:t>
                  </w:r>
                </w:p>
              </w:tc>
              <w:tc>
                <w:tcPr>
                  <w:tcW w:w="474"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59.3</w:t>
                  </w:r>
                </w:p>
              </w:tc>
              <w:tc>
                <w:tcPr>
                  <w:tcW w:w="477"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56.8</w:t>
                  </w:r>
                </w:p>
              </w:tc>
              <w:tc>
                <w:tcPr>
                  <w:tcW w:w="474"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53.3</w:t>
                  </w:r>
                </w:p>
              </w:tc>
              <w:tc>
                <w:tcPr>
                  <w:tcW w:w="474"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49.7</w:t>
                  </w:r>
                </w:p>
              </w:tc>
              <w:tc>
                <w:tcPr>
                  <w:tcW w:w="477"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47.2</w:t>
                  </w:r>
                </w:p>
              </w:tc>
              <w:tc>
                <w:tcPr>
                  <w:tcW w:w="525"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45.9</w:t>
                  </w:r>
                </w:p>
              </w:tc>
              <w:tc>
                <w:tcPr>
                  <w:tcW w:w="585"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42.8</w:t>
                  </w:r>
                </w:p>
              </w:tc>
              <w:tc>
                <w:tcPr>
                  <w:tcW w:w="539"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39.3</w:t>
                  </w:r>
                </w:p>
              </w:tc>
              <w:tc>
                <w:tcPr>
                  <w:tcW w:w="540"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38.2</w:t>
                  </w:r>
                </w:p>
              </w:tc>
              <w:tc>
                <w:tcPr>
                  <w:tcW w:w="540" w:type="dxa"/>
                  <w:tcBorders>
                    <w:top w:val="single" w:color="000000" w:sz="2" w:space="0"/>
                    <w:left w:val="single" w:color="000000" w:sz="2" w:space="0"/>
                    <w:bottom w:val="single" w:color="auto" w:sz="12" w:space="0"/>
                    <w:right w:val="single" w:color="000000" w:sz="2" w:space="0"/>
                  </w:tcBorders>
                  <w:vAlign w:val="center"/>
                </w:tcPr>
                <w:p>
                  <w:pPr>
                    <w:pStyle w:val="28"/>
                    <w:bidi w:val="0"/>
                    <w:rPr>
                      <w:rFonts w:hint="default"/>
                      <w:color w:val="auto"/>
                    </w:rPr>
                  </w:pPr>
                  <w:r>
                    <w:rPr>
                      <w:rFonts w:hint="default"/>
                      <w:color w:val="auto"/>
                    </w:rPr>
                    <w:t>37.7</w:t>
                  </w:r>
                </w:p>
              </w:tc>
              <w:tc>
                <w:tcPr>
                  <w:tcW w:w="540" w:type="dxa"/>
                  <w:tcBorders>
                    <w:top w:val="single" w:color="000000" w:sz="2" w:space="0"/>
                    <w:left w:val="single" w:color="000000" w:sz="2" w:space="0"/>
                    <w:bottom w:val="single" w:color="auto" w:sz="12" w:space="0"/>
                  </w:tcBorders>
                  <w:vAlign w:val="center"/>
                </w:tcPr>
                <w:p>
                  <w:pPr>
                    <w:pStyle w:val="28"/>
                    <w:bidi w:val="0"/>
                    <w:rPr>
                      <w:rFonts w:hint="default"/>
                      <w:color w:val="auto"/>
                    </w:rPr>
                  </w:pPr>
                  <w:r>
                    <w:rPr>
                      <w:rFonts w:hint="default"/>
                      <w:color w:val="auto"/>
                    </w:rPr>
                    <w:t>36.8</w:t>
                  </w:r>
                </w:p>
              </w:tc>
            </w:tr>
          </w:tbl>
          <w:p>
            <w:pPr>
              <w:bidi w:val="0"/>
              <w:rPr>
                <w:rFonts w:hint="default"/>
                <w:color w:val="auto"/>
              </w:rPr>
            </w:pPr>
            <w:r>
              <w:rPr>
                <w:rFonts w:hint="default"/>
                <w:color w:val="auto"/>
              </w:rPr>
              <w:t>施工机械的噪声由于噪声级较高，在空旷地带传播距离很远，在不同施工阶段，施工场界昼间噪声会出现不同程度的超标情况。本项目施工期场界声环境</w:t>
            </w:r>
            <w:r>
              <w:rPr>
                <w:rFonts w:hint="eastAsia"/>
                <w:color w:val="auto"/>
                <w:lang w:eastAsia="zh-CN"/>
              </w:rPr>
              <w:t>不可避免地受到</w:t>
            </w:r>
            <w:r>
              <w:rPr>
                <w:rFonts w:hint="default"/>
                <w:color w:val="auto"/>
              </w:rPr>
              <w:t>施工噪声影响，昼间超标主要出现在土石方阶段，超标值为3.2dB(A)。除了土石方阶段和装修昼间噪声值超标外，其余各施工阶段的昼间噪声值均可达到《建筑施工场界环境噪声排放标准》</w:t>
            </w:r>
            <w:r>
              <w:rPr>
                <w:rFonts w:hint="default"/>
                <w:color w:val="auto"/>
                <w:lang w:val="en-US" w:eastAsia="zh-CN"/>
              </w:rPr>
              <w:t>(</w:t>
            </w:r>
            <w:r>
              <w:rPr>
                <w:rFonts w:hint="default"/>
                <w:color w:val="auto"/>
              </w:rPr>
              <w:t>GB12523-2011</w:t>
            </w:r>
            <w:r>
              <w:rPr>
                <w:rFonts w:hint="default"/>
                <w:color w:val="auto"/>
                <w:lang w:val="en-US" w:eastAsia="zh-CN"/>
              </w:rPr>
              <w:t>)</w:t>
            </w:r>
            <w:r>
              <w:rPr>
                <w:rFonts w:hint="default"/>
                <w:color w:val="auto"/>
              </w:rPr>
              <w:t>，即昼间≤70dB(A)。</w:t>
            </w:r>
          </w:p>
          <w:p>
            <w:pPr>
              <w:bidi w:val="0"/>
              <w:rPr>
                <w:color w:val="auto"/>
              </w:rPr>
            </w:pPr>
            <w:r>
              <w:rPr>
                <w:color w:val="auto"/>
              </w:rPr>
              <w:t>为了减轻施工噪声对周围环境的影响，建议采取以下措施：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（1）噪声源控制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①施工单位必须选用符合国家有关标准的施工机具，尽可能引进低噪声设备。空压机等噪声值较高的施工机械尽量设置在室内或有屏蔽的范围作业。对流动性较大的空气压缩机和风机选用消声器等</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②加强设备的维护和保养，保持机械润滑，降低运行噪声；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③振动较大的机械设备应使用减振机座降低噪声；</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④使用的车辆尽量选用低噪声车辆；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⑤加强道路的养护和车辆的维护保养，降低噪声源；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⑥</w:t>
            </w:r>
            <w:r>
              <w:rPr>
                <w:rFonts w:hint="eastAsia" w:ascii="Times New Roman" w:hAnsi="Times New Roman" w:eastAsia="宋体"/>
                <w:color w:val="auto"/>
                <w:sz w:val="24"/>
                <w:szCs w:val="24"/>
                <w:lang w:val="en-US" w:eastAsia="zh-CN"/>
              </w:rPr>
              <w:t>加强对运输车辆的管理，尽量压缩工区机动车辆数量和行车密度，控制车辆鸣笛，</w:t>
            </w:r>
            <w:r>
              <w:rPr>
                <w:rFonts w:hint="eastAsia" w:ascii="Times New Roman" w:hAnsi="Times New Roman" w:eastAsia="宋体"/>
                <w:color w:val="auto"/>
                <w:sz w:val="24"/>
                <w:szCs w:val="24"/>
              </w:rPr>
              <w:t>限制工区内车辆时速在20km以内，并禁止施工车辆大声鸣笛</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⑦提倡文明施工，对施工人员进行文明施工培训，人为的施工噪声应有降噪措施和管理制度，并进行严格控制；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⑧选择先进施工工艺，项目施工应针对性地采取先进成熟、低噪声施工工艺，不采用《房屋建筑和市政基础设施工程危及生产安全施工工艺、设备和材料淘汰目录》中淘汰的施工工艺、设备、材料。</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（2）传播途径控制</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rPr>
            </w:pPr>
            <w:r>
              <w:rPr>
                <w:rFonts w:hint="eastAsia" w:ascii="Times New Roman" w:hAnsi="Times New Roman" w:eastAsia="宋体"/>
                <w:color w:val="auto"/>
                <w:sz w:val="24"/>
                <w:szCs w:val="24"/>
              </w:rPr>
              <w:t>①施工场地周边可建立隔声屏障；</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olor w:val="auto"/>
                <w:sz w:val="24"/>
                <w:szCs w:val="24"/>
                <w:lang w:eastAsia="zh-CN"/>
              </w:rPr>
            </w:pPr>
            <w:r>
              <w:rPr>
                <w:rFonts w:hint="eastAsia" w:ascii="Times New Roman" w:hAnsi="Times New Roman" w:eastAsia="宋体"/>
                <w:color w:val="auto"/>
                <w:sz w:val="24"/>
                <w:szCs w:val="24"/>
              </w:rPr>
              <w:t>②空压机等</w:t>
            </w:r>
            <w:r>
              <w:rPr>
                <w:rFonts w:hint="eastAsia" w:ascii="Times New Roman" w:hAnsi="Times New Roman" w:eastAsia="宋体"/>
                <w:color w:val="auto"/>
                <w:sz w:val="24"/>
                <w:szCs w:val="24"/>
                <w:lang w:eastAsia="zh-CN"/>
              </w:rPr>
              <w:t>设备</w:t>
            </w:r>
            <w:r>
              <w:rPr>
                <w:rFonts w:hint="eastAsia" w:ascii="Times New Roman" w:hAnsi="Times New Roman" w:eastAsia="宋体"/>
                <w:color w:val="auto"/>
                <w:sz w:val="24"/>
                <w:szCs w:val="24"/>
              </w:rPr>
              <w:t>尽可能用多孔性吸声材料建立隔声屏障、隔声罩和隔声间</w:t>
            </w:r>
            <w:r>
              <w:rPr>
                <w:rFonts w:hint="eastAsia" w:ascii="Times New Roman" w:hAnsi="Times New Roman" w:eastAsia="宋体"/>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hint="eastAsia" w:ascii="Times New Roman" w:hAnsi="Times New Roman" w:eastAsia="宋体"/>
                <w:color w:val="auto"/>
                <w:sz w:val="24"/>
                <w:szCs w:val="24"/>
              </w:rPr>
              <w:t>③高噪声环境的施工人员应佩戴防噪声耳塞、耳罩或防噪声头盔。</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（3）敏感点防护措施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olor w:val="auto"/>
                <w:sz w:val="24"/>
                <w:szCs w:val="24"/>
                <w:shd w:val="clear" w:color="auto" w:fill="FFFFFF"/>
                <w:lang w:eastAsia="zh-CN"/>
              </w:rPr>
              <w:t>本项目周边敏感目标主要为西侧约</w:t>
            </w:r>
            <w:r>
              <w:rPr>
                <w:rFonts w:hint="eastAsia"/>
                <w:color w:val="auto"/>
                <w:sz w:val="24"/>
                <w:szCs w:val="24"/>
                <w:shd w:val="clear" w:color="auto" w:fill="FFFFFF"/>
                <w:lang w:val="en-US" w:eastAsia="zh-CN"/>
              </w:rPr>
              <w:t>260</w:t>
            </w:r>
            <w:r>
              <w:rPr>
                <w:rFonts w:hint="eastAsia" w:ascii="Times New Roman" w:hAnsi="Times New Roman" w:eastAsia="宋体"/>
                <w:color w:val="auto"/>
                <w:sz w:val="24"/>
                <w:szCs w:val="24"/>
                <w:shd w:val="clear" w:color="auto" w:fill="FFFFFF"/>
                <w:lang w:val="en-US" w:eastAsia="zh-CN"/>
              </w:rPr>
              <w:t>m的</w:t>
            </w:r>
            <w:r>
              <w:rPr>
                <w:rFonts w:hint="eastAsia"/>
                <w:color w:val="auto"/>
                <w:sz w:val="24"/>
                <w:szCs w:val="24"/>
                <w:shd w:val="clear" w:color="auto" w:fill="FFFFFF"/>
                <w:lang w:val="en-US" w:eastAsia="zh-CN"/>
              </w:rPr>
              <w:t>石溪村</w:t>
            </w:r>
            <w:r>
              <w:rPr>
                <w:rFonts w:hint="eastAsia" w:ascii="Times New Roman" w:hAnsi="Times New Roman" w:eastAsia="宋体"/>
                <w:color w:val="auto"/>
                <w:sz w:val="24"/>
                <w:szCs w:val="24"/>
                <w:shd w:val="clear" w:color="auto" w:fill="FFFFFF"/>
                <w:lang w:val="en-US" w:eastAsia="zh-CN"/>
              </w:rPr>
              <w:t>，距离较远，因此主要为运输过程中的噪声影响，可通过合理安排施工运输时间，</w:t>
            </w:r>
            <w:r>
              <w:rPr>
                <w:rFonts w:hint="eastAsia" w:ascii="Times New Roman" w:hAnsi="Times New Roman" w:eastAsia="宋体"/>
                <w:color w:val="auto"/>
                <w:sz w:val="24"/>
                <w:szCs w:val="24"/>
              </w:rPr>
              <w:t>材料运输车辆在经过道路沿线的</w:t>
            </w:r>
            <w:r>
              <w:rPr>
                <w:rFonts w:hint="eastAsia" w:ascii="Times New Roman" w:hAnsi="Times New Roman" w:eastAsia="宋体"/>
                <w:color w:val="auto"/>
                <w:sz w:val="24"/>
                <w:szCs w:val="24"/>
                <w:lang w:eastAsia="zh-CN"/>
              </w:rPr>
              <w:t>居民点</w:t>
            </w:r>
            <w:r>
              <w:rPr>
                <w:rFonts w:hint="eastAsia" w:ascii="Times New Roman" w:hAnsi="Times New Roman" w:eastAsia="宋体"/>
                <w:color w:val="auto"/>
                <w:sz w:val="24"/>
                <w:szCs w:val="24"/>
              </w:rPr>
              <w:t>时，速度不应超过40km/h；运输车辆行驶时，不得鸣笛；加强运输车辆管理，禁止运输车辆随意空载运行</w:t>
            </w:r>
            <w:r>
              <w:rPr>
                <w:rFonts w:hint="eastAsia" w:ascii="Times New Roman" w:hAnsi="Times New Roman" w:eastAsia="宋体"/>
                <w:color w:val="auto"/>
                <w:sz w:val="24"/>
                <w:szCs w:val="24"/>
                <w:lang w:eastAsia="zh-CN"/>
              </w:rPr>
              <w:t>，以</w:t>
            </w:r>
            <w:r>
              <w:rPr>
                <w:rFonts w:hint="eastAsia" w:ascii="Times New Roman" w:hAnsi="Times New Roman" w:eastAsia="宋体"/>
                <w:color w:val="auto"/>
                <w:sz w:val="24"/>
                <w:szCs w:val="24"/>
                <w:shd w:val="clear" w:color="auto" w:fill="FFFFFF"/>
                <w:lang w:val="en-US" w:eastAsia="zh-CN"/>
              </w:rPr>
              <w:t>减少对敏感点的噪声影响。</w:t>
            </w:r>
          </w:p>
          <w:bookmarkEnd w:id="31"/>
          <w:bookmarkEnd w:id="32"/>
          <w:p>
            <w:pPr>
              <w:pStyle w:val="4"/>
              <w:bidi w:val="0"/>
              <w:rPr>
                <w:rFonts w:hint="default"/>
                <w:color w:val="auto"/>
                <w:lang w:val="en-US" w:eastAsia="zh-CN"/>
              </w:rPr>
            </w:pPr>
            <w:r>
              <w:rPr>
                <w:rFonts w:hint="eastAsia"/>
                <w:color w:val="auto"/>
                <w:lang w:val="en-US" w:eastAsia="zh-CN"/>
              </w:rPr>
              <w:t>4.1.4施工期固废环境影响分析及保护措施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施工垃圾主要来自施工所产生的建筑垃圾和施工队伍生活产生的生活垃圾。</w:t>
            </w:r>
            <w:r>
              <w:rPr>
                <w:rFonts w:hint="eastAsia" w:ascii="Times New Roman" w:hAnsi="Times New Roman" w:eastAsia="宋体"/>
                <w:color w:val="auto"/>
                <w:sz w:val="24"/>
                <w:szCs w:val="24"/>
              </w:rPr>
              <w:t>建筑垃圾如：石子、混凝土块、砖头、石块、石屑、黄沙、石灰和废木料等，要严格按照相关部门规定处理；施工人员生活垃圾要实行袋装化，由环卫部门统一处理。</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auto"/>
                <w:sz w:val="24"/>
                <w:szCs w:val="24"/>
              </w:rPr>
            </w:pPr>
            <w:r>
              <w:rPr>
                <w:rFonts w:ascii="Times New Roman" w:hAnsi="Times New Roman" w:eastAsia="宋体"/>
                <w:color w:val="auto"/>
                <w:sz w:val="24"/>
                <w:szCs w:val="24"/>
              </w:rPr>
              <w:t>为防止建设项目在建设期间发生上述环境污染的现象，使建设项目在建设期间对周围环境的影响尽可能小，建议采取以下的污染防治措施：</w:t>
            </w:r>
          </w:p>
          <w:p>
            <w:pPr>
              <w:ind w:firstLine="48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）加强施工期管理，建造沉淀池、隔油池等污水临时处理设施，砂浆和石灰浆等废液宜集中处理，干燥后与固体废弃物一起处置；</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工程开挖土石方临时堆砌时应选择在项目周边空地，工程结束后及时进行回填并压实；</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对建筑垃圾应边施工边清除，施工建筑垃圾应分类收集，尽可能回收再利用。</w:t>
            </w:r>
            <w:r>
              <w:rPr>
                <w:rFonts w:hint="eastAsia" w:ascii="Times New Roman" w:hAnsi="Times New Roman" w:eastAsia="宋体" w:cs="Times New Roman"/>
                <w:color w:val="auto"/>
                <w:sz w:val="24"/>
                <w:szCs w:val="24"/>
                <w:lang w:eastAsia="zh-CN"/>
              </w:rPr>
              <w:t>对于不可利用的建筑垃圾，</w:t>
            </w:r>
            <w:r>
              <w:rPr>
                <w:rFonts w:hint="default" w:ascii="Times New Roman" w:hAnsi="Times New Roman" w:eastAsia="宋体" w:cs="Times New Roman"/>
                <w:color w:val="auto"/>
                <w:sz w:val="24"/>
                <w:szCs w:val="24"/>
                <w:lang w:eastAsia="zh-CN"/>
              </w:rPr>
              <w:t>运输至指定堆存点集中管理；</w:t>
            </w:r>
          </w:p>
          <w:p>
            <w:pPr>
              <w:ind w:firstLine="48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加强施工人员的管理，严禁在施工场地及周边随意丢弃垃圾，施工结束后应对施工场地进行清理</w:t>
            </w:r>
            <w:r>
              <w:rPr>
                <w:rFonts w:hint="eastAsia" w:ascii="Times New Roman" w:hAnsi="Times New Roman" w:eastAsia="宋体" w:cs="Times New Roman"/>
                <w:color w:val="auto"/>
                <w:sz w:val="24"/>
                <w:szCs w:val="24"/>
                <w:lang w:eastAsia="zh-CN"/>
              </w:rPr>
              <w:t>；</w:t>
            </w:r>
          </w:p>
          <w:p>
            <w:pPr>
              <w:ind w:firstLine="48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）施工过程中产生的废油桶，废机油以及装修阶段产生的油漆废渣、废油漆桶等应分类单独收集贮存危险废物贮存间，委托有资质单位统一处置。</w:t>
            </w:r>
          </w:p>
          <w:p>
            <w:pPr>
              <w:pStyle w:val="4"/>
              <w:bidi w:val="0"/>
              <w:rPr>
                <w:rFonts w:hint="default"/>
                <w:color w:val="auto"/>
                <w:lang w:val="en-US" w:eastAsia="zh-CN"/>
              </w:rPr>
            </w:pPr>
            <w:r>
              <w:rPr>
                <w:rFonts w:hint="eastAsia"/>
                <w:color w:val="auto"/>
                <w:lang w:val="en-US" w:eastAsia="zh-CN"/>
              </w:rPr>
              <w:t>4.1.5施工期</w:t>
            </w:r>
            <w:r>
              <w:rPr>
                <w:rFonts w:hint="default"/>
                <w:color w:val="auto"/>
                <w:lang w:val="en-US" w:eastAsia="zh-CN"/>
              </w:rPr>
              <w:t>生态环境影响分析</w:t>
            </w:r>
            <w:r>
              <w:rPr>
                <w:rFonts w:hint="eastAsia"/>
                <w:color w:val="auto"/>
                <w:lang w:val="en-US" w:eastAsia="zh-CN"/>
              </w:rPr>
              <w:t>及保护措施</w:t>
            </w:r>
          </w:p>
          <w:p>
            <w:pPr>
              <w:bidi w:val="0"/>
              <w:rPr>
                <w:rFonts w:hint="default"/>
                <w:color w:val="auto"/>
              </w:rPr>
            </w:pPr>
            <w:r>
              <w:rPr>
                <w:rFonts w:hint="default"/>
                <w:color w:val="auto"/>
              </w:rPr>
              <w:t>本项目对生态环境的影响主要体现在工程永久占地、施工活动及工程运行带来的影响。</w:t>
            </w:r>
          </w:p>
          <w:p>
            <w:pPr>
              <w:bidi w:val="0"/>
              <w:rPr>
                <w:color w:val="auto"/>
              </w:rPr>
            </w:pPr>
            <w:r>
              <w:rPr>
                <w:rFonts w:hint="default"/>
                <w:color w:val="auto"/>
              </w:rPr>
              <w:t>工程</w:t>
            </w:r>
            <w:r>
              <w:rPr>
                <w:rFonts w:hint="eastAsia"/>
                <w:color w:val="auto"/>
                <w:lang w:eastAsia="zh-CN"/>
              </w:rPr>
              <w:t>在现有工业场地内进行，不涉及临时占地，目前场地上仅少量的杂草，生态影响主要是</w:t>
            </w:r>
            <w:r>
              <w:rPr>
                <w:rFonts w:hint="default"/>
                <w:color w:val="auto"/>
              </w:rPr>
              <w:t>由于</w:t>
            </w:r>
            <w:r>
              <w:rPr>
                <w:rFonts w:hint="eastAsia"/>
                <w:color w:val="auto"/>
                <w:lang w:eastAsia="zh-CN"/>
              </w:rPr>
              <w:t>平整硬化、</w:t>
            </w:r>
            <w:r>
              <w:rPr>
                <w:rFonts w:hint="default"/>
                <w:color w:val="auto"/>
              </w:rPr>
              <w:t>临时堆放等活动将扰动、损坏地貌，导致涉及区域的水土流失，其形式以水力侵蚀为主。</w:t>
            </w:r>
            <w:r>
              <w:rPr>
                <w:rFonts w:hint="eastAsia"/>
                <w:color w:val="auto"/>
                <w:lang w:eastAsia="zh-CN"/>
              </w:rPr>
              <w:t>根据建设单位提供资料，项目需开挖土石方量小</w:t>
            </w:r>
            <w:r>
              <w:rPr>
                <w:rFonts w:hint="eastAsia"/>
                <w:color w:val="auto"/>
                <w:lang w:val="en-US" w:eastAsia="zh-CN"/>
              </w:rPr>
              <w:t>，就地在场地内平整回填，无弃方。</w:t>
            </w:r>
            <w:r>
              <w:rPr>
                <w:color w:val="auto"/>
              </w:rPr>
              <w:t>为</w:t>
            </w:r>
            <w:r>
              <w:rPr>
                <w:rFonts w:hint="eastAsia"/>
                <w:color w:val="auto"/>
                <w:lang w:val="en-US" w:eastAsia="zh-CN"/>
              </w:rPr>
              <w:t>降低项目对生态环境的影响，</w:t>
            </w:r>
            <w:r>
              <w:rPr>
                <w:color w:val="auto"/>
              </w:rPr>
              <w:t>建议采取以下的污染防治措施：</w:t>
            </w:r>
          </w:p>
          <w:p>
            <w:pPr>
              <w:bidi w:val="0"/>
              <w:rPr>
                <w:rFonts w:hint="default"/>
                <w:color w:val="auto"/>
              </w:rPr>
            </w:pPr>
            <w:r>
              <w:rPr>
                <w:rFonts w:hint="eastAsia"/>
                <w:color w:val="auto"/>
                <w:lang w:val="en-US" w:eastAsia="zh-CN"/>
              </w:rPr>
              <w:t>（1）</w:t>
            </w:r>
            <w:r>
              <w:rPr>
                <w:rFonts w:hint="default"/>
                <w:color w:val="auto"/>
              </w:rPr>
              <w:t>合理施工布置规划，精心组织施工管理，严格控制占地面积，将施工区域控制在最小范围内；</w:t>
            </w:r>
          </w:p>
          <w:p>
            <w:pPr>
              <w:bidi w:val="0"/>
              <w:rPr>
                <w:rFonts w:hint="default"/>
                <w:color w:val="auto"/>
              </w:rPr>
            </w:pPr>
            <w:r>
              <w:rPr>
                <w:rFonts w:hint="eastAsia"/>
                <w:color w:val="auto"/>
                <w:lang w:val="en-US" w:eastAsia="zh-CN"/>
              </w:rPr>
              <w:t>（2）</w:t>
            </w:r>
            <w:r>
              <w:rPr>
                <w:rFonts w:hint="default"/>
                <w:color w:val="auto"/>
              </w:rPr>
              <w:t>为减少水土流失，</w:t>
            </w:r>
            <w:r>
              <w:rPr>
                <w:rFonts w:hint="eastAsia"/>
                <w:color w:val="auto"/>
                <w:lang w:eastAsia="zh-CN"/>
              </w:rPr>
              <w:t>应</w:t>
            </w:r>
            <w:r>
              <w:rPr>
                <w:rFonts w:hint="default"/>
                <w:color w:val="auto"/>
              </w:rPr>
              <w:t>对施工中开挖裸露地表进行覆盖，防止水土流失和地质灾害；</w:t>
            </w:r>
          </w:p>
          <w:p>
            <w:pPr>
              <w:bidi w:val="0"/>
              <w:rPr>
                <w:rFonts w:hint="default"/>
                <w:color w:val="auto"/>
              </w:rPr>
            </w:pPr>
            <w:r>
              <w:rPr>
                <w:rFonts w:hint="eastAsia"/>
                <w:color w:val="auto"/>
                <w:lang w:val="en-US" w:eastAsia="zh-CN"/>
              </w:rPr>
              <w:t>（3）</w:t>
            </w:r>
            <w:r>
              <w:rPr>
                <w:rFonts w:hint="default"/>
                <w:color w:val="auto"/>
              </w:rPr>
              <w:t>施工完毕后及时进行场地清理平整以及</w:t>
            </w:r>
            <w:r>
              <w:rPr>
                <w:rFonts w:hint="eastAsia"/>
                <w:color w:val="auto"/>
                <w:lang w:eastAsia="zh-CN"/>
              </w:rPr>
              <w:t>地表</w:t>
            </w:r>
            <w:r>
              <w:rPr>
                <w:rFonts w:hint="default"/>
                <w:color w:val="auto"/>
              </w:rPr>
              <w:t>恢复，从而防止或减轻水土流失；</w:t>
            </w:r>
          </w:p>
          <w:p>
            <w:pPr>
              <w:bidi w:val="0"/>
              <w:rPr>
                <w:rFonts w:hint="default"/>
                <w:color w:val="auto"/>
              </w:rPr>
            </w:pPr>
            <w:r>
              <w:rPr>
                <w:rFonts w:hint="eastAsia"/>
                <w:color w:val="auto"/>
                <w:lang w:val="en-US" w:eastAsia="zh-CN"/>
              </w:rPr>
              <w:t>（4）</w:t>
            </w:r>
            <w:r>
              <w:rPr>
                <w:rFonts w:hint="default"/>
                <w:color w:val="auto"/>
              </w:rPr>
              <w:t>施工开挖土方、装卸运输土方等工序，应尽量避开降雨天气；</w:t>
            </w:r>
          </w:p>
          <w:p>
            <w:pPr>
              <w:bidi w:val="0"/>
              <w:rPr>
                <w:rFonts w:hint="default"/>
                <w:color w:val="auto"/>
              </w:rPr>
            </w:pPr>
            <w:r>
              <w:rPr>
                <w:rFonts w:hint="eastAsia"/>
                <w:color w:val="auto"/>
                <w:lang w:val="en-US" w:eastAsia="zh-CN"/>
              </w:rPr>
              <w:t>（5）</w:t>
            </w:r>
            <w:r>
              <w:rPr>
                <w:rFonts w:hint="default"/>
                <w:color w:val="auto"/>
              </w:rPr>
              <w:t>结合地形合理规划土方堆置场地，周围设围挡物，结合实际情况适时采取专门的排水措施(如在场区外设置截流沟等)；</w:t>
            </w:r>
          </w:p>
          <w:p>
            <w:pPr>
              <w:bidi w:val="0"/>
              <w:rPr>
                <w:rFonts w:hint="default" w:ascii="Times New Roman" w:hAnsi="Times New Roman" w:eastAsia="宋体" w:cs="Times New Roman"/>
                <w:color w:val="auto"/>
                <w:highlight w:val="none"/>
                <w:u w:val="none"/>
                <w:lang w:val="en-US" w:eastAsia="zh-CN"/>
              </w:rPr>
            </w:pPr>
            <w:r>
              <w:rPr>
                <w:rFonts w:hint="eastAsia"/>
                <w:color w:val="auto"/>
                <w:lang w:val="en-US" w:eastAsia="zh-CN"/>
              </w:rPr>
              <w:t>（6）</w:t>
            </w:r>
            <w:r>
              <w:rPr>
                <w:rFonts w:hint="default"/>
                <w:color w:val="auto"/>
                <w:lang w:val="en-US" w:eastAsia="zh-CN"/>
              </w:rPr>
              <w:t>工程开挖造成的取土坑和回填好的坑待工序结束后，须及时压实整平，原土覆盖</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tcMar>
              <w:left w:w="28" w:type="dxa"/>
              <w:right w:w="28" w:type="dxa"/>
            </w:tcMar>
            <w:vAlign w:val="center"/>
          </w:tcPr>
          <w:p>
            <w:pPr>
              <w:pStyle w:val="28"/>
              <w:bidi w:val="0"/>
              <w:rPr>
                <w:rFonts w:hint="default"/>
                <w:color w:val="auto"/>
                <w:sz w:val="24"/>
                <w:szCs w:val="32"/>
              </w:rPr>
            </w:pPr>
            <w:r>
              <w:rPr>
                <w:rFonts w:hint="default"/>
                <w:color w:val="auto"/>
                <w:sz w:val="24"/>
                <w:szCs w:val="32"/>
              </w:rPr>
              <w:t>运营</w:t>
            </w:r>
          </w:p>
          <w:p>
            <w:pPr>
              <w:pStyle w:val="28"/>
              <w:bidi w:val="0"/>
              <w:rPr>
                <w:rFonts w:hint="default"/>
                <w:color w:val="auto"/>
                <w:sz w:val="24"/>
                <w:szCs w:val="32"/>
              </w:rPr>
            </w:pPr>
            <w:r>
              <w:rPr>
                <w:rFonts w:hint="default"/>
                <w:color w:val="auto"/>
                <w:sz w:val="24"/>
                <w:szCs w:val="32"/>
              </w:rPr>
              <w:t>期环</w:t>
            </w:r>
          </w:p>
          <w:p>
            <w:pPr>
              <w:pStyle w:val="28"/>
              <w:bidi w:val="0"/>
              <w:rPr>
                <w:rFonts w:hint="default"/>
                <w:color w:val="auto"/>
                <w:sz w:val="24"/>
                <w:szCs w:val="32"/>
              </w:rPr>
            </w:pPr>
            <w:r>
              <w:rPr>
                <w:rFonts w:hint="default"/>
                <w:color w:val="auto"/>
                <w:sz w:val="24"/>
                <w:szCs w:val="32"/>
              </w:rPr>
              <w:t>境影</w:t>
            </w:r>
          </w:p>
          <w:p>
            <w:pPr>
              <w:pStyle w:val="28"/>
              <w:bidi w:val="0"/>
              <w:rPr>
                <w:rFonts w:hint="default"/>
                <w:color w:val="auto"/>
                <w:sz w:val="24"/>
                <w:szCs w:val="32"/>
              </w:rPr>
            </w:pPr>
            <w:r>
              <w:rPr>
                <w:rFonts w:hint="default"/>
                <w:color w:val="auto"/>
                <w:sz w:val="24"/>
                <w:szCs w:val="32"/>
              </w:rPr>
              <w:t>响和</w:t>
            </w:r>
          </w:p>
          <w:p>
            <w:pPr>
              <w:pStyle w:val="28"/>
              <w:bidi w:val="0"/>
              <w:rPr>
                <w:rFonts w:hint="default"/>
                <w:color w:val="auto"/>
                <w:sz w:val="24"/>
                <w:szCs w:val="32"/>
              </w:rPr>
            </w:pPr>
            <w:r>
              <w:rPr>
                <w:rFonts w:hint="default"/>
                <w:color w:val="auto"/>
                <w:sz w:val="24"/>
                <w:szCs w:val="32"/>
              </w:rPr>
              <w:t>保护</w:t>
            </w:r>
          </w:p>
          <w:p>
            <w:pPr>
              <w:pStyle w:val="28"/>
              <w:bidi w:val="0"/>
              <w:rPr>
                <w:rFonts w:hint="default" w:ascii="Times New Roman" w:hAnsi="Times New Roman" w:eastAsia="宋体" w:cs="Times New Roman"/>
                <w:color w:val="auto"/>
                <w:kern w:val="2"/>
                <w:szCs w:val="21"/>
              </w:rPr>
            </w:pPr>
            <w:r>
              <w:rPr>
                <w:rFonts w:hint="default"/>
                <w:color w:val="auto"/>
                <w:sz w:val="24"/>
                <w:szCs w:val="32"/>
              </w:rPr>
              <w:t>措施</w:t>
            </w:r>
          </w:p>
        </w:tc>
        <w:tc>
          <w:tcPr>
            <w:tcW w:w="8149" w:type="dxa"/>
            <w:vAlign w:val="center"/>
          </w:tcPr>
          <w:p>
            <w:pPr>
              <w:pStyle w:val="3"/>
              <w:bidi w:val="0"/>
              <w:rPr>
                <w:rFonts w:hint="default"/>
                <w:color w:val="auto"/>
              </w:rPr>
            </w:pPr>
            <w:r>
              <w:rPr>
                <w:rFonts w:hint="default"/>
                <w:color w:val="auto"/>
              </w:rPr>
              <w:t>4.</w:t>
            </w:r>
            <w:r>
              <w:rPr>
                <w:rFonts w:hint="eastAsia"/>
                <w:color w:val="auto"/>
                <w:lang w:val="en-US" w:eastAsia="zh-CN"/>
              </w:rPr>
              <w:t>2</w:t>
            </w:r>
            <w:r>
              <w:rPr>
                <w:rFonts w:hint="default"/>
                <w:color w:val="auto"/>
              </w:rPr>
              <w:t>运营期大气环境影响分析和污染防治措施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2</w:t>
            </w:r>
            <w:r>
              <w:rPr>
                <w:rFonts w:hint="default"/>
                <w:color w:val="auto"/>
                <w:lang w:val="en-US" w:eastAsia="zh-CN"/>
              </w:rPr>
              <w:t>.1</w:t>
            </w:r>
            <w:r>
              <w:rPr>
                <w:rFonts w:hint="default"/>
                <w:color w:val="auto"/>
              </w:rPr>
              <w:t>运营期废气源强核算</w:t>
            </w:r>
          </w:p>
          <w:p>
            <w:pPr>
              <w:bidi w:val="0"/>
              <w:rPr>
                <w:rFonts w:hint="eastAsia"/>
                <w:color w:val="auto"/>
                <w:lang w:val="en-US" w:eastAsia="zh-CN"/>
              </w:rPr>
            </w:pPr>
            <w:r>
              <w:rPr>
                <w:rFonts w:hint="eastAsia"/>
                <w:color w:val="auto"/>
                <w:lang w:val="en-US" w:eastAsia="zh-CN"/>
              </w:rPr>
              <w:t>项目运营期产生的废气主要为砂石料装卸及堆场风蚀扬尘、运输车辆扬尘、粉料仓呼吸尘、砂石计量配料粉尘、搅拌粉尘、焊接烟尘。</w:t>
            </w:r>
          </w:p>
          <w:p>
            <w:pPr>
              <w:bidi w:val="0"/>
              <w:rPr>
                <w:rFonts w:hint="default"/>
                <w:color w:val="auto"/>
                <w:lang w:val="en-US" w:eastAsia="zh-CN"/>
              </w:rPr>
            </w:pPr>
            <w:r>
              <w:rPr>
                <w:rFonts w:hint="eastAsia"/>
                <w:color w:val="auto"/>
                <w:lang w:val="en-US" w:eastAsia="zh-CN"/>
              </w:rPr>
              <w:t>本项目废气参照《污染源源强核算技术指南 准则》（HJ884-2018）、《排污许可证申请与核发技术规范 水泥工业》(HJ 847-2017)等相关要求进行。</w:t>
            </w:r>
          </w:p>
          <w:p>
            <w:pPr>
              <w:bidi w:val="0"/>
              <w:rPr>
                <w:rFonts w:hint="default"/>
                <w:b/>
                <w:bCs/>
                <w:color w:val="auto"/>
                <w:lang w:val="en-US" w:eastAsia="zh-CN"/>
              </w:rPr>
            </w:pPr>
            <w:r>
              <w:rPr>
                <w:rFonts w:hint="eastAsia"/>
                <w:b/>
                <w:bCs/>
                <w:color w:val="auto"/>
                <w:lang w:val="en-US" w:eastAsia="zh-CN"/>
              </w:rPr>
              <w:t>（1）外来石方料装卸及堆场风蚀扬尘</w:t>
            </w:r>
          </w:p>
          <w:p>
            <w:pPr>
              <w:bidi w:val="0"/>
              <w:rPr>
                <w:rFonts w:hint="eastAsia"/>
                <w:color w:val="auto"/>
                <w:lang w:eastAsia="zh-CN"/>
              </w:rPr>
            </w:pPr>
            <w:r>
              <w:rPr>
                <w:rFonts w:hint="eastAsia"/>
                <w:color w:val="auto"/>
                <w:lang w:eastAsia="zh-CN"/>
              </w:rPr>
              <w:t>项目</w:t>
            </w:r>
            <w:r>
              <w:rPr>
                <w:rFonts w:hint="eastAsia"/>
                <w:color w:val="auto"/>
                <w:lang w:val="en-US" w:eastAsia="zh-CN"/>
              </w:rPr>
              <w:t>在3#物料库设置一处建筑垃圾回收利用生产线以及各类型号碎石及细砂等物料的堆场，回收原料主要来自项目所在区域及周边各建筑工地地基开挖后的石方，外来石方料经运输车辆运输至3#物料库内，而后经破碎、筛分水洗等工序处理后，依照粒径不同分别堆存</w:t>
            </w:r>
            <w:r>
              <w:rPr>
                <w:rFonts w:hint="eastAsia"/>
                <w:color w:val="auto"/>
                <w:lang w:eastAsia="zh-CN"/>
              </w:rPr>
              <w:t>于</w:t>
            </w:r>
            <w:r>
              <w:rPr>
                <w:rFonts w:hint="eastAsia"/>
                <w:color w:val="auto"/>
                <w:lang w:val="en-US" w:eastAsia="zh-CN"/>
              </w:rPr>
              <w:t>各砂石仓</w:t>
            </w:r>
            <w:r>
              <w:rPr>
                <w:rFonts w:hint="eastAsia"/>
                <w:color w:val="auto"/>
                <w:lang w:eastAsia="zh-CN"/>
              </w:rPr>
              <w:t>内</w:t>
            </w:r>
            <w:r>
              <w:rPr>
                <w:rFonts w:hint="eastAsia"/>
                <w:color w:val="auto"/>
                <w:lang w:val="en-US" w:eastAsia="zh-CN"/>
              </w:rPr>
              <w:t>，再根据生产调度的需求</w:t>
            </w:r>
            <w:r>
              <w:rPr>
                <w:rFonts w:hint="eastAsia"/>
                <w:color w:val="auto"/>
                <w:lang w:eastAsia="zh-CN"/>
              </w:rPr>
              <w:t>，</w:t>
            </w:r>
            <w:r>
              <w:rPr>
                <w:rFonts w:hint="eastAsia"/>
                <w:color w:val="auto"/>
                <w:lang w:val="en-US" w:eastAsia="zh-CN"/>
              </w:rPr>
              <w:t>通过铲车装载送入后续计量配料工序后，由传送带输送至2#搅拌楼使用。</w:t>
            </w:r>
          </w:p>
          <w:p>
            <w:pPr>
              <w:bidi w:val="0"/>
              <w:rPr>
                <w:rFonts w:hint="eastAsia"/>
                <w:color w:val="auto"/>
                <w:lang w:eastAsia="zh-CN"/>
              </w:rPr>
            </w:pPr>
            <w:r>
              <w:rPr>
                <w:rFonts w:hint="eastAsia"/>
                <w:color w:val="auto"/>
                <w:lang w:eastAsia="zh-CN"/>
              </w:rPr>
              <w:t>根据生态环境部发布的《排放源统计调查产排污核算方法和系数手册》（生态环境部公告2021年第24号）中的《固体物料堆存颗粒物产排污核算系数手册》，工业企业固体物料堆存颗粒物包括装卸扬尘和风蚀扬尘，颗粒物产生量核算公式如下：</w:t>
            </w:r>
          </w:p>
          <w:p>
            <w:pPr>
              <w:ind w:left="0" w:leftChars="0" w:firstLine="0" w:firstLineChars="0"/>
              <w:jc w:val="center"/>
              <w:rPr>
                <w:rFonts w:hint="eastAsia" w:ascii="Times New Roman" w:hAnsi="Times New Roman" w:eastAsia="宋体"/>
                <w:color w:val="auto"/>
              </w:rPr>
            </w:pPr>
            <w:r>
              <w:rPr>
                <w:rFonts w:ascii="Times New Roman" w:hAnsi="Times New Roman" w:eastAsia="宋体"/>
                <w:color w:val="auto"/>
              </w:rPr>
              <w:drawing>
                <wp:inline distT="0" distB="0" distL="114300" distR="114300">
                  <wp:extent cx="3726815" cy="323850"/>
                  <wp:effectExtent l="0" t="0" r="698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726815" cy="323850"/>
                          </a:xfrm>
                          <a:prstGeom prst="rect">
                            <a:avLst/>
                          </a:prstGeom>
                          <a:noFill/>
                          <a:ln>
                            <a:noFill/>
                          </a:ln>
                        </pic:spPr>
                      </pic:pic>
                    </a:graphicData>
                  </a:graphic>
                </wp:inline>
              </w:drawing>
            </w:r>
          </w:p>
          <w:p>
            <w:pPr>
              <w:bidi w:val="0"/>
              <w:ind w:left="0" w:leftChars="0" w:firstLine="0" w:firstLineChars="0"/>
              <w:rPr>
                <w:rFonts w:hint="eastAsia"/>
                <w:color w:val="auto"/>
                <w:lang w:eastAsia="zh-CN"/>
              </w:rPr>
            </w:pPr>
            <w:r>
              <w:rPr>
                <w:rFonts w:hint="eastAsia"/>
                <w:color w:val="auto"/>
                <w:lang w:eastAsia="zh-CN"/>
              </w:rPr>
              <w:t>式中：P 指颗粒物产生量（单位：吨）；</w:t>
            </w:r>
          </w:p>
          <w:p>
            <w:pPr>
              <w:bidi w:val="0"/>
              <w:ind w:firstLine="720" w:firstLineChars="300"/>
              <w:rPr>
                <w:rFonts w:hint="eastAsia"/>
                <w:color w:val="auto"/>
                <w:lang w:eastAsia="zh-CN"/>
              </w:rPr>
            </w:pPr>
            <w:r>
              <w:rPr>
                <w:rFonts w:hint="eastAsia"/>
                <w:color w:val="auto"/>
                <w:lang w:eastAsia="zh-CN"/>
              </w:rPr>
              <w:t>ZCy指装卸扬尘产生量（单位：吨）；</w:t>
            </w:r>
          </w:p>
          <w:p>
            <w:pPr>
              <w:bidi w:val="0"/>
              <w:ind w:firstLine="720" w:firstLineChars="300"/>
              <w:rPr>
                <w:rFonts w:hint="eastAsia"/>
                <w:color w:val="auto"/>
                <w:lang w:eastAsia="zh-CN"/>
              </w:rPr>
            </w:pPr>
            <w:r>
              <w:rPr>
                <w:rFonts w:hint="eastAsia"/>
                <w:color w:val="auto"/>
                <w:lang w:eastAsia="zh-CN"/>
              </w:rPr>
              <w:t>FCy指风蚀扬尘产生量（单位：吨）；</w:t>
            </w:r>
          </w:p>
          <w:p>
            <w:pPr>
              <w:bidi w:val="0"/>
              <w:ind w:firstLine="720" w:firstLineChars="300"/>
              <w:rPr>
                <w:rFonts w:hint="eastAsia"/>
                <w:color w:val="auto"/>
                <w:lang w:eastAsia="zh-CN"/>
              </w:rPr>
            </w:pPr>
            <w:r>
              <w:rPr>
                <w:rFonts w:hint="eastAsia"/>
                <w:color w:val="auto"/>
                <w:lang w:eastAsia="zh-CN"/>
              </w:rPr>
              <w:t>Nc指年物料运载车次（单位：车）；</w:t>
            </w:r>
          </w:p>
          <w:p>
            <w:pPr>
              <w:bidi w:val="0"/>
              <w:ind w:firstLine="720" w:firstLineChars="300"/>
              <w:rPr>
                <w:rFonts w:hint="eastAsia"/>
                <w:color w:val="auto"/>
                <w:lang w:eastAsia="zh-CN"/>
              </w:rPr>
            </w:pPr>
            <w:r>
              <w:rPr>
                <w:rFonts w:hint="eastAsia"/>
                <w:color w:val="auto"/>
                <w:lang w:eastAsia="zh-CN"/>
              </w:rPr>
              <w:t>D 指单车平均运载量（单位：吨/车）；</w:t>
            </w:r>
          </w:p>
          <w:p>
            <w:pPr>
              <w:bidi w:val="0"/>
              <w:ind w:firstLine="720" w:firstLineChars="300"/>
              <w:rPr>
                <w:rFonts w:hint="eastAsia"/>
                <w:color w:val="auto"/>
                <w:lang w:eastAsia="zh-CN"/>
              </w:rPr>
            </w:pPr>
            <w:r>
              <w:rPr>
                <w:rFonts w:hint="eastAsia"/>
                <w:color w:val="auto"/>
                <w:lang w:eastAsia="zh-CN"/>
              </w:rPr>
              <w:t>（a/b）指装卸扬尘概化系数（单位：千克/吨）。</w:t>
            </w:r>
          </w:p>
          <w:p>
            <w:pPr>
              <w:bidi w:val="0"/>
              <w:ind w:firstLine="720" w:firstLineChars="300"/>
              <w:rPr>
                <w:rFonts w:hint="eastAsia"/>
                <w:color w:val="auto"/>
                <w:lang w:eastAsia="zh-CN"/>
              </w:rPr>
            </w:pPr>
            <w:r>
              <w:rPr>
                <w:rFonts w:hint="eastAsia"/>
                <w:color w:val="auto"/>
                <w:lang w:eastAsia="zh-CN"/>
              </w:rPr>
              <w:t>a指各省风速概化系数，参考《固体物料堆存颗粒物产排污核算系数手册》附录1，福建省为0.0009；</w:t>
            </w:r>
          </w:p>
          <w:p>
            <w:pPr>
              <w:bidi w:val="0"/>
              <w:ind w:firstLine="720" w:firstLineChars="300"/>
              <w:rPr>
                <w:rFonts w:hint="default"/>
                <w:color w:val="auto"/>
                <w:lang w:val="en-US" w:eastAsia="zh-CN"/>
              </w:rPr>
            </w:pPr>
            <w:r>
              <w:rPr>
                <w:rFonts w:hint="eastAsia"/>
                <w:color w:val="auto"/>
                <w:lang w:eastAsia="zh-CN"/>
              </w:rPr>
              <w:t>b指物料含水率概化系数，见《固体物料堆存颗粒物产排污核算系数手册》附录2。本项目</w:t>
            </w:r>
            <w:r>
              <w:rPr>
                <w:rFonts w:hint="eastAsia"/>
                <w:color w:val="auto"/>
                <w:lang w:val="en-US" w:eastAsia="zh-CN"/>
              </w:rPr>
              <w:t>建筑垃圾破碎处理后得到的石料和机制砂，</w:t>
            </w:r>
            <w:r>
              <w:rPr>
                <w:rFonts w:hint="eastAsia"/>
                <w:color w:val="auto"/>
                <w:lang w:eastAsia="zh-CN"/>
              </w:rPr>
              <w:t>参照</w:t>
            </w:r>
            <w:r>
              <w:rPr>
                <w:rFonts w:hint="eastAsia"/>
                <w:color w:val="auto"/>
                <w:lang w:val="en-US" w:eastAsia="zh-CN"/>
              </w:rPr>
              <w:t>表土</w:t>
            </w:r>
            <w:r>
              <w:rPr>
                <w:rFonts w:hint="eastAsia"/>
                <w:color w:val="auto"/>
                <w:lang w:eastAsia="zh-CN"/>
              </w:rPr>
              <w:t>的含水率概化系数，取</w:t>
            </w:r>
            <w:r>
              <w:rPr>
                <w:rFonts w:hint="eastAsia"/>
                <w:color w:val="auto"/>
                <w:lang w:val="en-US" w:eastAsia="zh-CN"/>
              </w:rPr>
              <w:t>0.0151</w:t>
            </w:r>
            <w:r>
              <w:rPr>
                <w:rFonts w:hint="eastAsia"/>
                <w:color w:val="auto"/>
                <w:lang w:eastAsia="zh-CN"/>
              </w:rPr>
              <w:t>；</w:t>
            </w:r>
            <w:r>
              <w:rPr>
                <w:rFonts w:hint="eastAsia"/>
                <w:color w:val="auto"/>
                <w:lang w:val="en-US" w:eastAsia="zh-CN"/>
              </w:rPr>
              <w:t>石方料参照块矿的含水率概化系数，取0.0064。</w:t>
            </w:r>
          </w:p>
          <w:p>
            <w:pPr>
              <w:bidi w:val="0"/>
              <w:ind w:firstLine="720" w:firstLineChars="300"/>
              <w:rPr>
                <w:rFonts w:hint="default"/>
                <w:color w:val="auto"/>
                <w:lang w:val="en-US" w:eastAsia="zh-CN"/>
              </w:rPr>
            </w:pPr>
            <w:r>
              <w:rPr>
                <w:rFonts w:hint="eastAsia"/>
                <w:color w:val="auto"/>
                <w:lang w:eastAsia="zh-CN"/>
              </w:rPr>
              <w:t>Ef 指堆场风蚀扬尘概化系数（单位：千克/平方米），见《固体物料堆存颗粒物产排污核算系数手册》附录3，本项目</w:t>
            </w:r>
            <w:r>
              <w:rPr>
                <w:rFonts w:hint="eastAsia"/>
                <w:color w:val="auto"/>
                <w:lang w:val="en-US" w:eastAsia="zh-CN"/>
              </w:rPr>
              <w:t>石子和机制砂</w:t>
            </w:r>
            <w:r>
              <w:rPr>
                <w:rFonts w:hint="eastAsia"/>
                <w:color w:val="auto"/>
                <w:lang w:eastAsia="zh-CN"/>
              </w:rPr>
              <w:t>参照</w:t>
            </w:r>
            <w:r>
              <w:rPr>
                <w:rFonts w:hint="eastAsia"/>
                <w:color w:val="auto"/>
                <w:lang w:val="en-US" w:eastAsia="zh-CN"/>
              </w:rPr>
              <w:t>表土</w:t>
            </w:r>
            <w:r>
              <w:rPr>
                <w:rFonts w:hint="eastAsia"/>
                <w:color w:val="auto"/>
                <w:lang w:eastAsia="zh-CN"/>
              </w:rPr>
              <w:t>的风蚀概化系数，取值</w:t>
            </w:r>
            <w:r>
              <w:rPr>
                <w:rFonts w:hint="eastAsia"/>
                <w:color w:val="auto"/>
                <w:lang w:val="en-US" w:eastAsia="zh-CN"/>
              </w:rPr>
              <w:t>41.5808</w:t>
            </w:r>
            <w:r>
              <w:rPr>
                <w:rFonts w:hint="eastAsia"/>
                <w:color w:val="auto"/>
                <w:lang w:eastAsia="zh-CN"/>
              </w:rPr>
              <w:t>；</w:t>
            </w:r>
            <w:r>
              <w:rPr>
                <w:rFonts w:hint="eastAsia"/>
                <w:color w:val="auto"/>
                <w:lang w:val="en-US" w:eastAsia="zh-CN"/>
              </w:rPr>
              <w:t>石方料由外部直接运输进场，无场内堆场。</w:t>
            </w:r>
          </w:p>
          <w:p>
            <w:pPr>
              <w:bidi w:val="0"/>
              <w:ind w:firstLine="720" w:firstLineChars="300"/>
              <w:rPr>
                <w:rFonts w:hint="eastAsia"/>
                <w:color w:val="auto"/>
                <w:lang w:eastAsia="zh-CN"/>
              </w:rPr>
            </w:pPr>
            <w:r>
              <w:rPr>
                <w:rFonts w:hint="eastAsia"/>
                <w:color w:val="auto"/>
                <w:lang w:eastAsia="zh-CN"/>
              </w:rPr>
              <w:t>S指堆场占地面积（单位：平方米）。</w:t>
            </w:r>
          </w:p>
          <w:p>
            <w:pPr>
              <w:bidi w:val="0"/>
              <w:rPr>
                <w:rFonts w:hint="eastAsia"/>
                <w:color w:val="auto"/>
                <w:lang w:eastAsia="zh-CN"/>
              </w:rPr>
            </w:pPr>
            <w:r>
              <w:rPr>
                <w:rFonts w:hint="eastAsia"/>
                <w:color w:val="auto"/>
                <w:lang w:val="en-US" w:eastAsia="zh-CN"/>
              </w:rPr>
              <w:t>项目所使用的石方料的</w:t>
            </w:r>
            <w:r>
              <w:rPr>
                <w:rFonts w:hint="eastAsia"/>
                <w:color w:val="auto"/>
                <w:lang w:eastAsia="zh-CN"/>
              </w:rPr>
              <w:t>车辆单次运输量</w:t>
            </w:r>
            <w:r>
              <w:rPr>
                <w:rFonts w:hint="eastAsia"/>
                <w:color w:val="auto"/>
                <w:lang w:val="en-US" w:eastAsia="zh-CN"/>
              </w:rPr>
              <w:t>均</w:t>
            </w:r>
            <w:r>
              <w:rPr>
                <w:rFonts w:hint="eastAsia"/>
                <w:color w:val="auto"/>
                <w:lang w:eastAsia="zh-CN"/>
              </w:rPr>
              <w:t>按30</w:t>
            </w:r>
            <w:r>
              <w:rPr>
                <w:rFonts w:hint="eastAsia"/>
                <w:color w:val="auto"/>
                <w:lang w:val="en-US" w:eastAsia="zh-CN"/>
              </w:rPr>
              <w:t>t/车</w:t>
            </w:r>
            <w:r>
              <w:rPr>
                <w:rFonts w:hint="eastAsia"/>
                <w:color w:val="auto"/>
                <w:lang w:eastAsia="zh-CN"/>
              </w:rPr>
              <w:t>计，项目</w:t>
            </w:r>
            <w:r>
              <w:rPr>
                <w:rFonts w:hint="eastAsia"/>
                <w:color w:val="auto"/>
                <w:lang w:val="en-US" w:eastAsia="zh-CN"/>
              </w:rPr>
              <w:t>石料的年用量约为152万t/a，</w:t>
            </w:r>
            <w:r>
              <w:rPr>
                <w:rFonts w:hint="eastAsia"/>
                <w:color w:val="auto"/>
                <w:lang w:eastAsia="zh-CN"/>
              </w:rPr>
              <w:t>则</w:t>
            </w:r>
            <w:r>
              <w:rPr>
                <w:rFonts w:hint="eastAsia"/>
                <w:color w:val="auto"/>
                <w:lang w:val="en-US" w:eastAsia="zh-CN"/>
              </w:rPr>
              <w:t>石方料的</w:t>
            </w:r>
            <w:r>
              <w:rPr>
                <w:rFonts w:hint="eastAsia"/>
                <w:color w:val="auto"/>
                <w:lang w:eastAsia="zh-CN"/>
              </w:rPr>
              <w:t>年物料运载车次</w:t>
            </w:r>
            <w:r>
              <w:rPr>
                <w:rFonts w:hint="eastAsia"/>
                <w:lang w:val="en-US" w:eastAsia="zh-CN"/>
              </w:rPr>
              <w:t>50667</w:t>
            </w:r>
            <w:r>
              <w:rPr>
                <w:rFonts w:hint="eastAsia"/>
                <w:color w:val="auto"/>
                <w:lang w:eastAsia="zh-CN"/>
              </w:rPr>
              <w:t>次。</w:t>
            </w:r>
            <w:r>
              <w:rPr>
                <w:rFonts w:hint="eastAsia"/>
                <w:color w:val="auto"/>
                <w:lang w:val="en-US" w:eastAsia="zh-CN"/>
              </w:rPr>
              <w:t>生产出来的机制石料及机制砂堆放于各自的堆放场内，根据建设单位提供信息，砂石料堆场占地面积为1518.48m</w:t>
            </w:r>
            <w:r>
              <w:rPr>
                <w:rFonts w:hint="eastAsia"/>
                <w:color w:val="auto"/>
                <w:vertAlign w:val="superscript"/>
                <w:lang w:val="en-US" w:eastAsia="zh-CN"/>
              </w:rPr>
              <w:t>2</w:t>
            </w:r>
            <w:r>
              <w:rPr>
                <w:rFonts w:hint="eastAsia"/>
                <w:color w:val="auto"/>
                <w:lang w:val="en-US" w:eastAsia="zh-CN"/>
              </w:rPr>
              <w:t>，细砂和碎石料的堆场面积各占一半，因此砂、石场的面积各为759.24m</w:t>
            </w:r>
            <w:r>
              <w:rPr>
                <w:rFonts w:hint="eastAsia"/>
                <w:color w:val="auto"/>
                <w:vertAlign w:val="superscript"/>
                <w:lang w:val="en-US" w:eastAsia="zh-CN"/>
              </w:rPr>
              <w:t>2</w:t>
            </w:r>
            <w:r>
              <w:rPr>
                <w:rFonts w:hint="eastAsia"/>
                <w:color w:val="auto"/>
                <w:lang w:val="en-US" w:eastAsia="zh-CN"/>
              </w:rPr>
              <w:t>。</w:t>
            </w:r>
            <w:r>
              <w:rPr>
                <w:rFonts w:hint="eastAsia"/>
                <w:color w:val="auto"/>
                <w:lang w:eastAsia="zh-CN"/>
              </w:rPr>
              <w:t>根据核算公式，项目</w:t>
            </w:r>
            <w:r>
              <w:rPr>
                <w:rFonts w:hint="eastAsia"/>
                <w:lang w:val="en-US" w:eastAsia="zh-CN"/>
              </w:rPr>
              <w:t>石方卸料和砂石堆放扬尘</w:t>
            </w:r>
            <w:r>
              <w:rPr>
                <w:rFonts w:hint="eastAsia"/>
                <w:color w:val="auto"/>
                <w:lang w:eastAsia="zh-CN"/>
              </w:rPr>
              <w:t>产生量计算系数及结果见下表。</w:t>
            </w:r>
          </w:p>
          <w:p>
            <w:pPr>
              <w:pStyle w:val="33"/>
              <w:bidi w:val="0"/>
              <w:rPr>
                <w:rFonts w:hint="eastAsia"/>
                <w:color w:val="auto"/>
                <w:sz w:val="24"/>
                <w:szCs w:val="24"/>
              </w:rPr>
            </w:pPr>
            <w:r>
              <w:rPr>
                <w:rFonts w:hint="eastAsia"/>
                <w:color w:val="auto"/>
                <w:sz w:val="24"/>
                <w:szCs w:val="24"/>
              </w:rPr>
              <w:t>表4.2-1 项目装卸及堆场风蚀扬尘计算系数及结果</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eastAsia="zh-CN"/>
              </w:rPr>
            </w:pPr>
            <w:r>
              <w:rPr>
                <w:rFonts w:hint="eastAsia"/>
                <w:color w:val="auto"/>
                <w:lang w:eastAsia="zh-CN"/>
              </w:rPr>
              <w:t>据上述参数计算得本项目装卸粉尘和砂石堆场风蚀扬尘产生量约为</w:t>
            </w:r>
            <w:r>
              <w:rPr>
                <w:rFonts w:hint="eastAsia"/>
                <w:color w:val="auto"/>
                <w:lang w:val="en-US" w:eastAsia="zh-CN"/>
              </w:rPr>
              <w:t>339.99</w:t>
            </w:r>
            <w:r>
              <w:rPr>
                <w:rFonts w:hint="eastAsia"/>
                <w:color w:val="auto"/>
                <w:lang w:eastAsia="zh-CN"/>
              </w:rPr>
              <w:t>t/a，</w:t>
            </w:r>
            <w:r>
              <w:rPr>
                <w:rFonts w:hint="eastAsia"/>
                <w:color w:val="auto"/>
                <w:lang w:val="en-US" w:eastAsia="zh-CN"/>
              </w:rPr>
              <w:t>产生速率最大为96.89kg/h</w:t>
            </w:r>
            <w:r>
              <w:rPr>
                <w:rFonts w:hint="eastAsia"/>
                <w:color w:val="auto"/>
                <w:lang w:eastAsia="zh-CN"/>
              </w:rPr>
              <w:t>。</w:t>
            </w:r>
          </w:p>
          <w:p>
            <w:pPr>
              <w:bidi w:val="0"/>
              <w:rPr>
                <w:rFonts w:hint="eastAsia" w:ascii="Times New Roman" w:hAnsi="Times New Roman" w:eastAsia="宋体" w:cs="Times New Roman"/>
                <w:color w:val="auto"/>
                <w:szCs w:val="24"/>
                <w:lang w:eastAsia="zh-CN"/>
              </w:rPr>
            </w:pPr>
            <w:r>
              <w:rPr>
                <w:rFonts w:hint="eastAsia"/>
                <w:color w:val="auto"/>
                <w:lang w:eastAsia="zh-CN"/>
              </w:rPr>
              <w:t>根据《固体物料堆存颗粒物产排污核算系数手册》，工业企业固体物料堆场颗粒物排放量核算公式如下：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eastAsia" w:ascii="Times New Roman" w:hAnsi="Times New Roman" w:eastAsia="宋体" w:cs="Times New Roman"/>
                <w:color w:val="auto"/>
                <w:sz w:val="24"/>
                <w:szCs w:val="24"/>
                <w:lang w:eastAsia="zh-CN"/>
              </w:rPr>
            </w:pPr>
            <w:r>
              <w:rPr>
                <w:rFonts w:ascii="Times New Roman" w:hAnsi="Times New Roman" w:eastAsia="宋体"/>
                <w:color w:val="auto"/>
              </w:rPr>
              <w:drawing>
                <wp:inline distT="0" distB="0" distL="114300" distR="114300">
                  <wp:extent cx="2386330" cy="300355"/>
                  <wp:effectExtent l="0" t="0" r="13970" b="444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2386330" cy="300355"/>
                          </a:xfrm>
                          <a:prstGeom prst="rect">
                            <a:avLst/>
                          </a:prstGeom>
                          <a:noFill/>
                          <a:ln>
                            <a:noFill/>
                          </a:ln>
                        </pic:spPr>
                      </pic:pic>
                    </a:graphicData>
                  </a:graphic>
                </wp:inline>
              </w:drawing>
            </w:r>
          </w:p>
          <w:p>
            <w:pPr>
              <w:bidi w:val="0"/>
              <w:rPr>
                <w:rFonts w:hint="eastAsia"/>
                <w:color w:val="auto"/>
                <w:lang w:eastAsia="zh-CN"/>
              </w:rPr>
            </w:pPr>
            <w:r>
              <w:rPr>
                <w:rFonts w:hint="eastAsia"/>
                <w:color w:val="auto"/>
                <w:lang w:eastAsia="zh-CN"/>
              </w:rPr>
              <w:t>式中：P指颗粒物产生量（单位：吨）；</w:t>
            </w:r>
          </w:p>
          <w:p>
            <w:pPr>
              <w:bidi w:val="0"/>
              <w:ind w:firstLine="1200" w:firstLineChars="500"/>
              <w:rPr>
                <w:rFonts w:hint="eastAsia"/>
                <w:color w:val="auto"/>
                <w:lang w:eastAsia="zh-CN"/>
              </w:rPr>
            </w:pPr>
            <w:r>
              <w:rPr>
                <w:rFonts w:hint="eastAsia"/>
                <w:color w:val="auto"/>
                <w:lang w:eastAsia="zh-CN"/>
              </w:rPr>
              <w:t>Uc指颗粒物排放量（单位：吨）；</w:t>
            </w:r>
          </w:p>
          <w:p>
            <w:pPr>
              <w:bidi w:val="0"/>
              <w:ind w:firstLine="1200" w:firstLineChars="500"/>
              <w:rPr>
                <w:rFonts w:hint="eastAsia"/>
                <w:color w:val="auto"/>
                <w:lang w:eastAsia="zh-CN"/>
              </w:rPr>
            </w:pPr>
            <w:r>
              <w:rPr>
                <w:rFonts w:hint="eastAsia"/>
                <w:color w:val="auto"/>
                <w:lang w:eastAsia="zh-CN"/>
              </w:rPr>
              <w:t>Cm指颗粒物控制措施控制效率（单位：%）</w:t>
            </w:r>
          </w:p>
          <w:p>
            <w:pPr>
              <w:bidi w:val="0"/>
              <w:ind w:firstLine="1200" w:firstLineChars="500"/>
              <w:rPr>
                <w:rFonts w:hint="eastAsia"/>
                <w:color w:val="auto"/>
                <w:lang w:eastAsia="zh-CN"/>
              </w:rPr>
            </w:pPr>
            <w:r>
              <w:rPr>
                <w:rFonts w:hint="eastAsia"/>
                <w:color w:val="auto"/>
                <w:lang w:eastAsia="zh-CN"/>
              </w:rPr>
              <w:t>Tm指堆场类型控制效率（单位：%），</w:t>
            </w:r>
          </w:p>
          <w:p>
            <w:pPr>
              <w:bidi w:val="0"/>
              <w:rPr>
                <w:rFonts w:hint="eastAsia"/>
                <w:lang w:val="en-US" w:eastAsia="zh-CN"/>
              </w:rPr>
            </w:pPr>
            <w:r>
              <w:rPr>
                <w:rFonts w:hint="eastAsia"/>
                <w:color w:val="auto"/>
                <w:lang w:eastAsia="zh-CN"/>
              </w:rPr>
              <w:t>项目</w:t>
            </w:r>
            <w:r>
              <w:rPr>
                <w:rFonts w:hint="eastAsia"/>
                <w:color w:val="auto"/>
                <w:lang w:val="en-US" w:eastAsia="zh-CN"/>
              </w:rPr>
              <w:t>碎石、细砂储存于封闭式仓（仅保留物料进出口）</w:t>
            </w:r>
            <w:r>
              <w:rPr>
                <w:rFonts w:hint="eastAsia"/>
                <w:color w:val="auto"/>
                <w:lang w:eastAsia="zh-CN"/>
              </w:rPr>
              <w:t>，并配套喷淋系统进行喷淋抑尘，物料以密闭运输车方式进出，厂区道路硬化，定时人工洒水抑尘和冲洗清扫，出入口配备车辆冲洗设备。根据《固体物料堆存颗粒物产排污核算系数手册》附录4控制措施的控制效率和附录5堆场类型控制效率，洒水粉尘控制效率74%，出入车辆冲洗粉尘控制效率78%，项目</w:t>
            </w:r>
            <w:r>
              <w:rPr>
                <w:rFonts w:hint="eastAsia"/>
                <w:color w:val="auto"/>
                <w:lang w:val="en-US" w:eastAsia="zh-CN"/>
              </w:rPr>
              <w:t>仅</w:t>
            </w:r>
            <w:r>
              <w:rPr>
                <w:rFonts w:hint="eastAsia"/>
                <w:color w:val="auto"/>
                <w:lang w:eastAsia="zh-CN"/>
              </w:rPr>
              <w:t>保留物料进出口，</w:t>
            </w:r>
            <w:r>
              <w:rPr>
                <w:rFonts w:hint="eastAsia"/>
                <w:color w:val="auto"/>
                <w:lang w:val="en-US" w:eastAsia="zh-CN"/>
              </w:rPr>
              <w:t>侧面及顶部设有围墙封闭，进料口与3#物料库连接</w:t>
            </w:r>
            <w:r>
              <w:rPr>
                <w:rFonts w:hint="eastAsia"/>
                <w:color w:val="auto"/>
                <w:lang w:eastAsia="zh-CN"/>
              </w:rPr>
              <w:t>，</w:t>
            </w:r>
            <w:r>
              <w:rPr>
                <w:rFonts w:hint="eastAsia"/>
                <w:color w:val="auto"/>
                <w:lang w:val="en-US" w:eastAsia="zh-CN"/>
              </w:rPr>
              <w:t>因此砂石料</w:t>
            </w:r>
            <w:r>
              <w:rPr>
                <w:rFonts w:hint="eastAsia"/>
                <w:color w:val="auto"/>
                <w:lang w:eastAsia="zh-CN"/>
              </w:rPr>
              <w:t>堆场类型控制效率按</w:t>
            </w:r>
            <w:r>
              <w:rPr>
                <w:rFonts w:hint="eastAsia"/>
                <w:color w:val="auto"/>
                <w:lang w:val="en-US" w:eastAsia="zh-CN"/>
              </w:rPr>
              <w:t>密闭式</w:t>
            </w:r>
            <w:r>
              <w:rPr>
                <w:rFonts w:hint="eastAsia"/>
                <w:color w:val="auto"/>
                <w:lang w:eastAsia="zh-CN"/>
              </w:rPr>
              <w:t>堆场控制效率</w:t>
            </w:r>
            <w:r>
              <w:rPr>
                <w:rFonts w:hint="eastAsia"/>
                <w:color w:val="auto"/>
                <w:lang w:val="en-US" w:eastAsia="zh-CN"/>
              </w:rPr>
              <w:t>99</w:t>
            </w:r>
            <w:r>
              <w:rPr>
                <w:rFonts w:hint="eastAsia"/>
                <w:color w:val="auto"/>
                <w:lang w:eastAsia="zh-CN"/>
              </w:rPr>
              <w:t>%计</w:t>
            </w:r>
            <w:r>
              <w:rPr>
                <w:rFonts w:hint="eastAsia"/>
                <w:lang w:val="en-US" w:eastAsia="zh-CN"/>
              </w:rPr>
              <w:t>。</w:t>
            </w:r>
          </w:p>
          <w:p>
            <w:pPr>
              <w:bidi w:val="0"/>
              <w:rPr>
                <w:rFonts w:hint="default"/>
                <w:color w:val="auto"/>
                <w:lang w:val="en-US" w:eastAsia="zh-CN"/>
              </w:rPr>
            </w:pPr>
            <w:r>
              <w:rPr>
                <w:rFonts w:hint="eastAsia"/>
                <w:color w:val="auto"/>
                <w:lang w:val="en-US" w:eastAsia="zh-CN"/>
              </w:rPr>
              <w:t>砂石堆存时长按7920h/a（330d/a，24h/d）计。</w:t>
            </w:r>
            <w:r>
              <w:rPr>
                <w:rFonts w:hint="eastAsia"/>
                <w:color w:val="auto"/>
                <w:lang w:eastAsia="zh-CN"/>
              </w:rPr>
              <w:t>故经计算，本项目</w:t>
            </w:r>
            <w:r>
              <w:rPr>
                <w:rFonts w:hint="eastAsia"/>
                <w:color w:val="auto"/>
                <w:lang w:val="en-US" w:eastAsia="zh-CN"/>
              </w:rPr>
              <w:t>石料</w:t>
            </w:r>
            <w:r>
              <w:rPr>
                <w:rFonts w:hint="eastAsia"/>
                <w:color w:val="auto"/>
                <w:lang w:eastAsia="zh-CN"/>
              </w:rPr>
              <w:t>装卸粉尘和堆场风蚀扬尘排放量</w:t>
            </w:r>
            <w:r>
              <w:rPr>
                <w:rFonts w:hint="eastAsia"/>
                <w:color w:val="auto"/>
                <w:lang w:val="en-US" w:eastAsia="zh-CN"/>
              </w:rPr>
              <w:t>共计</w:t>
            </w:r>
            <w:r>
              <w:rPr>
                <w:rFonts w:hint="eastAsia"/>
                <w:color w:val="auto"/>
                <w:lang w:eastAsia="zh-CN"/>
              </w:rPr>
              <w:t>为</w:t>
            </w:r>
            <w:r>
              <w:rPr>
                <w:rFonts w:hint="eastAsia"/>
                <w:color w:val="auto"/>
                <w:lang w:val="en-US" w:eastAsia="zh-CN"/>
              </w:rPr>
              <w:t>0.194</w:t>
            </w:r>
            <w:r>
              <w:rPr>
                <w:rFonts w:hint="eastAsia"/>
                <w:color w:val="auto"/>
                <w:lang w:eastAsia="zh-CN"/>
              </w:rPr>
              <w:t>t/a，</w:t>
            </w:r>
            <w:r>
              <w:rPr>
                <w:rFonts w:hint="eastAsia"/>
                <w:color w:val="auto"/>
                <w:lang w:val="en-US" w:eastAsia="zh-CN"/>
              </w:rPr>
              <w:t>最大</w:t>
            </w:r>
            <w:r>
              <w:rPr>
                <w:rFonts w:hint="eastAsia"/>
                <w:color w:val="auto"/>
                <w:lang w:eastAsia="zh-CN"/>
              </w:rPr>
              <w:t>排放速率为</w:t>
            </w:r>
            <w:r>
              <w:rPr>
                <w:rFonts w:hint="eastAsia"/>
                <w:color w:val="auto"/>
                <w:lang w:val="en-US" w:eastAsia="zh-CN"/>
              </w:rPr>
              <w:t>0.025</w:t>
            </w:r>
            <w:r>
              <w:rPr>
                <w:rFonts w:hint="eastAsia"/>
                <w:color w:val="auto"/>
                <w:lang w:eastAsia="zh-CN"/>
              </w:rPr>
              <w:t>kg/h。</w:t>
            </w:r>
          </w:p>
          <w:p>
            <w:pPr>
              <w:bidi w:val="0"/>
              <w:rPr>
                <w:rFonts w:hint="eastAsia"/>
                <w:b/>
                <w:bCs/>
                <w:color w:val="auto"/>
                <w:lang w:val="en-US" w:eastAsia="zh-CN"/>
              </w:rPr>
            </w:pPr>
            <w:r>
              <w:rPr>
                <w:rFonts w:hint="eastAsia"/>
                <w:b/>
                <w:bCs/>
                <w:color w:val="auto"/>
                <w:lang w:val="en-US" w:eastAsia="zh-CN"/>
              </w:rPr>
              <w:t>（2）运输车辆扬尘</w:t>
            </w:r>
          </w:p>
          <w:p>
            <w:pPr>
              <w:bidi w:val="0"/>
              <w:rPr>
                <w:rFonts w:hint="eastAsia"/>
                <w:color w:val="auto"/>
                <w:lang w:val="en-US" w:eastAsia="zh-CN"/>
              </w:rPr>
            </w:pPr>
            <w:r>
              <w:rPr>
                <w:rFonts w:hint="eastAsia"/>
                <w:color w:val="auto"/>
                <w:lang w:val="en-US" w:eastAsia="zh-CN"/>
              </w:rPr>
              <w:t>项目汽车运输扬尘对一定范围内环境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在道路完全干燥的情况下，可按下列经验公式计算：</w:t>
            </w:r>
          </w:p>
          <w:p>
            <w:pPr>
              <w:bidi w:val="0"/>
              <w:jc w:val="center"/>
              <w:rPr>
                <w:rFonts w:hint="eastAsia"/>
                <w:color w:val="auto"/>
                <w:lang w:val="en-US" w:eastAsia="zh-CN"/>
              </w:rPr>
            </w:pPr>
            <w:r>
              <w:rPr>
                <w:rFonts w:hint="default"/>
                <w:color w:val="auto"/>
                <w:lang w:val="en-US" w:eastAsia="zh-CN"/>
              </w:rPr>
              <w:drawing>
                <wp:inline distT="0" distB="0" distL="114300" distR="114300">
                  <wp:extent cx="2434590" cy="288290"/>
                  <wp:effectExtent l="0" t="0" r="3810" b="1651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2434590" cy="288290"/>
                          </a:xfrm>
                          <a:prstGeom prst="rect">
                            <a:avLst/>
                          </a:prstGeom>
                          <a:noFill/>
                          <a:ln>
                            <a:noFill/>
                          </a:ln>
                        </pic:spPr>
                      </pic:pic>
                    </a:graphicData>
                  </a:graphic>
                </wp:inline>
              </w:drawing>
            </w:r>
          </w:p>
          <w:p>
            <w:pPr>
              <w:bidi w:val="0"/>
              <w:rPr>
                <w:rFonts w:hint="eastAsia"/>
                <w:color w:val="auto"/>
                <w:lang w:val="en-US" w:eastAsia="zh-CN"/>
              </w:rPr>
            </w:pPr>
            <w:r>
              <w:rPr>
                <w:rFonts w:hint="eastAsia"/>
                <w:color w:val="auto"/>
                <w:lang w:val="en-US" w:eastAsia="zh-CN"/>
              </w:rPr>
              <w:t>式中：Q：汽车行驶时的扬尘，kg/km·辆；</w:t>
            </w:r>
          </w:p>
          <w:p>
            <w:pPr>
              <w:bidi w:val="0"/>
              <w:rPr>
                <w:rFonts w:hint="eastAsia"/>
                <w:color w:val="auto"/>
                <w:lang w:val="en-US" w:eastAsia="zh-CN"/>
              </w:rPr>
            </w:pPr>
            <w:r>
              <w:rPr>
                <w:rFonts w:hint="eastAsia"/>
                <w:color w:val="auto"/>
                <w:lang w:val="en-US" w:eastAsia="zh-CN"/>
              </w:rPr>
              <w:t>V：汽车速度，km/h；</w:t>
            </w:r>
          </w:p>
          <w:p>
            <w:pPr>
              <w:bidi w:val="0"/>
              <w:rPr>
                <w:rFonts w:hint="eastAsia"/>
                <w:color w:val="auto"/>
                <w:lang w:val="en-US" w:eastAsia="zh-CN"/>
              </w:rPr>
            </w:pPr>
            <w:r>
              <w:rPr>
                <w:rFonts w:hint="eastAsia"/>
                <w:color w:val="auto"/>
                <w:lang w:val="en-US" w:eastAsia="zh-CN"/>
              </w:rPr>
              <w:t>W：汽车载重量，吨；</w:t>
            </w:r>
          </w:p>
          <w:p>
            <w:pPr>
              <w:bidi w:val="0"/>
              <w:rPr>
                <w:rFonts w:hint="eastAsia"/>
                <w:color w:val="auto"/>
                <w:lang w:val="en-US" w:eastAsia="zh-CN"/>
              </w:rPr>
            </w:pPr>
            <w:r>
              <w:rPr>
                <w:rFonts w:hint="eastAsia"/>
                <w:color w:val="auto"/>
                <w:lang w:val="en-US" w:eastAsia="zh-CN"/>
              </w:rPr>
              <w:t>P：道路表面粉尘量，kg/m</w:t>
            </w:r>
            <w:r>
              <w:rPr>
                <w:rFonts w:hint="eastAsia"/>
                <w:color w:val="auto"/>
                <w:vertAlign w:val="superscript"/>
                <w:lang w:val="en-US" w:eastAsia="zh-CN"/>
              </w:rPr>
              <w:t>2</w:t>
            </w:r>
            <w:r>
              <w:rPr>
                <w:rFonts w:hint="eastAsia"/>
                <w:color w:val="auto"/>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本项目的车辆在厂区内行驶距离按0.</w:t>
            </w:r>
            <w:r>
              <w:rPr>
                <w:rFonts w:hint="eastAsia" w:ascii="Times New Roman" w:hAnsi="Times New Roman" w:eastAsia="宋体" w:cs="Times New Roman"/>
                <w:color w:val="auto"/>
                <w:sz w:val="24"/>
                <w:szCs w:val="24"/>
                <w:lang w:val="en-US" w:eastAsia="zh-CN"/>
              </w:rPr>
              <w:t>1</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km进行计算，</w:t>
            </w:r>
            <w:r>
              <w:rPr>
                <w:rFonts w:hint="eastAsia" w:ascii="Times New Roman" w:hAnsi="Times New Roman" w:eastAsia="宋体" w:cs="Times New Roman"/>
                <w:color w:val="auto"/>
                <w:sz w:val="24"/>
                <w:szCs w:val="24"/>
                <w:lang w:val="en-US" w:eastAsia="zh-CN"/>
              </w:rPr>
              <w:t>项目</w:t>
            </w:r>
            <w:r>
              <w:rPr>
                <w:rFonts w:hint="eastAsia" w:cs="Times New Roman"/>
                <w:color w:val="auto"/>
                <w:sz w:val="24"/>
                <w:szCs w:val="24"/>
                <w:lang w:val="en-US" w:eastAsia="zh-CN"/>
              </w:rPr>
              <w:t>通过车辆运输进厂的</w:t>
            </w:r>
            <w:r>
              <w:rPr>
                <w:rFonts w:hint="eastAsia" w:ascii="Times New Roman" w:hAnsi="Times New Roman" w:eastAsia="宋体" w:cs="Times New Roman"/>
                <w:color w:val="auto"/>
                <w:sz w:val="24"/>
                <w:szCs w:val="24"/>
                <w:lang w:val="en-US" w:eastAsia="zh-CN"/>
              </w:rPr>
              <w:t>主要原料（水泥、</w:t>
            </w:r>
            <w:r>
              <w:rPr>
                <w:rFonts w:hint="eastAsia" w:cs="Times New Roman"/>
                <w:color w:val="auto"/>
                <w:sz w:val="24"/>
                <w:szCs w:val="24"/>
                <w:lang w:val="en-US" w:eastAsia="zh-CN"/>
              </w:rPr>
              <w:t>粉煤灰、矿粉、碎石、细砂</w:t>
            </w:r>
            <w:r>
              <w:rPr>
                <w:rFonts w:hint="eastAsia" w:ascii="Times New Roman" w:hAnsi="Times New Roman" w:eastAsia="宋体" w:cs="Times New Roman"/>
                <w:color w:val="auto"/>
                <w:sz w:val="24"/>
                <w:szCs w:val="24"/>
                <w:lang w:val="en-US" w:eastAsia="zh-CN"/>
              </w:rPr>
              <w:t>等）约</w:t>
            </w:r>
            <w:r>
              <w:rPr>
                <w:rFonts w:hint="eastAsia" w:cs="Times New Roman"/>
                <w:color w:val="auto"/>
                <w:sz w:val="24"/>
                <w:szCs w:val="24"/>
                <w:lang w:val="en-US" w:eastAsia="zh-CN"/>
              </w:rPr>
              <w:t>207</w:t>
            </w:r>
            <w:r>
              <w:rPr>
                <w:rFonts w:hint="eastAsia" w:ascii="Times New Roman" w:hAnsi="Times New Roman" w:eastAsia="宋体" w:cs="Times New Roman"/>
                <w:color w:val="auto"/>
                <w:sz w:val="24"/>
                <w:szCs w:val="24"/>
                <w:lang w:val="en-US" w:eastAsia="zh-CN"/>
              </w:rPr>
              <w:t>万t/a及</w:t>
            </w:r>
            <w:r>
              <w:rPr>
                <w:rFonts w:hint="eastAsia" w:cs="Times New Roman"/>
                <w:color w:val="auto"/>
                <w:sz w:val="24"/>
                <w:szCs w:val="24"/>
                <w:lang w:val="en-US" w:eastAsia="zh-CN"/>
              </w:rPr>
              <w:t>产品236万</w:t>
            </w:r>
            <w:r>
              <w:rPr>
                <w:rFonts w:hint="eastAsia" w:ascii="Times New Roman" w:hAnsi="Times New Roman" w:eastAsia="宋体" w:cs="Times New Roman"/>
                <w:color w:val="auto"/>
                <w:sz w:val="24"/>
                <w:szCs w:val="24"/>
                <w:lang w:eastAsia="zh-CN"/>
              </w:rPr>
              <w:t>t/a，共计约</w:t>
            </w:r>
            <w:r>
              <w:rPr>
                <w:rFonts w:hint="eastAsia" w:cs="Times New Roman"/>
                <w:color w:val="auto"/>
                <w:sz w:val="24"/>
                <w:szCs w:val="24"/>
                <w:lang w:val="en-US" w:eastAsia="zh-CN"/>
              </w:rPr>
              <w:t>443</w:t>
            </w:r>
            <w:r>
              <w:rPr>
                <w:rFonts w:hint="eastAsia" w:ascii="Times New Roman" w:hAnsi="Times New Roman" w:eastAsia="宋体" w:cs="Times New Roman"/>
                <w:color w:val="auto"/>
                <w:sz w:val="24"/>
                <w:szCs w:val="24"/>
                <w:lang w:val="en-US" w:eastAsia="zh-CN"/>
              </w:rPr>
              <w:t>万</w:t>
            </w:r>
            <w:r>
              <w:rPr>
                <w:rFonts w:hint="eastAsia" w:ascii="Times New Roman" w:hAnsi="Times New Roman" w:eastAsia="宋体" w:cs="Times New Roman"/>
                <w:color w:val="auto"/>
                <w:sz w:val="24"/>
                <w:szCs w:val="24"/>
                <w:lang w:eastAsia="zh-CN"/>
              </w:rPr>
              <w:t>t/a。车辆载重规格按30t计，年发车</w:t>
            </w:r>
            <w:r>
              <w:rPr>
                <w:rFonts w:hint="eastAsia" w:cs="Times New Roman"/>
                <w:color w:val="auto"/>
                <w:sz w:val="24"/>
                <w:szCs w:val="24"/>
                <w:lang w:val="en-US" w:eastAsia="zh-CN"/>
              </w:rPr>
              <w:t>147667</w:t>
            </w:r>
            <w:r>
              <w:rPr>
                <w:rFonts w:hint="eastAsia" w:ascii="Times New Roman" w:hAnsi="Times New Roman" w:eastAsia="宋体" w:cs="Times New Roman"/>
                <w:color w:val="auto"/>
                <w:sz w:val="24"/>
                <w:szCs w:val="24"/>
                <w:lang w:eastAsia="zh-CN"/>
              </w:rPr>
              <w:t>辆次</w:t>
            </w:r>
            <w:r>
              <w:rPr>
                <w:rFonts w:hint="eastAsia" w:ascii="Times New Roman" w:hAnsi="Times New Roman" w:eastAsia="宋体" w:cs="Times New Roman"/>
                <w:color w:val="auto"/>
                <w:sz w:val="24"/>
                <w:szCs w:val="24"/>
                <w:lang w:val="en-US" w:eastAsia="zh-CN"/>
              </w:rPr>
              <w:t>，综上每天发车空、重载各约</w:t>
            </w:r>
            <w:r>
              <w:rPr>
                <w:rFonts w:hint="eastAsia" w:cs="Times New Roman"/>
                <w:color w:val="auto"/>
                <w:sz w:val="24"/>
                <w:szCs w:val="24"/>
                <w:lang w:val="en-US" w:eastAsia="zh-CN"/>
              </w:rPr>
              <w:t>447</w:t>
            </w:r>
            <w:r>
              <w:rPr>
                <w:rFonts w:hint="eastAsia" w:ascii="Times New Roman" w:hAnsi="Times New Roman" w:eastAsia="宋体" w:cs="Times New Roman"/>
                <w:color w:val="auto"/>
                <w:sz w:val="24"/>
                <w:szCs w:val="24"/>
                <w:lang w:val="en-US" w:eastAsia="zh-CN"/>
              </w:rPr>
              <w:t>辆（次），空车重约10t，载重车重约40t，以速度10km/h行驶，考虑项目厂区地面均已硬化，在不洒水的情况下，道路表面粉尘量以0.05kg/m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计，则项目运输车辆动力起尘量约为</w:t>
            </w:r>
            <w:r>
              <w:rPr>
                <w:rFonts w:hint="eastAsia" w:cs="Times New Roman"/>
                <w:color w:val="auto"/>
                <w:sz w:val="24"/>
                <w:szCs w:val="24"/>
                <w:lang w:val="en-US" w:eastAsia="zh-CN"/>
              </w:rPr>
              <w:t>17.3kg</w:t>
            </w:r>
            <w:r>
              <w:rPr>
                <w:rFonts w:hint="eastAsia" w:ascii="Times New Roman" w:hAnsi="Times New Roman" w:eastAsia="宋体" w:cs="Times New Roman"/>
                <w:color w:val="auto"/>
                <w:sz w:val="24"/>
                <w:szCs w:val="24"/>
                <w:lang w:val="en-US" w:eastAsia="zh-CN"/>
              </w:rPr>
              <w:t>/d。项目车辆运输避开夜间和午间，因此每日运输时间按8h计，年</w:t>
            </w:r>
            <w:r>
              <w:rPr>
                <w:rFonts w:hint="eastAsia" w:cs="Times New Roman"/>
                <w:color w:val="auto"/>
                <w:sz w:val="24"/>
                <w:szCs w:val="24"/>
                <w:lang w:val="en-US" w:eastAsia="zh-CN"/>
              </w:rPr>
              <w:t>330</w:t>
            </w:r>
            <w:r>
              <w:rPr>
                <w:rFonts w:hint="eastAsia" w:ascii="Times New Roman" w:hAnsi="Times New Roman" w:eastAsia="宋体" w:cs="Times New Roman"/>
                <w:color w:val="auto"/>
                <w:sz w:val="24"/>
                <w:szCs w:val="24"/>
                <w:lang w:val="en-US" w:eastAsia="zh-CN"/>
              </w:rPr>
              <w:t>天。项目车辆运输扬尘产生量约为</w:t>
            </w:r>
            <w:r>
              <w:rPr>
                <w:rFonts w:hint="eastAsia" w:cs="Times New Roman"/>
                <w:color w:val="auto"/>
                <w:sz w:val="24"/>
                <w:szCs w:val="24"/>
                <w:lang w:val="en-US" w:eastAsia="zh-CN"/>
              </w:rPr>
              <w:t>5.71</w:t>
            </w:r>
            <w:r>
              <w:rPr>
                <w:rFonts w:hint="eastAsia" w:ascii="Times New Roman" w:hAnsi="Times New Roman" w:eastAsia="宋体" w:cs="Times New Roman"/>
                <w:color w:val="auto"/>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项目厂区地面</w:t>
            </w:r>
            <w:r>
              <w:rPr>
                <w:rFonts w:hint="eastAsia" w:ascii="Times New Roman" w:hAnsi="Times New Roman" w:eastAsia="宋体" w:cs="Times New Roman"/>
                <w:color w:val="auto"/>
                <w:sz w:val="24"/>
                <w:szCs w:val="24"/>
                <w:lang w:val="en-US" w:eastAsia="zh-CN"/>
              </w:rPr>
              <w:t>硬化</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val="en-US" w:eastAsia="zh-CN"/>
              </w:rPr>
              <w:t>拟对厂区内路面进行定时</w:t>
            </w:r>
            <w:r>
              <w:rPr>
                <w:rFonts w:hint="eastAsia" w:ascii="Times New Roman" w:hAnsi="Times New Roman" w:eastAsia="宋体" w:cs="Times New Roman"/>
                <w:color w:val="auto"/>
                <w:sz w:val="24"/>
                <w:szCs w:val="24"/>
                <w:lang w:val="en-US" w:eastAsia="zh-CN"/>
              </w:rPr>
              <w:t>人工</w:t>
            </w:r>
            <w:r>
              <w:rPr>
                <w:rFonts w:hint="default" w:ascii="Times New Roman" w:hAnsi="Times New Roman" w:eastAsia="宋体" w:cs="Times New Roman"/>
                <w:color w:val="auto"/>
                <w:sz w:val="24"/>
                <w:szCs w:val="24"/>
                <w:lang w:val="en-US" w:eastAsia="zh-CN"/>
              </w:rPr>
              <w:t>洒水</w:t>
            </w:r>
            <w:r>
              <w:rPr>
                <w:rFonts w:hint="eastAsia" w:ascii="Times New Roman" w:hAnsi="Times New Roman" w:eastAsia="宋体" w:cs="Times New Roman"/>
                <w:color w:val="auto"/>
                <w:sz w:val="24"/>
                <w:szCs w:val="24"/>
                <w:lang w:val="en-US" w:eastAsia="zh-CN"/>
              </w:rPr>
              <w:t>和清扫</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进出车辆设洗车台冲洗，</w:t>
            </w:r>
            <w:r>
              <w:rPr>
                <w:rFonts w:hint="default" w:ascii="Times New Roman" w:hAnsi="Times New Roman" w:eastAsia="宋体" w:cs="Times New Roman"/>
                <w:color w:val="auto"/>
                <w:sz w:val="24"/>
                <w:szCs w:val="24"/>
                <w:lang w:val="en-US" w:eastAsia="zh-CN"/>
              </w:rPr>
              <w:t>以减少道路扬尘。参考《</w:t>
            </w:r>
            <w:r>
              <w:rPr>
                <w:rFonts w:hint="eastAsia" w:cs="Times New Roman"/>
                <w:color w:val="auto"/>
                <w:sz w:val="24"/>
                <w:szCs w:val="24"/>
                <w:lang w:val="en-US" w:eastAsia="zh-CN"/>
              </w:rPr>
              <w:t>固体物料堆存颗粒物产排污核算系数手册</w:t>
            </w:r>
            <w:r>
              <w:rPr>
                <w:rFonts w:hint="default" w:ascii="Times New Roman" w:hAnsi="Times New Roman" w:eastAsia="宋体" w:cs="Times New Roman"/>
                <w:color w:val="auto"/>
                <w:sz w:val="24"/>
                <w:szCs w:val="24"/>
                <w:lang w:val="en-US" w:eastAsia="zh-CN"/>
              </w:rPr>
              <w:t>》附录4控制措施的控制效率，洒水降尘控制效率约74%</w:t>
            </w:r>
            <w:r>
              <w:rPr>
                <w:rFonts w:hint="eastAsia" w:ascii="Times New Roman" w:hAnsi="Times New Roman" w:eastAsia="宋体" w:cs="Times New Roman"/>
                <w:color w:val="auto"/>
                <w:sz w:val="24"/>
                <w:szCs w:val="24"/>
                <w:lang w:val="en-US" w:eastAsia="zh-CN"/>
              </w:rPr>
              <w:t>，出入车辆冲洗粉尘控制效率78%，则</w:t>
            </w:r>
            <w:r>
              <w:rPr>
                <w:rFonts w:hint="default" w:ascii="Times New Roman" w:hAnsi="Times New Roman" w:eastAsia="宋体" w:cs="Times New Roman"/>
                <w:color w:val="auto"/>
                <w:sz w:val="24"/>
                <w:szCs w:val="24"/>
                <w:lang w:val="en-US" w:eastAsia="zh-CN"/>
              </w:rPr>
              <w:t>采取洒水降尘措施后，项目</w:t>
            </w:r>
            <w:r>
              <w:rPr>
                <w:rFonts w:hint="eastAsia" w:ascii="Times New Roman" w:hAnsi="Times New Roman" w:eastAsia="宋体" w:cs="Times New Roman"/>
                <w:color w:val="auto"/>
                <w:sz w:val="24"/>
                <w:szCs w:val="24"/>
                <w:lang w:val="en-US" w:eastAsia="zh-CN"/>
              </w:rPr>
              <w:t>车辆扬尘</w:t>
            </w:r>
            <w:r>
              <w:rPr>
                <w:rFonts w:hint="default" w:ascii="Times New Roman" w:hAnsi="Times New Roman" w:eastAsia="宋体" w:cs="Times New Roman"/>
                <w:color w:val="auto"/>
                <w:sz w:val="24"/>
                <w:szCs w:val="24"/>
                <w:lang w:val="en-US" w:eastAsia="zh-CN"/>
              </w:rPr>
              <w:t>量为</w:t>
            </w:r>
            <w:r>
              <w:rPr>
                <w:rFonts w:hint="eastAsia" w:cs="Times New Roman"/>
                <w:color w:val="auto"/>
                <w:sz w:val="24"/>
                <w:szCs w:val="24"/>
                <w:lang w:val="en-US" w:eastAsia="zh-CN"/>
              </w:rPr>
              <w:t>0.327</w:t>
            </w:r>
            <w:r>
              <w:rPr>
                <w:rFonts w:hint="default" w:ascii="Times New Roman" w:hAnsi="Times New Roman" w:eastAsia="宋体" w:cs="Times New Roman"/>
                <w:color w:val="auto"/>
                <w:sz w:val="24"/>
                <w:szCs w:val="24"/>
                <w:lang w:val="en-US" w:eastAsia="zh-CN"/>
              </w:rPr>
              <w:t>t/a，排放速率为</w:t>
            </w:r>
            <w:r>
              <w:rPr>
                <w:rFonts w:hint="eastAsia" w:cs="Times New Roman"/>
                <w:color w:val="auto"/>
                <w:sz w:val="24"/>
                <w:szCs w:val="24"/>
                <w:lang w:val="en-US" w:eastAsia="zh-CN"/>
              </w:rPr>
              <w:t>0.124</w:t>
            </w:r>
            <w:r>
              <w:rPr>
                <w:rFonts w:hint="default" w:ascii="Times New Roman" w:hAnsi="Times New Roman" w:eastAsia="宋体" w:cs="Times New Roman"/>
                <w:color w:val="auto"/>
                <w:sz w:val="24"/>
                <w:szCs w:val="24"/>
                <w:lang w:val="en-US" w:eastAsia="zh-CN"/>
              </w:rPr>
              <w:t>kg/h。</w:t>
            </w:r>
          </w:p>
          <w:p>
            <w:pPr>
              <w:bidi w:val="0"/>
              <w:rPr>
                <w:rFonts w:hint="default"/>
                <w:b/>
                <w:bCs/>
                <w:color w:val="auto"/>
                <w:lang w:val="en-US" w:eastAsia="zh-CN"/>
              </w:rPr>
            </w:pPr>
            <w:r>
              <w:rPr>
                <w:rFonts w:hint="eastAsia"/>
                <w:b/>
                <w:bCs/>
                <w:color w:val="auto"/>
                <w:lang w:eastAsia="zh-CN"/>
              </w:rPr>
              <w:t>（</w:t>
            </w:r>
            <w:r>
              <w:rPr>
                <w:rFonts w:hint="eastAsia"/>
                <w:b/>
                <w:bCs/>
                <w:color w:val="auto"/>
                <w:lang w:val="en-US" w:eastAsia="zh-CN"/>
              </w:rPr>
              <w:t>3</w:t>
            </w:r>
            <w:r>
              <w:rPr>
                <w:rFonts w:hint="eastAsia"/>
                <w:b/>
                <w:bCs/>
                <w:color w:val="auto"/>
                <w:lang w:eastAsia="zh-CN"/>
              </w:rPr>
              <w:t>）粉料仓</w:t>
            </w:r>
            <w:r>
              <w:rPr>
                <w:rFonts w:hint="eastAsia"/>
                <w:b/>
                <w:bCs/>
                <w:color w:val="auto"/>
                <w:lang w:val="en-US" w:eastAsia="zh-CN"/>
              </w:rPr>
              <w:t>呼吸尘</w:t>
            </w:r>
          </w:p>
          <w:p>
            <w:pPr>
              <w:bidi w:val="0"/>
              <w:rPr>
                <w:rFonts w:hint="default"/>
                <w:color w:val="auto"/>
                <w:lang w:val="en-US" w:eastAsia="zh-CN"/>
              </w:rPr>
            </w:pPr>
            <w:r>
              <w:rPr>
                <w:rFonts w:hint="default"/>
                <w:color w:val="auto"/>
                <w:lang w:val="en-US" w:eastAsia="zh-CN"/>
              </w:rPr>
              <w:t>项目水泥、</w:t>
            </w:r>
            <w:r>
              <w:rPr>
                <w:rFonts w:hint="eastAsia"/>
                <w:color w:val="auto"/>
                <w:lang w:val="en-US" w:eastAsia="zh-CN"/>
              </w:rPr>
              <w:t>矿粉、粉煤灰</w:t>
            </w:r>
            <w:r>
              <w:rPr>
                <w:rFonts w:hint="default"/>
                <w:color w:val="auto"/>
                <w:lang w:val="en-US" w:eastAsia="zh-CN"/>
              </w:rPr>
              <w:t>为粉状料，通过密闭运输车和管道输送至</w:t>
            </w:r>
            <w:r>
              <w:rPr>
                <w:rFonts w:hint="eastAsia"/>
                <w:color w:val="auto"/>
                <w:lang w:val="en-US" w:eastAsia="zh-CN"/>
              </w:rPr>
              <w:t>粉料仓</w:t>
            </w:r>
            <w:r>
              <w:rPr>
                <w:rFonts w:hint="default"/>
                <w:color w:val="auto"/>
                <w:lang w:val="en-US" w:eastAsia="zh-CN"/>
              </w:rPr>
              <w:t>储存，项目设</w:t>
            </w:r>
            <w:r>
              <w:rPr>
                <w:rFonts w:hint="eastAsia"/>
                <w:color w:val="auto"/>
                <w:lang w:val="en-US" w:eastAsia="zh-CN"/>
              </w:rPr>
              <w:t>两套混凝土搅拌站，其粉料仓</w:t>
            </w:r>
            <w:r>
              <w:rPr>
                <w:rFonts w:hint="default"/>
                <w:color w:val="auto"/>
                <w:lang w:val="en-US" w:eastAsia="zh-CN"/>
              </w:rPr>
              <w:t>共计</w:t>
            </w:r>
            <w:r>
              <w:rPr>
                <w:rFonts w:hint="eastAsia"/>
                <w:color w:val="auto"/>
                <w:lang w:val="en-US" w:eastAsia="zh-CN"/>
              </w:rPr>
              <w:t>12</w:t>
            </w:r>
            <w:r>
              <w:rPr>
                <w:rFonts w:hint="default"/>
                <w:color w:val="auto"/>
                <w:lang w:val="en-US" w:eastAsia="zh-CN"/>
              </w:rPr>
              <w:t>个，其中水泥仓</w:t>
            </w:r>
            <w:r>
              <w:rPr>
                <w:rFonts w:hint="eastAsia"/>
                <w:color w:val="auto"/>
                <w:lang w:val="en-US" w:eastAsia="zh-CN"/>
              </w:rPr>
              <w:t>8个</w:t>
            </w:r>
            <w:r>
              <w:rPr>
                <w:rFonts w:hint="default"/>
                <w:color w:val="auto"/>
                <w:lang w:val="en-US" w:eastAsia="zh-CN"/>
              </w:rPr>
              <w:t>、</w:t>
            </w:r>
            <w:r>
              <w:rPr>
                <w:rFonts w:hint="eastAsia"/>
                <w:color w:val="auto"/>
                <w:lang w:val="en-US" w:eastAsia="zh-CN"/>
              </w:rPr>
              <w:t>矿粉</w:t>
            </w:r>
            <w:r>
              <w:rPr>
                <w:rFonts w:hint="default"/>
                <w:color w:val="auto"/>
                <w:lang w:val="en-US" w:eastAsia="zh-CN"/>
              </w:rPr>
              <w:t>仓</w:t>
            </w:r>
            <w:r>
              <w:rPr>
                <w:rFonts w:hint="eastAsia"/>
                <w:color w:val="auto"/>
                <w:lang w:val="en-US" w:eastAsia="zh-CN"/>
              </w:rPr>
              <w:t>2</w:t>
            </w:r>
            <w:r>
              <w:rPr>
                <w:rFonts w:hint="default"/>
                <w:color w:val="auto"/>
                <w:lang w:val="en-US" w:eastAsia="zh-CN"/>
              </w:rPr>
              <w:t>个</w:t>
            </w:r>
            <w:r>
              <w:rPr>
                <w:rFonts w:hint="eastAsia"/>
                <w:color w:val="auto"/>
                <w:lang w:val="en-US" w:eastAsia="zh-CN"/>
              </w:rPr>
              <w:t>、粉煤灰仓2个</w:t>
            </w:r>
            <w:r>
              <w:rPr>
                <w:rFonts w:hint="default"/>
                <w:color w:val="auto"/>
                <w:lang w:val="en-US" w:eastAsia="zh-CN"/>
              </w:rPr>
              <w:t>，均配有呼吸口，呼吸口位于</w:t>
            </w:r>
            <w:r>
              <w:rPr>
                <w:rFonts w:hint="eastAsia"/>
                <w:color w:val="auto"/>
                <w:lang w:val="en-US" w:eastAsia="zh-CN"/>
              </w:rPr>
              <w:t>筒仓</w:t>
            </w:r>
            <w:r>
              <w:rPr>
                <w:rFonts w:hint="default"/>
                <w:color w:val="auto"/>
                <w:lang w:val="en-US" w:eastAsia="zh-CN"/>
              </w:rPr>
              <w:t>顶部。当进出料时，由于压差，</w:t>
            </w:r>
            <w:r>
              <w:rPr>
                <w:rFonts w:hint="eastAsia"/>
                <w:color w:val="auto"/>
                <w:lang w:val="en-US" w:eastAsia="zh-CN"/>
              </w:rPr>
              <w:t>粉料仓</w:t>
            </w:r>
            <w:r>
              <w:rPr>
                <w:rFonts w:hint="default"/>
                <w:color w:val="auto"/>
                <w:lang w:val="en-US" w:eastAsia="zh-CN"/>
              </w:rPr>
              <w:t>将产生呼吸现象，</w:t>
            </w:r>
            <w:r>
              <w:rPr>
                <w:rFonts w:hint="eastAsia"/>
                <w:color w:val="auto"/>
                <w:lang w:val="en-US" w:eastAsia="zh-CN"/>
              </w:rPr>
              <w:t>仓</w:t>
            </w:r>
            <w:r>
              <w:rPr>
                <w:rFonts w:hint="default"/>
                <w:color w:val="auto"/>
                <w:lang w:val="en-US" w:eastAsia="zh-CN"/>
              </w:rPr>
              <w:t>体内粉尘从呼吸口排出</w:t>
            </w:r>
            <w:r>
              <w:rPr>
                <w:rFonts w:hint="eastAsia"/>
                <w:color w:val="auto"/>
                <w:lang w:val="en-US" w:eastAsia="zh-CN"/>
              </w:rPr>
              <w:t>仓</w:t>
            </w:r>
            <w:r>
              <w:rPr>
                <w:rFonts w:hint="default"/>
                <w:color w:val="auto"/>
                <w:lang w:val="en-US" w:eastAsia="zh-CN"/>
              </w:rPr>
              <w:t>外，从而产生呼吸尘。</w:t>
            </w:r>
          </w:p>
          <w:p>
            <w:pPr>
              <w:bidi w:val="0"/>
              <w:rPr>
                <w:rFonts w:hint="eastAsia" w:ascii="Times New Roman" w:hAnsi="Times New Roman" w:eastAsia="宋体" w:cs="Times New Roman"/>
                <w:color w:val="auto"/>
                <w:szCs w:val="24"/>
                <w:lang w:val="en-US" w:eastAsia="zh-CN"/>
              </w:rPr>
            </w:pPr>
            <w:r>
              <w:rPr>
                <w:rFonts w:hint="eastAsia"/>
                <w:color w:val="auto"/>
                <w:lang w:val="en-US" w:eastAsia="zh-CN"/>
              </w:rPr>
              <w:t>项目粉料仓物料主要用于生产预拌商品混凝土，参考</w:t>
            </w:r>
            <w:r>
              <w:rPr>
                <w:rFonts w:hint="default"/>
                <w:color w:val="auto"/>
                <w:lang w:val="en-US" w:eastAsia="zh-CN"/>
              </w:rPr>
              <w:t>《排放源统计调查产污核算方法和系数手册》</w:t>
            </w:r>
            <w:r>
              <w:rPr>
                <w:rFonts w:hint="eastAsia"/>
                <w:color w:val="auto"/>
                <w:lang w:val="en-US" w:eastAsia="zh-CN"/>
              </w:rPr>
              <w:t>“</w:t>
            </w:r>
            <w:r>
              <w:rPr>
                <w:rFonts w:hint="default"/>
                <w:color w:val="auto"/>
                <w:lang w:val="en-US" w:eastAsia="zh-CN"/>
              </w:rPr>
              <w:t>3021水泥制品制造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产污系数计算，详见表4.2-2。</w:t>
            </w:r>
          </w:p>
          <w:p>
            <w:pPr>
              <w:pStyle w:val="33"/>
              <w:bidi w:val="0"/>
              <w:rPr>
                <w:rFonts w:hint="eastAsia"/>
                <w:color w:val="auto"/>
                <w:sz w:val="24"/>
                <w:szCs w:val="24"/>
                <w:lang w:val="en-US" w:eastAsia="zh-CN"/>
              </w:rPr>
            </w:pPr>
            <w:r>
              <w:rPr>
                <w:rFonts w:hint="eastAsia"/>
                <w:color w:val="auto"/>
                <w:sz w:val="24"/>
                <w:szCs w:val="24"/>
              </w:rPr>
              <w:t>表4.2-</w:t>
            </w:r>
            <w:r>
              <w:rPr>
                <w:rFonts w:hint="eastAsia"/>
                <w:color w:val="auto"/>
                <w:sz w:val="24"/>
                <w:szCs w:val="24"/>
                <w:lang w:val="en-US" w:eastAsia="zh-CN"/>
              </w:rPr>
              <w:t>2</w:t>
            </w:r>
            <w:r>
              <w:rPr>
                <w:rFonts w:hint="eastAsia"/>
                <w:color w:val="auto"/>
                <w:sz w:val="24"/>
                <w:szCs w:val="24"/>
              </w:rPr>
              <w:t xml:space="preserve"> </w:t>
            </w:r>
            <w:r>
              <w:rPr>
                <w:rFonts w:hint="eastAsia"/>
                <w:color w:val="auto"/>
                <w:sz w:val="24"/>
                <w:szCs w:val="24"/>
                <w:lang w:val="en-US" w:eastAsia="zh-CN"/>
              </w:rPr>
              <w:t>3021 水泥制品制造（含3022砼结构构件、3029其他水泥类似制品制造）行业产污系数</w:t>
            </w:r>
          </w:p>
          <w:tbl>
            <w:tblPr>
              <w:tblStyle w:val="25"/>
              <w:tblW w:w="79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5"/>
              <w:gridCol w:w="856"/>
              <w:gridCol w:w="898"/>
              <w:gridCol w:w="896"/>
              <w:gridCol w:w="707"/>
              <w:gridCol w:w="426"/>
              <w:gridCol w:w="1112"/>
              <w:gridCol w:w="1349"/>
              <w:gridCol w:w="9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工段</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856"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产品</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898"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原料</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896"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工艺</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名称</w:t>
                  </w:r>
                </w:p>
              </w:tc>
              <w:tc>
                <w:tcPr>
                  <w:tcW w:w="707"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规模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等级</w:t>
                  </w:r>
                </w:p>
              </w:tc>
              <w:tc>
                <w:tcPr>
                  <w:tcW w:w="1538" w:type="dxa"/>
                  <w:gridSpan w:val="2"/>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污染物指标</w:t>
                  </w:r>
                </w:p>
              </w:tc>
              <w:tc>
                <w:tcPr>
                  <w:tcW w:w="1349"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单位</w:t>
                  </w:r>
                </w:p>
              </w:tc>
              <w:tc>
                <w:tcPr>
                  <w:tcW w:w="989" w:type="dxa"/>
                  <w:tcBorders>
                    <w:tl2br w:val="nil"/>
                    <w:tr2bl w:val="nil"/>
                  </w:tcBorders>
                  <w:vAlign w:val="center"/>
                </w:tcPr>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产污</w:t>
                  </w:r>
                </w:p>
                <w:p>
                  <w:pPr>
                    <w:pStyle w:val="33"/>
                    <w:keepLines w:val="0"/>
                    <w:pageBreakBefore w:val="0"/>
                    <w:widowControl w:val="0"/>
                    <w:kinsoku/>
                    <w:wordWrap/>
                    <w:overflowPunct/>
                    <w:topLinePunct w:val="0"/>
                    <w:autoSpaceDE/>
                    <w:autoSpaceDN/>
                    <w:bidi w:val="0"/>
                    <w:adjustRightInd/>
                    <w:snapToGrid/>
                    <w:spacing w:before="0" w:beforeLines="0" w:after="0" w:afterLines="0"/>
                    <w:textAlignment w:val="auto"/>
                    <w:rPr>
                      <w:rFonts w:hint="eastAsia"/>
                      <w:color w:val="auto"/>
                      <w:lang w:val="en-US" w:eastAsia="zh-CN"/>
                    </w:rPr>
                  </w:pPr>
                  <w:r>
                    <w:rPr>
                      <w:rFonts w:hint="eastAsia"/>
                      <w:color w:val="auto"/>
                      <w:lang w:val="en-US" w:eastAsia="zh-CN"/>
                    </w:rPr>
                    <w:t>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tc>
              <w:tc>
                <w:tcPr>
                  <w:tcW w:w="856"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混凝土制品</w:t>
                  </w:r>
                </w:p>
              </w:tc>
              <w:tc>
                <w:tcPr>
                  <w:tcW w:w="898"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水泥、矿粉、粉煤灰等</w:t>
                  </w:r>
                </w:p>
              </w:tc>
              <w:tc>
                <w:tcPr>
                  <w:tcW w:w="896"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输送</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储存</w:t>
                  </w:r>
                </w:p>
              </w:tc>
              <w:tc>
                <w:tcPr>
                  <w:tcW w:w="707"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所有规模</w:t>
                  </w:r>
                </w:p>
              </w:tc>
              <w:tc>
                <w:tcPr>
                  <w:tcW w:w="426"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2"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4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标立方米/吨-产品</w:t>
                  </w:r>
                </w:p>
              </w:tc>
              <w:tc>
                <w:tcPr>
                  <w:tcW w:w="98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8"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7"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42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2"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4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8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85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8"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6"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物料</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混合</w:t>
                  </w:r>
                </w:p>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搅拌</w:t>
                  </w:r>
                </w:p>
              </w:tc>
              <w:tc>
                <w:tcPr>
                  <w:tcW w:w="707"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426" w:type="dxa"/>
                  <w:vMerge w:val="restart"/>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w:t>
                  </w:r>
                </w:p>
              </w:tc>
              <w:tc>
                <w:tcPr>
                  <w:tcW w:w="1112"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废气量</w:t>
                  </w:r>
                </w:p>
              </w:tc>
              <w:tc>
                <w:tcPr>
                  <w:tcW w:w="134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标立方米/吨-产品</w:t>
                  </w:r>
                </w:p>
              </w:tc>
              <w:tc>
                <w:tcPr>
                  <w:tcW w:w="98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5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8"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89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707"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426" w:type="dxa"/>
                  <w:vMerge w:val="continue"/>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p>
              </w:tc>
              <w:tc>
                <w:tcPr>
                  <w:tcW w:w="1112"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颗粒物</w:t>
                  </w:r>
                </w:p>
              </w:tc>
              <w:tc>
                <w:tcPr>
                  <w:tcW w:w="134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eastAsia"/>
                      <w:color w:val="auto"/>
                      <w:lang w:val="en-US" w:eastAsia="zh-CN"/>
                    </w:rPr>
                  </w:pPr>
                  <w:r>
                    <w:rPr>
                      <w:rFonts w:hint="eastAsia"/>
                      <w:color w:val="auto"/>
                      <w:lang w:val="en-US" w:eastAsia="zh-CN"/>
                    </w:rPr>
                    <w:t>千克/吨-产品</w:t>
                  </w:r>
                </w:p>
              </w:tc>
              <w:tc>
                <w:tcPr>
                  <w:tcW w:w="989" w:type="dxa"/>
                  <w:tcBorders>
                    <w:tl2br w:val="nil"/>
                    <w:tr2bl w:val="nil"/>
                  </w:tcBorders>
                  <w:vAlign w:val="center"/>
                </w:tcPr>
                <w:p>
                  <w:pPr>
                    <w:pStyle w:val="28"/>
                    <w:keepLines w:val="0"/>
                    <w:pageBreakBefore w:val="0"/>
                    <w:widowControl w:val="0"/>
                    <w:kinsoku/>
                    <w:wordWrap/>
                    <w:overflowPunct/>
                    <w:topLinePunct w:val="0"/>
                    <w:autoSpaceDE/>
                    <w:autoSpaceDN/>
                    <w:bidi w:val="0"/>
                    <w:adjustRightInd/>
                    <w:snapToGrid/>
                    <w:textAlignment w:val="auto"/>
                    <w:rPr>
                      <w:rFonts w:hint="default"/>
                      <w:color w:val="auto"/>
                      <w:lang w:val="en-US" w:eastAsia="zh-CN"/>
                    </w:rPr>
                  </w:pPr>
                  <w:r>
                    <w:rPr>
                      <w:rFonts w:hint="eastAsia"/>
                      <w:color w:val="auto"/>
                      <w:lang w:val="en-US" w:eastAsia="zh-CN"/>
                    </w:rPr>
                    <w:t>0.13</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参考上表4.2-2物料输送储存环节产污系数，</w:t>
            </w:r>
            <w:r>
              <w:rPr>
                <w:rFonts w:hint="default"/>
                <w:color w:val="auto"/>
                <w:lang w:val="en-US" w:eastAsia="zh-CN"/>
              </w:rPr>
              <w:t>项目</w:t>
            </w:r>
            <w:r>
              <w:rPr>
                <w:rFonts w:hint="eastAsia"/>
                <w:color w:val="auto"/>
                <w:lang w:val="en-US" w:eastAsia="zh-CN"/>
              </w:rPr>
              <w:t>预拌商品混凝土所使用的粉料的量为48万吨（水泥、粉煤灰、矿粉），各粉料仓进出料时间按2640h/a计（330d/a，8h/d），则项目粉料仓的废气产生量约为1056万m</w:t>
            </w:r>
            <w:r>
              <w:rPr>
                <w:rFonts w:hint="eastAsia"/>
                <w:color w:val="auto"/>
                <w:vertAlign w:val="superscript"/>
                <w:lang w:val="en-US" w:eastAsia="zh-CN"/>
              </w:rPr>
              <w:t>3</w:t>
            </w:r>
            <w:r>
              <w:rPr>
                <w:rFonts w:hint="eastAsia"/>
                <w:color w:val="auto"/>
                <w:lang w:val="en-US" w:eastAsia="zh-CN"/>
              </w:rPr>
              <w:t>/a（4000m</w:t>
            </w:r>
            <w:r>
              <w:rPr>
                <w:rFonts w:hint="eastAsia"/>
                <w:color w:val="auto"/>
                <w:vertAlign w:val="superscript"/>
                <w:lang w:val="en-US" w:eastAsia="zh-CN"/>
              </w:rPr>
              <w:t>3</w:t>
            </w:r>
            <w:r>
              <w:rPr>
                <w:rFonts w:hint="eastAsia"/>
                <w:color w:val="auto"/>
                <w:lang w:val="en-US" w:eastAsia="zh-CN"/>
              </w:rPr>
              <w:t>/h），粉尘产生量约为57.6t/a。</w:t>
            </w:r>
          </w:p>
          <w:p>
            <w:pPr>
              <w:bidi w:val="0"/>
              <w:rPr>
                <w:rFonts w:hint="default"/>
                <w:color w:val="auto"/>
                <w:lang w:val="en-US" w:eastAsia="zh-CN"/>
              </w:rPr>
            </w:pPr>
            <w:r>
              <w:rPr>
                <w:rFonts w:hint="eastAsia"/>
                <w:color w:val="auto"/>
                <w:lang w:val="en-US" w:eastAsia="zh-CN"/>
              </w:rPr>
              <w:t>根据建设方提供资料，HZS270VD混凝土搅拌机</w:t>
            </w:r>
            <w:r>
              <w:rPr>
                <w:rFonts w:hint="default"/>
                <w:color w:val="auto"/>
                <w:lang w:val="en-US" w:eastAsia="zh-CN"/>
              </w:rPr>
              <w:t>各</w:t>
            </w:r>
            <w:r>
              <w:rPr>
                <w:rFonts w:hint="eastAsia"/>
                <w:color w:val="auto"/>
                <w:lang w:val="en-US" w:eastAsia="zh-CN"/>
              </w:rPr>
              <w:t>粉料</w:t>
            </w:r>
            <w:r>
              <w:rPr>
                <w:rFonts w:hint="default"/>
                <w:color w:val="auto"/>
                <w:lang w:val="en-US" w:eastAsia="zh-CN"/>
              </w:rPr>
              <w:t>仓</w:t>
            </w:r>
            <w:r>
              <w:rPr>
                <w:rFonts w:hint="eastAsia"/>
                <w:color w:val="auto"/>
                <w:lang w:val="en-US" w:eastAsia="zh-CN"/>
              </w:rPr>
              <w:t>均</w:t>
            </w:r>
            <w:r>
              <w:rPr>
                <w:rFonts w:hint="default"/>
                <w:color w:val="auto"/>
                <w:lang w:val="en-US" w:eastAsia="zh-CN"/>
              </w:rPr>
              <w:t>配套集成式‌脉冲布袋除尘装置（除尘效率≥99.</w:t>
            </w:r>
            <w:r>
              <w:rPr>
                <w:rFonts w:hint="eastAsia"/>
                <w:color w:val="auto"/>
                <w:lang w:val="en-US" w:eastAsia="zh-CN"/>
              </w:rPr>
              <w:t>7</w:t>
            </w:r>
            <w:r>
              <w:rPr>
                <w:rFonts w:hint="default"/>
                <w:color w:val="auto"/>
                <w:lang w:val="en-US" w:eastAsia="zh-CN"/>
              </w:rPr>
              <w:t>%）‌，呼吸尘直接通过呼吸口进入除尘器处理后</w:t>
            </w:r>
            <w:r>
              <w:rPr>
                <w:rFonts w:hint="eastAsia"/>
                <w:color w:val="auto"/>
                <w:lang w:val="en-US" w:eastAsia="zh-CN"/>
              </w:rPr>
              <w:t>，在搅拌楼内部无组织排放。车间配备有喷淋降尘装置，参考《工业源固体物料堆场颗粒物核算系数手册》附录4控制措施的控制效率，洒水粉尘控制效率74%，项目粉料仓为全部密闭，粉料仓除尘器的收集效率按100%计算，则项目粉料仓的排放粉尘排放量约为0.045t/a，粉料仓进出料时长按2640h/a计（330d/a，8h/d），则项目粉料仓进出料粉尘排放速率约为0.017kg/h。具体产排核算情况详见表4.2-4。</w:t>
            </w:r>
          </w:p>
          <w:p>
            <w:pPr>
              <w:bidi w:val="0"/>
              <w:rPr>
                <w:rFonts w:hint="eastAsia"/>
                <w:b/>
                <w:bCs/>
                <w:color w:val="auto"/>
                <w:lang w:val="en-US" w:eastAsia="zh-CN"/>
              </w:rPr>
            </w:pPr>
            <w:r>
              <w:rPr>
                <w:rFonts w:hint="eastAsia"/>
                <w:b/>
                <w:bCs/>
                <w:color w:val="auto"/>
                <w:lang w:val="en-US" w:eastAsia="zh-CN"/>
              </w:rPr>
              <w:t>（4）砂石计量配料粉尘</w:t>
            </w:r>
          </w:p>
          <w:p>
            <w:pPr>
              <w:bidi w:val="0"/>
              <w:rPr>
                <w:rFonts w:hint="default"/>
                <w:color w:val="auto"/>
                <w:lang w:val="en-US" w:eastAsia="zh-CN"/>
              </w:rPr>
            </w:pPr>
            <w:r>
              <w:rPr>
                <w:rFonts w:hint="eastAsia"/>
                <w:color w:val="auto"/>
                <w:lang w:val="en-US" w:eastAsia="zh-CN"/>
              </w:rPr>
              <w:t>项目生产时，由铲车将堆场的细砂、碎石等物料从堆仓运至计量配料处，下落至下方配料斗进行称量，再下落至皮带运输至后续搅拌机内。项目砂石输送带廊道密闭，输送带进出口配套喷淋装置，粉尘逸散量较小，因此主要计量配料粉尘来自细砂、碎石下落至料斗和输送皮带时，由于高度落差产生的粉尘。参考《逸散性工业粉尘控制技术》中粒料加工厂砂和砾石卸料排污系数为0.01kg/t原料，项目砂、石总用量约为152万t/a，则计算得项目砂石计量配料粉尘产生量约为15.2t/a。</w:t>
            </w:r>
          </w:p>
          <w:p>
            <w:pPr>
              <w:bidi w:val="0"/>
              <w:rPr>
                <w:rFonts w:hint="eastAsia"/>
                <w:color w:val="auto"/>
                <w:lang w:val="en-US" w:eastAsia="zh-CN"/>
              </w:rPr>
            </w:pPr>
            <w:r>
              <w:rPr>
                <w:rFonts w:hint="eastAsia"/>
                <w:color w:val="auto"/>
                <w:lang w:val="en-US" w:eastAsia="zh-CN"/>
              </w:rPr>
              <w:t>项目砂石进料区配套喷淋装置抑尘，参考《固体物料堆存颗粒物产排污核算系数手册》附录4控制措施的控制效率，洒水粉尘控制效率74%，则项目砂石计量配料粉尘排放量约为3.952t/a，砂石计量配料时长按2640h/a计（330d/a，8h/d），则项目砂石计量配料粉尘排放速率约为1.497kg/h。</w:t>
            </w:r>
          </w:p>
          <w:p>
            <w:pPr>
              <w:bidi w:val="0"/>
              <w:rPr>
                <w:rFonts w:hint="eastAsia"/>
                <w:b/>
                <w:bCs/>
                <w:color w:val="auto"/>
                <w:lang w:val="en-US" w:eastAsia="zh-CN"/>
              </w:rPr>
            </w:pPr>
            <w:r>
              <w:rPr>
                <w:rFonts w:hint="eastAsia"/>
                <w:b/>
                <w:bCs/>
                <w:color w:val="auto"/>
                <w:lang w:val="en-US" w:eastAsia="zh-CN"/>
              </w:rPr>
              <w:t>（5）搅拌粉尘</w:t>
            </w:r>
          </w:p>
          <w:p>
            <w:pPr>
              <w:bidi w:val="0"/>
              <w:rPr>
                <w:rFonts w:hint="eastAsia"/>
                <w:color w:val="auto"/>
                <w:lang w:val="en-US" w:eastAsia="zh-CN"/>
              </w:rPr>
            </w:pPr>
            <w:r>
              <w:rPr>
                <w:rFonts w:hint="eastAsia"/>
                <w:color w:val="auto"/>
                <w:lang w:val="en-US" w:eastAsia="zh-CN"/>
              </w:rPr>
              <w:t>搅拌过程主要为将水泥、石、砂、矿粉、粉煤灰、外加剂剂、水等搅制为预拌混凝土后进行后续工序，对粉料的扰动将会产生粉尘。</w:t>
            </w:r>
          </w:p>
          <w:p>
            <w:pPr>
              <w:bidi w:val="0"/>
              <w:rPr>
                <w:rFonts w:hint="default"/>
                <w:color w:val="auto"/>
                <w:lang w:val="en-US" w:eastAsia="zh-CN"/>
              </w:rPr>
            </w:pPr>
            <w:r>
              <w:rPr>
                <w:rFonts w:hint="eastAsia"/>
                <w:color w:val="auto"/>
                <w:lang w:val="en-US" w:eastAsia="zh-CN"/>
              </w:rPr>
              <w:t>参考</w:t>
            </w:r>
            <w:r>
              <w:rPr>
                <w:rFonts w:hint="default"/>
                <w:color w:val="auto"/>
                <w:lang w:val="en-US" w:eastAsia="zh-CN"/>
              </w:rPr>
              <w:t>《排放源统计调查产污核算方法和系数手册》“3021 水泥制品制造</w:t>
            </w:r>
            <w:r>
              <w:rPr>
                <w:rFonts w:hint="eastAsia"/>
                <w:color w:val="auto"/>
                <w:lang w:val="en-US" w:eastAsia="zh-CN"/>
              </w:rPr>
              <w:t>（含3022砼结构构件、3029其他水泥类似制品制造）行业</w:t>
            </w:r>
            <w:r>
              <w:rPr>
                <w:rFonts w:hint="default"/>
                <w:color w:val="auto"/>
                <w:lang w:val="en-US" w:eastAsia="zh-CN"/>
              </w:rPr>
              <w:t>”行业系数手册</w:t>
            </w:r>
            <w:r>
              <w:rPr>
                <w:rFonts w:hint="eastAsia"/>
                <w:color w:val="auto"/>
                <w:lang w:val="en-US" w:eastAsia="zh-CN"/>
              </w:rPr>
              <w:t>产污系数，详见表4.2-2。项目搅拌后产生的预拌混凝土量约为230万t/a（主要原料+结合水），颗粒物产污系数为0.13千克/吨-产品，则项目搅拌过程中颗粒物产生量约为299t/a。</w:t>
            </w:r>
          </w:p>
          <w:p>
            <w:pPr>
              <w:bidi w:val="0"/>
              <w:rPr>
                <w:rFonts w:hint="default"/>
                <w:color w:val="auto"/>
                <w:lang w:val="en-US" w:eastAsia="zh-CN"/>
              </w:rPr>
            </w:pPr>
            <w:r>
              <w:rPr>
                <w:rFonts w:hint="eastAsia"/>
                <w:color w:val="auto"/>
                <w:lang w:val="en-US" w:eastAsia="zh-CN"/>
              </w:rPr>
              <w:t>项目在搅拌前配料工序添加了水，可有效降低粉状原料搅拌过程中起尘，同时搅拌楼封闭建设，搅拌机运行时密闭，搅拌楼加设喷淋装置抑尘，综合抑尘效率按99.74%计（密闭运行抑尘效率99%以上，喷淋降尘74%），则项目搅拌工序粉尘排放量约为0.777t/a，搅拌工作时长按8h/d（2640h/a）计，则搅拌粉尘排放速率约为0.294kg/h。</w:t>
            </w:r>
          </w:p>
          <w:p>
            <w:pPr>
              <w:bidi w:val="0"/>
              <w:rPr>
                <w:rFonts w:hint="eastAsia"/>
                <w:b/>
                <w:bCs/>
                <w:lang w:val="en-US" w:eastAsia="zh-CN"/>
              </w:rPr>
            </w:pPr>
            <w:r>
              <w:rPr>
                <w:rFonts w:hint="eastAsia"/>
                <w:b/>
                <w:bCs/>
                <w:lang w:val="en-US" w:eastAsia="zh-CN"/>
              </w:rPr>
              <w:t>（6）石料破碎、筛分粉尘</w:t>
            </w:r>
          </w:p>
          <w:p>
            <w:pPr>
              <w:bidi w:val="0"/>
              <w:rPr>
                <w:rFonts w:hint="eastAsia"/>
                <w:lang w:val="en-US" w:eastAsia="zh-CN"/>
              </w:rPr>
            </w:pPr>
            <w:r>
              <w:rPr>
                <w:rFonts w:hint="eastAsia"/>
                <w:lang w:val="en-US" w:eastAsia="zh-CN"/>
              </w:rPr>
              <w:t>项目位于3#物料库内的建筑垃圾回收利用工序主要是针对项目周边建设项目地基开挖时开采的大块石方料进行破碎加工与湿法制砂工艺生产12石、05石和机制砂等不同产品，其中破碎工艺与其过程中的筛分工序对产生粉尘。</w:t>
            </w:r>
          </w:p>
          <w:p>
            <w:pPr>
              <w:bidi w:val="0"/>
              <w:rPr>
                <w:rFonts w:hint="eastAsia"/>
                <w:lang w:val="en-US" w:eastAsia="zh-CN"/>
              </w:rPr>
            </w:pPr>
            <w:r>
              <w:rPr>
                <w:rFonts w:hint="eastAsia"/>
                <w:lang w:val="en-US" w:eastAsia="zh-CN"/>
              </w:rPr>
              <w:t>参考《逸散性工业粉尘控制技术》（中国环境科学出版社）及相关企业的实际运营经验数据，一级破碎的产尘量约为0.005kg/t原料，二级破碎产尘量约为0.03kg/t原料，振动筛产尘量约为0.03kg/t。本项目年加工石方152万t，则一级破碎原料量为152万t/a，二级破碎产品量为152万t/a，过筛产品量为152万t/a。对应的一破、二破、筛分产生的粉尘量分别为7.6t/a、45.6t/a、45.6t/a。</w:t>
            </w:r>
          </w:p>
          <w:p>
            <w:pPr>
              <w:bidi w:val="0"/>
              <w:rPr>
                <w:rFonts w:hint="eastAsia"/>
                <w:color w:val="auto"/>
                <w:sz w:val="24"/>
                <w:lang w:eastAsia="zh-CN"/>
              </w:rPr>
            </w:pPr>
            <w:r>
              <w:rPr>
                <w:rFonts w:hint="eastAsia"/>
                <w:lang w:val="en-US" w:eastAsia="zh-CN"/>
              </w:rPr>
              <w:t>本项目拟分别对鄂式破碎机、重型反击破碎机、</w:t>
            </w:r>
            <w:r>
              <w:rPr>
                <w:rFonts w:hint="eastAsia"/>
              </w:rPr>
              <w:t>立轴冲击破碎机</w:t>
            </w:r>
            <w:r>
              <w:rPr>
                <w:rFonts w:hint="eastAsia"/>
                <w:lang w:val="en-US" w:eastAsia="zh-CN"/>
              </w:rPr>
              <w:t>、振动筛及振动给料机等产尘点上方设置集气罩收集粉尘，车间内产生的粉尘集中收集后通过一套</w:t>
            </w:r>
            <w:r>
              <w:rPr>
                <w:rFonts w:hint="eastAsia" w:ascii="Times New Roman" w:hAnsi="Times New Roman" w:eastAsia="宋体" w:cs="Times New Roman"/>
                <w:color w:val="auto"/>
                <w:sz w:val="24"/>
                <w:lang w:val="en-US" w:eastAsia="zh-CN"/>
              </w:rPr>
              <w:t>高效的覆膜布袋除尘器</w:t>
            </w:r>
            <w:r>
              <w:rPr>
                <w:rFonts w:hint="eastAsia"/>
                <w:lang w:val="en-US" w:eastAsia="zh-CN"/>
              </w:rPr>
              <w:t>处理达标后引至</w:t>
            </w:r>
            <w:r>
              <w:rPr>
                <w:rFonts w:hint="default"/>
                <w:lang w:val="en-US" w:eastAsia="zh-CN"/>
              </w:rPr>
              <w:t>1</w:t>
            </w:r>
            <w:r>
              <w:rPr>
                <w:rFonts w:hint="eastAsia"/>
                <w:lang w:val="en-US" w:eastAsia="zh-CN"/>
              </w:rPr>
              <w:t>根</w:t>
            </w:r>
            <w:r>
              <w:rPr>
                <w:rFonts w:hint="default"/>
                <w:lang w:val="en-US" w:eastAsia="zh-CN"/>
              </w:rPr>
              <w:t>15m</w:t>
            </w:r>
            <w:r>
              <w:rPr>
                <w:rFonts w:hint="eastAsia"/>
                <w:lang w:val="en-US" w:eastAsia="zh-CN"/>
              </w:rPr>
              <w:t>高的排气筒DA001排放。</w:t>
            </w:r>
            <w:r>
              <w:rPr>
                <w:rFonts w:hint="eastAsia" w:eastAsia="宋体"/>
                <w:color w:val="auto"/>
                <w:sz w:val="24"/>
                <w:lang w:val="en-US" w:eastAsia="zh-CN"/>
              </w:rPr>
              <w:t>根据</w:t>
            </w:r>
            <w:r>
              <w:rPr>
                <w:rFonts w:hint="eastAsia"/>
                <w:color w:val="auto"/>
                <w:sz w:val="24"/>
                <w:lang w:val="en-US" w:eastAsia="zh-CN"/>
              </w:rPr>
              <w:t>《</w:t>
            </w:r>
            <w:r>
              <w:rPr>
                <w:rFonts w:hint="eastAsia" w:eastAsia="宋体"/>
                <w:color w:val="auto"/>
                <w:sz w:val="24"/>
                <w:lang w:val="en-US" w:eastAsia="zh-CN"/>
              </w:rPr>
              <w:t>局部排风设施控制风速检测与评估技术规范</w:t>
            </w:r>
            <w:r>
              <w:rPr>
                <w:rFonts w:hint="eastAsia"/>
                <w:color w:val="auto"/>
                <w:sz w:val="24"/>
                <w:lang w:val="en-US" w:eastAsia="zh-CN"/>
              </w:rPr>
              <w:t>》</w:t>
            </w:r>
            <w:r>
              <w:rPr>
                <w:rFonts w:hint="eastAsia" w:eastAsia="宋体"/>
                <w:color w:val="auto"/>
                <w:sz w:val="24"/>
                <w:lang w:val="en-US" w:eastAsia="zh-CN"/>
              </w:rPr>
              <w:t>（AQ/T4274</w:t>
            </w:r>
            <w:r>
              <w:rPr>
                <w:rFonts w:hint="eastAsia"/>
                <w:color w:val="auto"/>
                <w:sz w:val="24"/>
                <w:lang w:val="en-US" w:eastAsia="zh-CN"/>
              </w:rPr>
              <w:t>-</w:t>
            </w:r>
            <w:r>
              <w:rPr>
                <w:rFonts w:hint="eastAsia" w:eastAsia="宋体"/>
                <w:color w:val="auto"/>
                <w:sz w:val="24"/>
                <w:lang w:val="en-US" w:eastAsia="zh-CN"/>
              </w:rPr>
              <w:t>2016）</w:t>
            </w:r>
            <w:r>
              <w:rPr>
                <w:rFonts w:hint="eastAsia" w:ascii="Times New Roman" w:hAnsi="Times New Roman" w:eastAsia="宋体" w:cs="Times New Roman"/>
                <w:color w:val="auto"/>
                <w:kern w:val="0"/>
                <w:sz w:val="24"/>
                <w:lang w:bidi="ar"/>
              </w:rPr>
              <w:t>表1局部排风设施控制风速限值标准</w:t>
            </w:r>
            <w:r>
              <w:rPr>
                <w:rFonts w:hint="eastAsia" w:ascii="Times New Roman" w:hAnsi="Times New Roman" w:eastAsia="宋体" w:cs="Times New Roman"/>
                <w:color w:val="auto"/>
                <w:kern w:val="0"/>
                <w:sz w:val="24"/>
                <w:lang w:val="en-US" w:eastAsia="zh-CN" w:bidi="ar"/>
              </w:rPr>
              <w:t>可知，</w:t>
            </w:r>
            <w:r>
              <w:rPr>
                <w:rFonts w:hint="eastAsia"/>
                <w:bCs/>
                <w:color w:val="auto"/>
                <w:sz w:val="24"/>
                <w:lang w:val="en-US" w:eastAsia="zh-CN"/>
              </w:rPr>
              <w:t>采用上吸式集气罩收集粉尘控制风速为1.2m/s进行，因此，本评价要求项目集气罩罩口风速按不低于1.2m/s进行设计，确保粉尘收集效果。</w:t>
            </w:r>
            <w:r>
              <w:rPr>
                <w:rFonts w:hint="eastAsia"/>
                <w:color w:val="auto"/>
                <w:sz w:val="24"/>
                <w:lang w:val="en-US" w:eastAsia="zh-CN"/>
              </w:rPr>
              <w:t>为防止集气罩与生产设备过低影响正常生产，项目集气罩与生产设备需要保证一定的距离，大约0.3~0.5m左右，</w:t>
            </w:r>
            <w:r>
              <w:rPr>
                <w:color w:val="auto"/>
                <w:sz w:val="24"/>
              </w:rPr>
              <w:t>为确保项目集气罩收集效果，</w:t>
            </w:r>
            <w:r>
              <w:rPr>
                <w:rFonts w:hint="eastAsia"/>
                <w:color w:val="auto"/>
                <w:sz w:val="24"/>
                <w:lang w:val="en-US" w:eastAsia="zh-CN"/>
              </w:rPr>
              <w:t>要求项目在集气罩下方与生产设备的距离段采用</w:t>
            </w:r>
            <w:r>
              <w:rPr>
                <w:color w:val="auto"/>
                <w:sz w:val="24"/>
              </w:rPr>
              <w:t>塑料挂帘</w:t>
            </w:r>
            <w:r>
              <w:rPr>
                <w:rFonts w:hint="eastAsia"/>
                <w:color w:val="auto"/>
                <w:sz w:val="24"/>
                <w:lang w:eastAsia="zh-CN"/>
              </w:rPr>
              <w:t>，</w:t>
            </w:r>
            <w:r>
              <w:rPr>
                <w:rFonts w:hint="eastAsia"/>
                <w:color w:val="auto"/>
                <w:sz w:val="24"/>
                <w:lang w:val="en-US" w:eastAsia="zh-CN"/>
              </w:rPr>
              <w:t>同时确保项目</w:t>
            </w:r>
            <w:r>
              <w:rPr>
                <w:color w:val="auto"/>
                <w:sz w:val="24"/>
              </w:rPr>
              <w:t>废气收集系统与生产设备自动同步启动</w:t>
            </w:r>
            <w:r>
              <w:rPr>
                <w:rFonts w:hint="eastAsia"/>
                <w:color w:val="auto"/>
                <w:sz w:val="24"/>
                <w:lang w:eastAsia="zh-CN"/>
              </w:rPr>
              <w:t>。</w:t>
            </w:r>
          </w:p>
          <w:p>
            <w:pPr>
              <w:bidi w:val="0"/>
              <w:rPr>
                <w:rFonts w:hint="default"/>
                <w:vertAlign w:val="baseline"/>
                <w:lang w:val="en-US" w:eastAsia="zh-CN"/>
              </w:rPr>
            </w:pPr>
            <w:r>
              <w:rPr>
                <w:rFonts w:hint="eastAsia" w:ascii="Times New Roman" w:hAnsi="Times New Roman" w:eastAsia="宋体" w:cs="Times New Roman"/>
                <w:color w:val="auto"/>
                <w:sz w:val="24"/>
                <w:szCs w:val="24"/>
                <w:lang w:val="en-US" w:eastAsia="zh-CN"/>
              </w:rPr>
              <w:t>参考《排放源统计调查产污核算方法和系数手册》“303 砖瓦、石材等建筑材料制造行业系数手册-3039其他建筑材料制造行业”行业系数手册产污系数</w:t>
            </w:r>
            <w:r>
              <w:rPr>
                <w:rFonts w:hint="eastAsia" w:cs="Times New Roman"/>
                <w:color w:val="auto"/>
                <w:sz w:val="24"/>
                <w:szCs w:val="24"/>
                <w:lang w:val="en-US" w:eastAsia="zh-CN"/>
              </w:rPr>
              <w:t>表</w:t>
            </w:r>
            <w:r>
              <w:rPr>
                <w:rFonts w:hint="eastAsia" w:ascii="Times New Roman" w:hAnsi="Times New Roman" w:eastAsia="宋体" w:cs="Times New Roman"/>
                <w:color w:val="auto"/>
                <w:sz w:val="24"/>
                <w:szCs w:val="24"/>
                <w:lang w:val="en-US" w:eastAsia="zh-CN"/>
              </w:rPr>
              <w:t>，采用袋式除尘器过滤效率可达99%，本评价按9</w:t>
            </w:r>
            <w:r>
              <w:rPr>
                <w:rFonts w:hint="eastAsia" w:cs="Times New Roman"/>
                <w:color w:val="auto"/>
                <w:sz w:val="24"/>
                <w:szCs w:val="24"/>
                <w:lang w:val="en-US" w:eastAsia="zh-CN"/>
              </w:rPr>
              <w:t>9</w:t>
            </w:r>
            <w:r>
              <w:rPr>
                <w:rFonts w:hint="eastAsia" w:ascii="Times New Roman" w:hAnsi="Times New Roman" w:eastAsia="宋体" w:cs="Times New Roman"/>
                <w:color w:val="auto"/>
                <w:sz w:val="24"/>
                <w:szCs w:val="24"/>
                <w:lang w:val="en-US" w:eastAsia="zh-CN"/>
              </w:rPr>
              <w:t>%计</w:t>
            </w:r>
            <w:r>
              <w:rPr>
                <w:rFonts w:hint="eastAsia" w:cs="Times New Roman"/>
                <w:color w:val="auto"/>
                <w:sz w:val="24"/>
                <w:szCs w:val="24"/>
                <w:lang w:val="en-US" w:eastAsia="zh-CN"/>
              </w:rPr>
              <w:t>。</w:t>
            </w:r>
            <w:r>
              <w:rPr>
                <w:rFonts w:hint="eastAsia" w:cs="Times New Roman"/>
                <w:color w:val="auto"/>
                <w:sz w:val="24"/>
                <w:szCs w:val="24"/>
                <w:vertAlign w:val="baseline"/>
                <w:lang w:val="en-US" w:eastAsia="zh-CN"/>
              </w:rPr>
              <w:t>集气罩收集效率约为90%，经集气系统收集处理后（集气罩收集面积11.5m</w:t>
            </w:r>
            <w:r>
              <w:rPr>
                <w:rFonts w:hint="eastAsia" w:cs="Times New Roman"/>
                <w:color w:val="auto"/>
                <w:sz w:val="24"/>
                <w:szCs w:val="24"/>
                <w:vertAlign w:val="superscript"/>
                <w:lang w:val="en-US" w:eastAsia="zh-CN"/>
              </w:rPr>
              <w:t>2</w:t>
            </w:r>
            <w:r>
              <w:rPr>
                <w:rFonts w:hint="eastAsia" w:cs="Times New Roman"/>
                <w:color w:val="auto"/>
                <w:sz w:val="24"/>
                <w:szCs w:val="24"/>
                <w:vertAlign w:val="baseline"/>
                <w:lang w:val="en-US" w:eastAsia="zh-CN"/>
              </w:rPr>
              <w:t>，风量50000m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/h），车间有组织粉尘排放量约889.2kg/a，集气系统运行时间按2640h/a计（330d/a，8h/d），则筛分和破碎工序粉尘排放量为0.337kg/h，排放浓度为6.74mg/m</w:t>
            </w:r>
            <w:r>
              <w:rPr>
                <w:rFonts w:hint="eastAsia" w:cs="Times New Roman"/>
                <w:color w:val="auto"/>
                <w:sz w:val="24"/>
                <w:szCs w:val="24"/>
                <w:vertAlign w:val="superscript"/>
                <w:lang w:val="en-US" w:eastAsia="zh-CN"/>
              </w:rPr>
              <w:t>3</w:t>
            </w:r>
            <w:r>
              <w:rPr>
                <w:rFonts w:hint="eastAsia" w:cs="Times New Roman"/>
                <w:color w:val="auto"/>
                <w:sz w:val="24"/>
                <w:szCs w:val="24"/>
                <w:vertAlign w:val="baseline"/>
                <w:lang w:val="en-US" w:eastAsia="zh-CN"/>
              </w:rPr>
              <w:t>。</w:t>
            </w:r>
          </w:p>
          <w:p>
            <w:pPr>
              <w:bidi w:val="0"/>
              <w:rPr>
                <w:rFonts w:hint="eastAsia"/>
                <w:b/>
                <w:bCs/>
                <w:color w:val="auto"/>
                <w:lang w:val="en-US" w:eastAsia="zh-CN"/>
              </w:rPr>
            </w:pPr>
            <w:r>
              <w:rPr>
                <w:rFonts w:hint="eastAsia" w:ascii="宋体" w:hAnsi="宋体" w:eastAsia="宋体" w:cs="宋体"/>
                <w:color w:val="000000"/>
                <w:kern w:val="0"/>
                <w:sz w:val="24"/>
                <w:szCs w:val="24"/>
                <w:lang w:val="en-US" w:eastAsia="zh-CN" w:bidi="ar"/>
              </w:rPr>
              <w:t>由于本项目</w:t>
            </w:r>
            <w:r>
              <w:rPr>
                <w:rFonts w:hint="eastAsia"/>
                <w:lang w:val="en-US" w:eastAsia="zh-CN"/>
              </w:rPr>
              <w:t>各级破碎机及筛分机均位于封闭厂房内</w:t>
            </w:r>
            <w:r>
              <w:rPr>
                <w:rFonts w:hint="eastAsia" w:ascii="宋体" w:hAnsi="宋体" w:eastAsia="宋体" w:cs="宋体"/>
                <w:color w:val="000000"/>
                <w:kern w:val="0"/>
                <w:sz w:val="24"/>
                <w:szCs w:val="24"/>
                <w:lang w:val="en-US" w:eastAsia="zh-CN" w:bidi="ar"/>
              </w:rPr>
              <w:t>进行生产，</w:t>
            </w:r>
            <w:r>
              <w:rPr>
                <w:rFonts w:hint="eastAsia" w:ascii="宋体" w:hAnsi="宋体" w:cs="宋体"/>
                <w:color w:val="000000"/>
                <w:kern w:val="0"/>
                <w:sz w:val="24"/>
                <w:szCs w:val="24"/>
                <w:lang w:val="en-US" w:eastAsia="zh-CN" w:bidi="ar"/>
              </w:rPr>
              <w:t>集气罩</w:t>
            </w:r>
            <w:r>
              <w:rPr>
                <w:rFonts w:hint="eastAsia" w:ascii="宋体" w:hAnsi="宋体" w:eastAsia="宋体" w:cs="宋体"/>
                <w:color w:val="000000"/>
                <w:kern w:val="0"/>
                <w:sz w:val="24"/>
                <w:szCs w:val="24"/>
                <w:lang w:val="en-US" w:eastAsia="zh-CN" w:bidi="ar"/>
              </w:rPr>
              <w:t>未收集到的扬尘经厂房墙壁及顶棚挡后，于厂房</w:t>
            </w:r>
            <w:r>
              <w:rPr>
                <w:rFonts w:hint="eastAsia"/>
                <w:lang w:val="en-US" w:eastAsia="zh-CN"/>
              </w:rPr>
              <w:t>车间内部加设喷淋装置进行抑尘，经计算，该生产线未经集气罩收集到的粉尘排放量为9.88t/a，车间内砂石料堆场及进卸料口均为三面围挡，综合抑尘效率按97%计（密闭运行抑尘效率90%以上，喷淋降尘74%），则项目破碎及筛分工序的粉尘无组织排放量为</w:t>
            </w:r>
            <w:r>
              <w:rPr>
                <w:rFonts w:hint="eastAsia"/>
                <w:color w:val="auto"/>
                <w:lang w:val="en-US" w:eastAsia="zh-CN"/>
              </w:rPr>
              <w:t>296.4kg/a，运行时间按8h/d（2640h/a）计，则项目破碎与筛分工序粉尘无组织排放速率为0.112kg/h。</w:t>
            </w:r>
          </w:p>
          <w:p>
            <w:pPr>
              <w:bidi w:val="0"/>
              <w:rPr>
                <w:rFonts w:hint="eastAsia"/>
                <w:b/>
                <w:bCs/>
                <w:color w:val="auto"/>
                <w:lang w:val="en-US" w:eastAsia="zh-CN"/>
              </w:rPr>
            </w:pPr>
            <w:r>
              <w:rPr>
                <w:rFonts w:hint="eastAsia"/>
                <w:b/>
                <w:bCs/>
                <w:color w:val="auto"/>
                <w:lang w:val="en-US" w:eastAsia="zh-CN"/>
              </w:rPr>
              <w:t>（7）焊接烟尘</w:t>
            </w:r>
          </w:p>
          <w:p>
            <w:pPr>
              <w:bidi w:val="0"/>
              <w:rPr>
                <w:rFonts w:hint="eastAsia"/>
                <w:color w:val="auto"/>
                <w:lang w:val="en-US" w:eastAsia="zh-CN"/>
              </w:rPr>
            </w:pPr>
            <w:r>
              <w:rPr>
                <w:rFonts w:hint="eastAsia"/>
                <w:color w:val="auto"/>
                <w:lang w:val="en-US" w:eastAsia="zh-CN"/>
              </w:rPr>
              <w:t>本项目钢筋笼制作时需采用手工电弧焊和智能机器人焊接，需使用无铅焊材，不使用焊剂。</w:t>
            </w:r>
            <w:r>
              <w:rPr>
                <w:color w:val="auto"/>
                <w:sz w:val="24"/>
              </w:rPr>
              <w:t>焊接烟尘是由于焊芯和药皮及焊接金属在电弧高温作用下熔融时蒸发、凝结和氧化而产生的，其成分比较复杂，主要是Fe</w:t>
            </w:r>
            <w:r>
              <w:rPr>
                <w:color w:val="auto"/>
                <w:sz w:val="24"/>
                <w:vertAlign w:val="subscript"/>
              </w:rPr>
              <w:t>2</w:t>
            </w:r>
            <w:r>
              <w:rPr>
                <w:color w:val="auto"/>
                <w:sz w:val="24"/>
              </w:rPr>
              <w:t>O</w:t>
            </w:r>
            <w:r>
              <w:rPr>
                <w:color w:val="auto"/>
                <w:sz w:val="24"/>
                <w:vertAlign w:val="subscript"/>
              </w:rPr>
              <w:t>3</w:t>
            </w:r>
            <w:r>
              <w:rPr>
                <w:color w:val="auto"/>
                <w:sz w:val="24"/>
              </w:rPr>
              <w:t>、</w:t>
            </w:r>
            <w:r>
              <w:rPr>
                <w:color w:val="auto"/>
                <w:sz w:val="24"/>
                <w:shd w:val="clear" w:fill="FFFFFF"/>
              </w:rPr>
              <w:t>MnO</w:t>
            </w:r>
            <w:r>
              <w:rPr>
                <w:color w:val="auto"/>
                <w:sz w:val="24"/>
                <w:vertAlign w:val="subscript"/>
              </w:rPr>
              <w:t>2</w:t>
            </w:r>
            <w:r>
              <w:rPr>
                <w:color w:val="auto"/>
                <w:sz w:val="24"/>
              </w:rPr>
              <w:t>等金属氧化物和金属氟化物</w:t>
            </w:r>
            <w:r>
              <w:rPr>
                <w:rFonts w:hint="eastAsia"/>
                <w:color w:val="auto"/>
                <w:sz w:val="24"/>
                <w:lang w:eastAsia="zh-CN"/>
              </w:rPr>
              <w:t>，</w:t>
            </w:r>
            <w:r>
              <w:rPr>
                <w:rFonts w:hint="eastAsia"/>
                <w:color w:val="auto"/>
                <w:sz w:val="24"/>
                <w:lang w:val="en-US" w:eastAsia="zh-CN"/>
              </w:rPr>
              <w:t>不使用含铅焊材，无铅尘排放</w:t>
            </w:r>
            <w:r>
              <w:rPr>
                <w:color w:val="auto"/>
                <w:sz w:val="24"/>
              </w:rPr>
              <w:t>。</w:t>
            </w:r>
            <w:r>
              <w:rPr>
                <w:rFonts w:hint="eastAsia"/>
                <w:color w:val="auto"/>
                <w:lang w:val="en-US" w:eastAsia="zh-CN"/>
              </w:rPr>
              <w:t>参考《排放源统计调查产排污核算方法和系数手册》中33-37机械行业系数手册09焊接产污系数表，手工电弧焊颗粒物产污系数为20.2kg/t-原料（焊条），项目焊条使用量约为0.12t/a，则项目焊接烟尘颗粒物产生量约为0.00242t/a。由于项目所需焊接部位需要根据部件焊接需求而定，非固定工位，因此拟采用车间无组织排放，则项目焊接烟尘无组织排放量约为0.00242t/a，焊接工作时长按330h/a（1h/d）计，焊接烟尘无组织排放速率为0.0073kg/d。</w:t>
            </w:r>
          </w:p>
          <w:p>
            <w:pPr>
              <w:adjustRightInd w:val="0"/>
              <w:snapToGrid w:val="0"/>
              <w:spacing w:line="360" w:lineRule="auto"/>
              <w:ind w:firstLine="480" w:firstLineChars="200"/>
              <w:rPr>
                <w:rFonts w:hint="default"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rPr>
              <w:t>相关</w:t>
            </w:r>
            <w:r>
              <w:rPr>
                <w:rFonts w:hint="default" w:ascii="Times New Roman" w:hAnsi="Times New Roman" w:eastAsia="宋体" w:cs="Times New Roman"/>
                <w:color w:val="auto"/>
                <w:kern w:val="0"/>
                <w:sz w:val="24"/>
                <w:szCs w:val="24"/>
                <w:lang w:val="en-US" w:eastAsia="zh-CN"/>
              </w:rPr>
              <w:t>废气污染源源强核算结果</w:t>
            </w:r>
            <w:r>
              <w:rPr>
                <w:rFonts w:hint="default" w:ascii="Times New Roman" w:hAnsi="Times New Roman" w:eastAsia="宋体" w:cs="Times New Roman"/>
                <w:color w:val="auto"/>
                <w:kern w:val="0"/>
                <w:sz w:val="24"/>
                <w:szCs w:val="24"/>
                <w:lang w:val="en-US" w:eastAsia="zh-CN" w:bidi="ar-SA"/>
              </w:rPr>
              <w:t>及相关参数一览表4.</w:t>
            </w:r>
            <w:r>
              <w:rPr>
                <w:rFonts w:hint="eastAsia" w:ascii="Times New Roman" w:hAnsi="Times New Roman" w:eastAsia="宋体" w:cs="Times New Roman"/>
                <w:color w:val="auto"/>
                <w:kern w:val="0"/>
                <w:sz w:val="24"/>
                <w:szCs w:val="24"/>
                <w:lang w:val="en-US" w:eastAsia="zh-CN" w:bidi="ar-SA"/>
              </w:rPr>
              <w:t>2</w:t>
            </w:r>
            <w:r>
              <w:rPr>
                <w:rFonts w:hint="default" w:ascii="Times New Roman" w:hAnsi="Times New Roman" w:eastAsia="宋体" w:cs="Times New Roman"/>
                <w:color w:val="auto"/>
                <w:kern w:val="0"/>
                <w:sz w:val="24"/>
                <w:szCs w:val="24"/>
                <w:lang w:val="en-US" w:eastAsia="zh-CN" w:bidi="ar-SA"/>
              </w:rPr>
              <w:t>-</w:t>
            </w:r>
            <w:r>
              <w:rPr>
                <w:rFonts w:hint="eastAsia" w:ascii="Times New Roman" w:hAnsi="Times New Roman" w:eastAsia="宋体" w:cs="Times New Roman"/>
                <w:color w:val="auto"/>
                <w:kern w:val="0"/>
                <w:sz w:val="24"/>
                <w:szCs w:val="24"/>
                <w:lang w:val="en-US" w:eastAsia="zh-CN" w:bidi="ar-SA"/>
              </w:rPr>
              <w:t>4</w:t>
            </w:r>
            <w:r>
              <w:rPr>
                <w:rFonts w:hint="default" w:ascii="Times New Roman" w:hAnsi="Times New Roman" w:eastAsia="宋体" w:cs="Times New Roman"/>
                <w:color w:val="auto"/>
                <w:kern w:val="0"/>
                <w:sz w:val="24"/>
                <w:szCs w:val="24"/>
                <w:lang w:val="en-US" w:eastAsia="zh-CN" w:bidi="ar-SA"/>
              </w:rPr>
              <w:t>。</w:t>
            </w:r>
          </w:p>
        </w:tc>
      </w:tr>
    </w:tbl>
    <w:p>
      <w:pPr>
        <w:pStyle w:val="19"/>
        <w:numPr>
          <w:ilvl w:val="0"/>
          <w:numId w:val="0"/>
        </w:numPr>
        <w:jc w:val="both"/>
        <w:outlineLvl w:val="9"/>
        <w:rPr>
          <w:rFonts w:hint="default" w:ascii="Times New Roman" w:hAnsi="Times New Roman" w:eastAsia="宋体" w:cs="Times New Roman"/>
          <w:snapToGrid w:val="0"/>
          <w:color w:val="auto"/>
          <w:sz w:val="30"/>
          <w:szCs w:val="30"/>
        </w:rPr>
        <w:sectPr>
          <w:pgSz w:w="11907" w:h="16840"/>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5"/>
        <w:tblW w:w="139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133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50" w:hRule="atLeast"/>
          <w:jc w:val="center"/>
        </w:trPr>
        <w:tc>
          <w:tcPr>
            <w:tcW w:w="571" w:type="dxa"/>
            <w:vAlign w:val="center"/>
          </w:tcPr>
          <w:p>
            <w:pPr>
              <w:pStyle w:val="28"/>
              <w:bidi w:val="0"/>
              <w:rPr>
                <w:rFonts w:hint="default" w:ascii="Times New Roman" w:hAnsi="Times New Roman" w:eastAsia="宋体" w:cs="Times New Roman"/>
                <w:color w:val="auto"/>
                <w:szCs w:val="24"/>
                <w:vertAlign w:val="baseline"/>
                <w:lang w:eastAsia="zh-CN"/>
              </w:rPr>
            </w:pPr>
            <w:r>
              <w:rPr>
                <w:rFonts w:hint="default"/>
                <w:color w:val="auto"/>
              </w:rPr>
              <w:t>运营期环境影响和保护措施</w:t>
            </w:r>
          </w:p>
        </w:tc>
        <w:tc>
          <w:tcPr>
            <w:tcW w:w="13383"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w:t>
            </w:r>
            <w:r>
              <w:rPr>
                <w:rFonts w:hint="default" w:ascii="Times New Roman" w:hAnsi="Times New Roman" w:eastAsia="宋体" w:cs="Times New Roman"/>
                <w:b/>
                <w:bCs/>
                <w:color w:val="auto"/>
                <w:sz w:val="24"/>
                <w:szCs w:val="24"/>
                <w:lang w:val="en-US" w:eastAsia="zh-CN"/>
              </w:rPr>
              <w:t>4</w:t>
            </w:r>
            <w:r>
              <w:rPr>
                <w:rFonts w:hint="eastAsia" w:ascii="Times New Roman" w:hAnsi="Times New Roman" w:eastAsia="宋体" w:cs="Times New Roman"/>
                <w:b/>
                <w:bCs/>
                <w:color w:val="auto"/>
                <w:sz w:val="24"/>
                <w:szCs w:val="24"/>
                <w:lang w:val="en-US" w:eastAsia="zh-CN"/>
              </w:rPr>
              <w:t>.2</w:t>
            </w:r>
            <w:r>
              <w:rPr>
                <w:rFonts w:hint="default" w:ascii="Times New Roman" w:hAnsi="Times New Roman" w:eastAsia="宋体" w:cs="Times New Roman"/>
                <w:b/>
                <w:bCs/>
                <w:color w:val="auto"/>
                <w:sz w:val="24"/>
                <w:szCs w:val="24"/>
                <w:lang w:val="en-US" w:eastAsia="zh-CN"/>
              </w:rPr>
              <w:t>-</w:t>
            </w:r>
            <w:r>
              <w:rPr>
                <w:rFonts w:hint="eastAsia" w:ascii="Times New Roman" w:hAnsi="Times New Roman"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 xml:space="preserve"> 项目</w:t>
            </w:r>
            <w:r>
              <w:rPr>
                <w:rFonts w:hint="default" w:ascii="Times New Roman" w:hAnsi="Times New Roman" w:eastAsia="宋体" w:cs="Times New Roman"/>
                <w:b/>
                <w:bCs/>
                <w:color w:val="auto"/>
                <w:sz w:val="24"/>
                <w:szCs w:val="24"/>
                <w:lang w:eastAsia="zh-CN"/>
              </w:rPr>
              <w:t>废气污染源源强核算结果及相关参数一览表</w:t>
            </w:r>
          </w:p>
          <w:p>
            <w:pPr>
              <w:adjustRightInd w:val="0"/>
              <w:snapToGrid w:val="0"/>
              <w:spacing w:line="320" w:lineRule="exact"/>
              <w:ind w:firstLine="720" w:firstLineChars="300"/>
              <w:jc w:val="left"/>
              <w:rPr>
                <w:rFonts w:hint="default" w:ascii="Times New Roman" w:hAnsi="Times New Roman" w:eastAsia="宋体" w:cs="Times New Roman"/>
                <w:color w:val="auto"/>
                <w:sz w:val="24"/>
                <w:szCs w:val="24"/>
                <w:vertAlign w:val="baseline"/>
                <w:lang w:eastAsia="zh-CN"/>
              </w:rPr>
            </w:pPr>
          </w:p>
        </w:tc>
      </w:tr>
    </w:tbl>
    <w:p>
      <w:pPr>
        <w:pStyle w:val="19"/>
        <w:numPr>
          <w:ilvl w:val="0"/>
          <w:numId w:val="0"/>
        </w:numPr>
        <w:jc w:val="both"/>
        <w:outlineLvl w:val="9"/>
        <w:rPr>
          <w:rFonts w:hint="default" w:ascii="Times New Roman" w:hAnsi="Times New Roman" w:eastAsia="宋体" w:cs="Times New Roman"/>
          <w:snapToGrid w:val="0"/>
          <w:color w:val="auto"/>
          <w:sz w:val="30"/>
          <w:szCs w:val="30"/>
        </w:rPr>
        <w:sectPr>
          <w:pgSz w:w="16840" w:h="11907" w:orient="landscape"/>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4"/>
        <w:tblW w:w="89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90"/>
        <w:gridCol w:w="849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40" w:hRule="atLeast"/>
          <w:jc w:val="center"/>
        </w:trPr>
        <w:tc>
          <w:tcPr>
            <w:tcW w:w="490"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Cs w:val="21"/>
              </w:rPr>
              <w:t>措施</w:t>
            </w:r>
          </w:p>
        </w:tc>
        <w:tc>
          <w:tcPr>
            <w:tcW w:w="8491" w:type="dxa"/>
            <w:vAlign w:val="center"/>
          </w:tcPr>
          <w:p>
            <w:pPr>
              <w:pStyle w:val="4"/>
              <w:rPr>
                <w:rFonts w:hint="eastAsia"/>
                <w:color w:val="auto"/>
                <w:lang w:val="en-US" w:eastAsia="zh-CN"/>
              </w:rPr>
            </w:pPr>
            <w:r>
              <w:rPr>
                <w:rFonts w:hint="eastAsia"/>
                <w:color w:val="auto"/>
                <w:lang w:val="en-US" w:eastAsia="zh-CN"/>
              </w:rPr>
              <w:t>4.2.2废气污染源汇总</w:t>
            </w:r>
          </w:p>
          <w:p>
            <w:pPr>
              <w:rPr>
                <w:rFonts w:hint="eastAsia"/>
                <w:color w:val="auto"/>
                <w:lang w:val="en-US" w:eastAsia="zh-CN"/>
              </w:rPr>
            </w:pPr>
            <w:r>
              <w:rPr>
                <w:rFonts w:hint="eastAsia"/>
                <w:color w:val="auto"/>
                <w:lang w:val="en-US" w:eastAsia="zh-CN"/>
              </w:rPr>
              <w:t>根据前小节计算结果，主要污染源为2#搅拌楼的搅拌粉尘、粉料仓呼吸尘，3#物料库的筛分及破碎粉尘、石方料装卸粉尘、砂石料堆场风蚀扬尘以及砂石计料粉尘，5#生产车间的焊接烟尘以及厂内的运输粉尘。</w:t>
            </w:r>
          </w:p>
          <w:p>
            <w:pPr>
              <w:rPr>
                <w:rFonts w:hint="default"/>
                <w:color w:val="auto"/>
                <w:lang w:val="en-US" w:eastAsia="zh-CN"/>
              </w:rPr>
            </w:pPr>
            <w:r>
              <w:rPr>
                <w:rFonts w:hint="eastAsia"/>
                <w:color w:val="auto"/>
                <w:lang w:val="en-US" w:eastAsia="zh-CN"/>
              </w:rPr>
              <w:t>其中</w:t>
            </w:r>
            <w:r>
              <w:rPr>
                <w:rFonts w:hint="eastAsia" w:cs="Times New Roman"/>
                <w:color w:val="auto"/>
                <w:kern w:val="0"/>
                <w:sz w:val="24"/>
                <w:szCs w:val="24"/>
                <w:lang w:val="en-US" w:eastAsia="zh-CN"/>
              </w:rPr>
              <w:t>2#搅拌楼的</w:t>
            </w:r>
            <w:r>
              <w:rPr>
                <w:rFonts w:hint="eastAsia"/>
                <w:color w:val="auto"/>
                <w:lang w:val="en-US" w:eastAsia="zh-CN"/>
              </w:rPr>
              <w:t>搅拌粉尘、粉料仓呼吸尘均为无组织排放，排放总量为0.822t/a，最大排放速率为0.311kg/h。3#物料库石方料装卸及砂石料堆场风蚀扬尘、砂石计料粉尘等无组织合计排放总量为4.442t/a，最大排放速率为1.634kg/h，3#物料库的筛分及破碎粉尘有组织排放总量为0.889t/a，排放速率0.337kg/h，排放浓度6.74mg/m</w:t>
            </w:r>
            <w:r>
              <w:rPr>
                <w:rFonts w:hint="eastAsia"/>
                <w:color w:val="auto"/>
                <w:vertAlign w:val="superscript"/>
                <w:lang w:val="en-US" w:eastAsia="zh-CN"/>
              </w:rPr>
              <w:t>3</w:t>
            </w:r>
            <w:r>
              <w:rPr>
                <w:rFonts w:hint="eastAsia"/>
                <w:color w:val="auto"/>
                <w:lang w:val="en-US" w:eastAsia="zh-CN"/>
              </w:rPr>
              <w:t>。5#生产车间的焊接烟尘排放总量0.00242t/a，最大排放速率为0.0074kg/h，厂内运输粉尘排放总量</w:t>
            </w:r>
            <w:r>
              <w:rPr>
                <w:rFonts w:hint="eastAsia"/>
                <w:color w:val="auto"/>
              </w:rPr>
              <w:t>0.327</w:t>
            </w:r>
            <w:r>
              <w:rPr>
                <w:rFonts w:hint="eastAsia"/>
                <w:color w:val="auto"/>
                <w:lang w:val="en-US" w:eastAsia="zh-CN"/>
              </w:rPr>
              <w:t>t/a</w:t>
            </w:r>
            <w:r>
              <w:rPr>
                <w:rFonts w:hint="eastAsia"/>
                <w:color w:val="auto"/>
                <w:lang w:eastAsia="zh-CN"/>
              </w:rPr>
              <w:t>，</w:t>
            </w:r>
            <w:r>
              <w:rPr>
                <w:rFonts w:hint="eastAsia"/>
                <w:color w:val="auto"/>
                <w:lang w:val="en-US" w:eastAsia="zh-CN"/>
              </w:rPr>
              <w:t>排放速率</w:t>
            </w:r>
            <w:r>
              <w:rPr>
                <w:rFonts w:hint="eastAsia"/>
                <w:color w:val="auto"/>
              </w:rPr>
              <w:t>0.124</w:t>
            </w:r>
            <w:r>
              <w:rPr>
                <w:rFonts w:hint="eastAsia"/>
                <w:color w:val="auto"/>
                <w:lang w:val="en-US" w:eastAsia="zh-CN"/>
              </w:rPr>
              <w:t>kg/h。因此全厂粉尘排放量合计6.483t/a。</w:t>
            </w:r>
          </w:p>
          <w:p>
            <w:pPr>
              <w:pStyle w:val="4"/>
              <w:bidi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3</w:t>
            </w:r>
            <w:r>
              <w:rPr>
                <w:color w:val="auto"/>
              </w:rPr>
              <w:t xml:space="preserve"> </w:t>
            </w:r>
            <w:r>
              <w:rPr>
                <w:rFonts w:hint="eastAsia"/>
                <w:color w:val="auto"/>
              </w:rPr>
              <w:t>非正常排放</w:t>
            </w:r>
          </w:p>
          <w:p>
            <w:pPr>
              <w:bidi w:val="0"/>
              <w:rPr>
                <w:rFonts w:hint="eastAsia"/>
                <w:color w:val="auto"/>
                <w:lang w:val="en-US" w:eastAsia="zh-CN"/>
              </w:rPr>
            </w:pPr>
            <w:r>
              <w:rPr>
                <w:rFonts w:hint="eastAsia"/>
                <w:color w:val="auto"/>
                <w:lang w:val="en-US" w:eastAsia="zh-CN"/>
              </w:rPr>
              <w:t>项目正常情况为常年生产状态，年工作日330天，实行昼间单制，8h/d，夜间不生产，本次非正常排放情况考虑2#搅拌楼粉料仓顶自带‌脉冲布袋除尘装置或3#物料库发生故障布袋除尘装置，废气处理达不到设计效率。由于项目废气处理设施主要为过滤式，故障时主要为滤材局部破损等，基本不会完全失效，本次非正常工况按废气处理设施处理效率下降至按50%计，非正常排放时间1h计算，非正常排放量核算见4.2-5。</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eastAsia="zh-CN"/>
              </w:rPr>
              <w:t>表4.</w:t>
            </w:r>
            <w:r>
              <w:rPr>
                <w:rFonts w:hint="eastAsia" w:ascii="Times New Roman" w:hAnsi="Times New Roman" w:eastAsia="宋体" w:cs="Times New Roman"/>
                <w:b/>
                <w:bCs/>
                <w:color w:val="auto"/>
                <w:sz w:val="24"/>
                <w:szCs w:val="24"/>
                <w:lang w:val="en-US" w:eastAsia="zh-CN"/>
              </w:rPr>
              <w:t>2-5</w:t>
            </w:r>
            <w:r>
              <w:rPr>
                <w:rFonts w:hint="default" w:ascii="Times New Roman" w:hAnsi="Times New Roman" w:eastAsia="宋体" w:cs="Times New Roman"/>
                <w:b/>
                <w:bCs/>
                <w:color w:val="auto"/>
                <w:sz w:val="24"/>
                <w:szCs w:val="24"/>
                <w:lang w:eastAsia="zh-CN"/>
              </w:rPr>
              <w:t xml:space="preserve"> 项目废气污染物非正常排放核算表</w:t>
            </w:r>
          </w:p>
          <w:p>
            <w:pPr>
              <w:bidi w:val="0"/>
              <w:rPr>
                <w:rFonts w:hint="eastAsia"/>
                <w:color w:val="auto"/>
                <w:lang w:val="en-US" w:eastAsia="zh-CN"/>
              </w:rPr>
            </w:pPr>
            <w:r>
              <w:rPr>
                <w:rFonts w:hint="eastAsia"/>
                <w:color w:val="auto"/>
                <w:lang w:val="en-US" w:eastAsia="zh-CN"/>
              </w:rPr>
              <w:t>由表4.2-5可知，本项目废气设施在故障等情况发生时，非正常事故源搅拌站粉料仓呼吸尘以及建筑垃圾回收利用生产线的</w:t>
            </w:r>
            <w:r>
              <w:rPr>
                <w:rFonts w:hint="eastAsia"/>
                <w:lang w:val="en-US" w:eastAsia="zh-CN"/>
              </w:rPr>
              <w:t>筛分破碎粉尘的排气筒DA001颗粒物</w:t>
            </w:r>
            <w:r>
              <w:rPr>
                <w:rFonts w:hint="eastAsia"/>
                <w:color w:val="auto"/>
                <w:lang w:val="en-US" w:eastAsia="zh-CN"/>
              </w:rPr>
              <w:t>排放将形成超标排放，其余废气污染源排放源强也有所增加，对周边大气环境不利影响程度有较大增加。因此，发生事故时，建设单位应立即停止相应生产工序作业，待设备修复正常后再重新投产，采取以上应对措施后，非正常排放对周边影响是短暂的，但是建设单位依然要尽量避免，日常落实设备维护，定期更换清理过滤材料，保证处理效率。</w:t>
            </w: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2</w:t>
            </w:r>
            <w:r>
              <w:rPr>
                <w:rFonts w:hint="default"/>
                <w:color w:val="auto"/>
                <w:lang w:val="en-US" w:eastAsia="zh-CN"/>
              </w:rPr>
              <w:t>.</w:t>
            </w:r>
            <w:r>
              <w:rPr>
                <w:rFonts w:hint="eastAsia"/>
                <w:color w:val="auto"/>
                <w:lang w:val="en-US" w:eastAsia="zh-CN"/>
              </w:rPr>
              <w:t>4</w:t>
            </w:r>
            <w:r>
              <w:rPr>
                <w:rFonts w:hint="default"/>
                <w:color w:val="auto"/>
              </w:rPr>
              <w:t>运营期大气影响和污染防治措施</w:t>
            </w:r>
            <w:r>
              <w:rPr>
                <w:rFonts w:hint="eastAsia"/>
                <w:color w:val="auto"/>
                <w:lang w:eastAsia="zh-CN"/>
              </w:rPr>
              <w:t>可行性</w:t>
            </w:r>
            <w:r>
              <w:rPr>
                <w:rFonts w:hint="default"/>
                <w:color w:val="auto"/>
              </w:rPr>
              <w:t>分析</w:t>
            </w:r>
          </w:p>
          <w:p>
            <w:pPr>
              <w:pStyle w:val="49"/>
              <w:bidi w:val="0"/>
              <w:rPr>
                <w:rFonts w:hint="default" w:ascii="Times New Roman" w:hAnsi="Times New Roman" w:cs="Times New Roman"/>
                <w:b/>
                <w:bCs/>
                <w:color w:val="auto"/>
                <w:highlight w:val="none"/>
                <w:lang w:val="en-US" w:eastAsia="zh-CN"/>
              </w:rPr>
            </w:pPr>
            <w:bookmarkStart w:id="34" w:name="_Toc7339_WPSOffice_Level2"/>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1</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lang w:val="en-US" w:eastAsia="zh-CN"/>
              </w:rPr>
              <w:t>大气环境影响预测</w:t>
            </w:r>
          </w:p>
          <w:p>
            <w:pPr>
              <w:pStyle w:val="50"/>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项目</w:t>
            </w:r>
            <w:r>
              <w:rPr>
                <w:rFonts w:hint="eastAsia" w:cs="Times New Roman"/>
                <w:color w:val="auto"/>
                <w:highlight w:val="none"/>
                <w:lang w:val="en-US" w:eastAsia="zh-CN"/>
              </w:rPr>
              <w:t>废气源强分析结果</w:t>
            </w:r>
            <w:r>
              <w:rPr>
                <w:rFonts w:hint="default" w:ascii="Times New Roman" w:hAnsi="Times New Roman" w:cs="Times New Roman"/>
                <w:color w:val="auto"/>
                <w:highlight w:val="none"/>
                <w:lang w:eastAsia="zh-CN"/>
              </w:rPr>
              <w:t>，本评价</w:t>
            </w:r>
            <w:r>
              <w:rPr>
                <w:rFonts w:hint="eastAsia" w:cs="Times New Roman"/>
                <w:color w:val="auto"/>
                <w:highlight w:val="none"/>
                <w:lang w:val="en-US" w:eastAsia="zh-CN"/>
              </w:rPr>
              <w:t>预测</w:t>
            </w:r>
            <w:r>
              <w:rPr>
                <w:rFonts w:hint="default" w:ascii="Times New Roman" w:hAnsi="Times New Roman" w:cs="Times New Roman"/>
                <w:color w:val="auto"/>
                <w:highlight w:val="none"/>
                <w:lang w:eastAsia="zh-CN"/>
              </w:rPr>
              <w:t>因子取颗粒物，项目大气</w:t>
            </w:r>
            <w:r>
              <w:rPr>
                <w:rFonts w:hint="default" w:ascii="Times New Roman" w:hAnsi="Times New Roman" w:cs="Times New Roman"/>
                <w:color w:val="auto"/>
                <w:highlight w:val="none"/>
              </w:rPr>
              <w:t>评价因子和评价标准详见表</w:t>
            </w:r>
            <w:r>
              <w:rPr>
                <w:rFonts w:hint="default" w:ascii="Times New Roman" w:hAnsi="Times New Roman" w:cs="Times New Roman"/>
                <w:color w:val="auto"/>
                <w:highlight w:val="none"/>
                <w:lang w:val="en-US" w:eastAsia="zh-CN"/>
              </w:rPr>
              <w:t>4.2-</w:t>
            </w:r>
            <w:r>
              <w:rPr>
                <w:rFonts w:hint="eastAsia" w:cs="Times New Roman"/>
                <w:color w:val="auto"/>
                <w:highlight w:val="none"/>
                <w:lang w:val="en-US" w:eastAsia="zh-CN"/>
              </w:rPr>
              <w:t>6</w:t>
            </w:r>
            <w:r>
              <w:rPr>
                <w:rFonts w:hint="default" w:ascii="Times New Roman" w:hAnsi="Times New Roman" w:cs="Times New Roman"/>
                <w:color w:val="auto"/>
                <w:highlight w:val="none"/>
              </w:rPr>
              <w:t>。</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6</w:t>
            </w:r>
            <w:r>
              <w:rPr>
                <w:rFonts w:hint="default" w:ascii="Times New Roman" w:hAnsi="Times New Roman" w:eastAsia="宋体" w:cs="Times New Roman"/>
                <w:b/>
                <w:bCs/>
                <w:color w:val="auto"/>
                <w:sz w:val="24"/>
                <w:szCs w:val="24"/>
                <w:lang w:val="en-US" w:eastAsia="zh-CN"/>
              </w:rPr>
              <w:t xml:space="preserve"> 项目评价因子和评价标准一览表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rPr>
            </w:pPr>
            <w:bookmarkStart w:id="35" w:name="_Toc7085"/>
            <w:bookmarkStart w:id="36" w:name="_Toc14272"/>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2</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rPr>
              <w:t>污染源</w:t>
            </w:r>
            <w:r>
              <w:rPr>
                <w:rFonts w:hint="default" w:ascii="Times New Roman" w:hAnsi="Times New Roman" w:cs="Times New Roman"/>
                <w:b w:val="0"/>
                <w:bCs/>
                <w:color w:val="auto"/>
                <w:sz w:val="24"/>
                <w:szCs w:val="24"/>
                <w:highlight w:val="none"/>
                <w:lang w:val="en-US" w:eastAsia="zh-CN"/>
              </w:rPr>
              <w:t>的</w:t>
            </w:r>
            <w:r>
              <w:rPr>
                <w:rFonts w:hint="default" w:ascii="Times New Roman" w:hAnsi="Times New Roman" w:cs="Times New Roman"/>
                <w:b w:val="0"/>
                <w:bCs/>
                <w:color w:val="auto"/>
                <w:sz w:val="24"/>
                <w:szCs w:val="24"/>
                <w:highlight w:val="none"/>
              </w:rPr>
              <w:t>源强预测</w:t>
            </w:r>
            <w:bookmarkEnd w:id="35"/>
            <w:bookmarkEnd w:id="36"/>
          </w:p>
          <w:p>
            <w:pPr>
              <w:pStyle w:val="39"/>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根据工程分析结果可知，项目废气排放主要污染物及源强详见表</w:t>
            </w:r>
            <w:r>
              <w:rPr>
                <w:rFonts w:hint="default" w:ascii="Times New Roman" w:hAnsi="Times New Roman" w:cs="Times New Roman"/>
                <w:color w:val="auto"/>
                <w:sz w:val="24"/>
                <w:szCs w:val="24"/>
                <w:highlight w:val="none"/>
                <w:lang w:val="en-US" w:eastAsia="zh-CN"/>
              </w:rPr>
              <w:t>4.2-</w:t>
            </w:r>
            <w:r>
              <w:rPr>
                <w:rFonts w:hint="eastAsia" w:ascii="Times New Roman" w:hAnsi="Times New Roman" w:cs="Times New Roman"/>
                <w:color w:val="auto"/>
                <w:sz w:val="24"/>
                <w:szCs w:val="24"/>
                <w:highlight w:val="none"/>
                <w:lang w:val="en-US" w:eastAsia="zh-CN"/>
              </w:rPr>
              <w:t>7</w:t>
            </w:r>
            <w:r>
              <w:rPr>
                <w:rFonts w:hint="default"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项目面源废气预测参数一览表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outlineLvl w:val="2"/>
              <w:rPr>
                <w:rFonts w:hint="default" w:ascii="Times New Roman" w:hAnsi="Times New Roman" w:cs="Times New Roman"/>
                <w:b w:val="0"/>
                <w:bCs/>
                <w:color w:val="auto"/>
                <w:sz w:val="24"/>
                <w:szCs w:val="24"/>
                <w:highlight w:val="none"/>
                <w:lang w:val="en-GB"/>
              </w:rPr>
            </w:pPr>
            <w:bookmarkStart w:id="37" w:name="_Toc7617"/>
            <w:bookmarkStart w:id="38" w:name="_Toc17348"/>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US" w:eastAsia="zh-CN"/>
              </w:rPr>
              <w:t>3</w:t>
            </w:r>
            <w:r>
              <w:rPr>
                <w:rFonts w:hint="eastAsia" w:cs="Times New Roman"/>
                <w:b w:val="0"/>
                <w:bCs/>
                <w:color w:val="auto"/>
                <w:sz w:val="24"/>
                <w:szCs w:val="24"/>
                <w:highlight w:val="none"/>
                <w:lang w:val="en-US" w:eastAsia="zh-CN"/>
              </w:rPr>
              <w:t>)</w:t>
            </w:r>
            <w:r>
              <w:rPr>
                <w:rFonts w:hint="default" w:ascii="Times New Roman" w:hAnsi="Times New Roman" w:cs="Times New Roman"/>
                <w:b w:val="0"/>
                <w:bCs/>
                <w:color w:val="auto"/>
                <w:sz w:val="24"/>
                <w:szCs w:val="24"/>
                <w:highlight w:val="none"/>
                <w:lang w:val="en-GB"/>
              </w:rPr>
              <w:t>评价</w:t>
            </w:r>
            <w:r>
              <w:rPr>
                <w:rFonts w:hint="default" w:ascii="Times New Roman" w:hAnsi="Times New Roman" w:eastAsia="宋体" w:cs="Times New Roman"/>
                <w:b w:val="0"/>
                <w:bCs/>
                <w:color w:val="auto"/>
                <w:sz w:val="24"/>
                <w:szCs w:val="24"/>
                <w:highlight w:val="none"/>
                <w:lang w:val="en-GB"/>
              </w:rPr>
              <w:t>结果</w:t>
            </w:r>
            <w:r>
              <w:rPr>
                <w:rFonts w:hint="default" w:ascii="Times New Roman" w:hAnsi="Times New Roman" w:cs="Times New Roman"/>
                <w:b w:val="0"/>
                <w:bCs/>
                <w:color w:val="auto"/>
                <w:sz w:val="24"/>
                <w:szCs w:val="24"/>
                <w:highlight w:val="none"/>
                <w:lang w:val="en-GB"/>
              </w:rPr>
              <w:t>分析</w:t>
            </w:r>
            <w:bookmarkEnd w:id="37"/>
            <w:bookmarkEnd w:id="38"/>
          </w:p>
          <w:p>
            <w:pPr>
              <w:pStyle w:val="52"/>
              <w:keepNext w:val="0"/>
              <w:keepLines w:val="0"/>
              <w:pageBreakBefore w:val="0"/>
              <w:widowControl w:val="0"/>
              <w:kinsoku/>
              <w:wordWrap/>
              <w:overflowPunct/>
              <w:topLinePunct w:val="0"/>
              <w:autoSpaceDE/>
              <w:autoSpaceDN/>
              <w:bidi w:val="0"/>
              <w:textAlignment w:val="auto"/>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①估算模式及参数</w:t>
            </w:r>
          </w:p>
          <w:p>
            <w:pPr>
              <w:pStyle w:val="52"/>
              <w:rPr>
                <w:rFonts w:hint="default" w:ascii="Times New Roman" w:hAnsi="Times New Roman" w:cs="Times New Roman"/>
                <w:color w:val="auto"/>
                <w:szCs w:val="24"/>
                <w:highlight w:val="none"/>
                <w:lang w:eastAsia="zh-CN"/>
              </w:rPr>
            </w:pPr>
            <w:r>
              <w:rPr>
                <w:rFonts w:hint="eastAsia" w:cs="Times New Roman"/>
                <w:color w:val="auto"/>
                <w:szCs w:val="22"/>
                <w:highlight w:val="none"/>
                <w:lang w:val="en-GB" w:eastAsia="zh-CN"/>
              </w:rPr>
              <w:t>项目</w:t>
            </w:r>
            <w:r>
              <w:rPr>
                <w:rFonts w:hint="default" w:ascii="Times New Roman" w:hAnsi="Times New Roman" w:cs="Times New Roman"/>
                <w:color w:val="auto"/>
                <w:szCs w:val="22"/>
                <w:highlight w:val="none"/>
                <w:lang w:val="en-GB"/>
              </w:rPr>
              <w:t>废气排放预测采用《环境影响评价技术导则</w:t>
            </w:r>
            <w:r>
              <w:rPr>
                <w:rFonts w:hint="default" w:ascii="Times New Roman" w:hAnsi="Times New Roman" w:cs="Times New Roman"/>
                <w:color w:val="auto"/>
                <w:szCs w:val="22"/>
                <w:highlight w:val="none"/>
                <w:lang w:val="en-US" w:eastAsia="zh-CN"/>
              </w:rPr>
              <w:t xml:space="preserve"> </w:t>
            </w:r>
            <w:r>
              <w:rPr>
                <w:rFonts w:hint="default" w:ascii="Times New Roman" w:hAnsi="Times New Roman" w:cs="Times New Roman"/>
                <w:color w:val="auto"/>
                <w:szCs w:val="22"/>
                <w:highlight w:val="none"/>
                <w:lang w:val="en-GB" w:eastAsia="zh-CN"/>
              </w:rPr>
              <w:t>大气</w:t>
            </w:r>
            <w:r>
              <w:rPr>
                <w:rFonts w:hint="default" w:ascii="Times New Roman" w:hAnsi="Times New Roman" w:cs="Times New Roman"/>
                <w:color w:val="auto"/>
                <w:szCs w:val="22"/>
                <w:highlight w:val="none"/>
                <w:lang w:val="en-GB"/>
              </w:rPr>
              <w:t>环境》</w:t>
            </w:r>
            <w:r>
              <w:rPr>
                <w:rFonts w:hint="eastAsia" w:cs="Times New Roman"/>
                <w:color w:val="auto"/>
                <w:szCs w:val="22"/>
                <w:highlight w:val="none"/>
                <w:lang w:val="en-GB" w:eastAsia="zh-CN"/>
              </w:rPr>
              <w:t>(</w:t>
            </w:r>
            <w:r>
              <w:rPr>
                <w:rFonts w:hint="default" w:ascii="Times New Roman" w:hAnsi="Times New Roman" w:cs="Times New Roman"/>
                <w:color w:val="auto"/>
                <w:szCs w:val="22"/>
                <w:highlight w:val="none"/>
                <w:lang w:val="en-GB"/>
              </w:rPr>
              <w:t>HJ2.2-2018</w:t>
            </w:r>
            <w:r>
              <w:rPr>
                <w:rFonts w:hint="eastAsia" w:cs="Times New Roman"/>
                <w:color w:val="auto"/>
                <w:szCs w:val="22"/>
                <w:highlight w:val="none"/>
                <w:lang w:val="en-GB" w:eastAsia="zh-CN"/>
              </w:rPr>
              <w:t>)</w:t>
            </w:r>
            <w:r>
              <w:rPr>
                <w:rFonts w:hint="default" w:ascii="Times New Roman" w:hAnsi="Times New Roman" w:cs="Times New Roman"/>
                <w:color w:val="auto"/>
                <w:szCs w:val="22"/>
                <w:highlight w:val="none"/>
                <w:lang w:val="en-GB"/>
              </w:rPr>
              <w:t>推荐的AERSCREEN估算模式，估算模式所用参数</w:t>
            </w:r>
            <w:r>
              <w:rPr>
                <w:rFonts w:hint="default" w:ascii="Times New Roman" w:hAnsi="Times New Roman" w:cs="Times New Roman"/>
                <w:color w:val="auto"/>
                <w:szCs w:val="22"/>
                <w:highlight w:val="none"/>
                <w:lang w:val="en-US" w:eastAsia="zh-CN"/>
              </w:rPr>
              <w:t>4.2-</w:t>
            </w:r>
            <w:r>
              <w:rPr>
                <w:rFonts w:hint="eastAsia" w:cs="Times New Roman"/>
                <w:color w:val="auto"/>
                <w:szCs w:val="22"/>
                <w:highlight w:val="none"/>
                <w:lang w:val="en-US" w:eastAsia="zh-CN"/>
              </w:rPr>
              <w:t>8</w:t>
            </w:r>
            <w:r>
              <w:rPr>
                <w:rFonts w:hint="default" w:ascii="Times New Roman" w:hAnsi="Times New Roman" w:cs="Times New Roman"/>
                <w:color w:val="auto"/>
                <w:szCs w:val="24"/>
                <w:highlight w:val="none"/>
                <w:lang w:eastAsia="zh-CN"/>
              </w:rPr>
              <w:t>。</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项目废气预测参数一览表</w:t>
            </w:r>
          </w:p>
          <w:p>
            <w:pPr>
              <w:pStyle w:val="52"/>
              <w:spacing w:before="120" w:beforeLines="50"/>
              <w:rPr>
                <w:rFonts w:hint="default" w:ascii="Times New Roman" w:hAnsi="Times New Roman" w:cs="Times New Roman"/>
                <w:color w:val="auto"/>
                <w:szCs w:val="22"/>
                <w:highlight w:val="none"/>
                <w:lang w:val="en-GB"/>
              </w:rPr>
            </w:pPr>
            <w:r>
              <w:rPr>
                <w:rFonts w:hint="default" w:ascii="Times New Roman" w:hAnsi="Times New Roman" w:cs="Times New Roman"/>
                <w:color w:val="auto"/>
                <w:szCs w:val="22"/>
                <w:highlight w:val="none"/>
                <w:lang w:val="en-GB"/>
              </w:rPr>
              <w:t>②预测质量浓度及占标率分析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auto"/>
                <w:szCs w:val="22"/>
                <w:highlight w:val="none"/>
                <w:lang w:val="en-US" w:eastAsia="zh-CN"/>
              </w:rPr>
            </w:pPr>
            <w:r>
              <w:rPr>
                <w:rFonts w:hint="default" w:ascii="Times New Roman" w:hAnsi="Times New Roman" w:cs="Times New Roman"/>
                <w:color w:val="auto"/>
                <w:szCs w:val="22"/>
                <w:highlight w:val="none"/>
                <w:lang w:val="en-GB"/>
              </w:rPr>
              <w:t>项目废气预测质量浓度及占标率分析结果详见表</w:t>
            </w:r>
            <w:r>
              <w:rPr>
                <w:rFonts w:hint="default" w:ascii="Times New Roman" w:hAnsi="Times New Roman" w:cs="Times New Roman"/>
                <w:color w:val="auto"/>
                <w:szCs w:val="22"/>
                <w:highlight w:val="none"/>
                <w:lang w:val="en-US" w:eastAsia="zh-CN"/>
              </w:rPr>
              <w:t>4.2-</w:t>
            </w:r>
            <w:bookmarkEnd w:id="34"/>
            <w:bookmarkStart w:id="39" w:name="_Toc27919_WPSOffice_Level2"/>
            <w:r>
              <w:rPr>
                <w:rFonts w:hint="eastAsia" w:ascii="Times New Roman" w:hAnsi="Times New Roman" w:cs="Times New Roman"/>
                <w:color w:val="auto"/>
                <w:szCs w:val="22"/>
                <w:highlight w:val="none"/>
                <w:lang w:val="en-US" w:eastAsia="zh-CN"/>
              </w:rPr>
              <w:t>9</w:t>
            </w:r>
            <w:r>
              <w:rPr>
                <w:rFonts w:hint="default" w:ascii="Times New Roman" w:hAnsi="Times New Roman" w:cs="Times New Roman"/>
                <w:color w:val="auto"/>
                <w:szCs w:val="22"/>
                <w:highlight w:val="none"/>
                <w:lang w:val="en-US" w:eastAsia="zh-CN"/>
              </w:rPr>
              <w:t>。</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表4.2-</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项目正常工况下大气污染物影响估算结果表</w:t>
            </w:r>
            <w:bookmarkEnd w:id="39"/>
          </w:p>
          <w:p>
            <w:pPr>
              <w:pStyle w:val="39"/>
              <w:keepNext w:val="0"/>
              <w:keepLines w:val="0"/>
              <w:pageBreakBefore w:val="0"/>
              <w:widowControl/>
              <w:kinsoku/>
              <w:wordWrap/>
              <w:overflowPunct/>
              <w:topLinePunct w:val="0"/>
              <w:autoSpaceDE/>
              <w:autoSpaceDN/>
              <w:bidi w:val="0"/>
              <w:adjustRightInd/>
              <w:snapToGrid/>
              <w:spacing w:before="157" w:beforeLines="50" w:line="348" w:lineRule="auto"/>
              <w:ind w:firstLine="480"/>
              <w:jc w:val="both"/>
              <w:textAlignment w:val="auto"/>
              <w:rPr>
                <w:rFonts w:hint="default" w:ascii="Times New Roman" w:hAnsi="Times New Roman" w:eastAsia="宋体" w:cs="Times New Roman"/>
                <w:color w:val="auto"/>
                <w:kern w:val="2"/>
                <w:sz w:val="24"/>
                <w:szCs w:val="24"/>
                <w:highlight w:val="none"/>
                <w:lang w:eastAsia="zh-CN"/>
              </w:rPr>
            </w:pPr>
            <w:r>
              <w:rPr>
                <w:rFonts w:hint="default" w:ascii="Times New Roman" w:hAnsi="Times New Roman" w:eastAsia="宋体" w:cs="Times New Roman"/>
                <w:color w:val="auto"/>
                <w:sz w:val="24"/>
                <w:highlight w:val="none"/>
                <w:lang w:val="en-US" w:eastAsia="zh-CN"/>
              </w:rPr>
              <w:t>根据表4.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w:t>
            </w:r>
            <w:r>
              <w:rPr>
                <w:rFonts w:hint="eastAsia"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highlight w:val="none"/>
                <w:lang w:val="en-US" w:eastAsia="zh-CN"/>
              </w:rPr>
              <w:t>估算结果，项目</w:t>
            </w:r>
            <w:r>
              <w:rPr>
                <w:rFonts w:hint="eastAsia" w:ascii="Times New Roman" w:hAnsi="Times New Roman" w:cs="Times New Roman"/>
                <w:color w:val="auto"/>
                <w:sz w:val="24"/>
                <w:highlight w:val="none"/>
                <w:lang w:val="en-US" w:eastAsia="zh-CN"/>
              </w:rPr>
              <w:t>无组织排放的颗粒物</w:t>
            </w:r>
            <w:r>
              <w:rPr>
                <w:rFonts w:hint="default" w:ascii="Times New Roman" w:hAnsi="Times New Roman" w:eastAsia="宋体" w:cs="Times New Roman"/>
                <w:color w:val="auto"/>
                <w:sz w:val="24"/>
                <w:highlight w:val="none"/>
                <w:lang w:val="en-US" w:eastAsia="zh-CN"/>
              </w:rPr>
              <w:t>P</w:t>
            </w:r>
            <w:r>
              <w:rPr>
                <w:rFonts w:hint="default" w:ascii="Times New Roman" w:hAnsi="Times New Roman" w:eastAsia="宋体" w:cs="Times New Roman"/>
                <w:color w:val="auto"/>
                <w:sz w:val="24"/>
                <w:highlight w:val="none"/>
                <w:vertAlign w:val="subscript"/>
                <w:lang w:val="en-US" w:eastAsia="zh-CN"/>
              </w:rPr>
              <w:t>max</w:t>
            </w:r>
            <w:r>
              <w:rPr>
                <w:rFonts w:hint="default" w:ascii="Times New Roman" w:hAnsi="Times New Roman" w:eastAsia="宋体" w:cs="Times New Roman"/>
                <w:color w:val="auto"/>
                <w:sz w:val="24"/>
                <w:highlight w:val="none"/>
                <w:lang w:val="en-US" w:eastAsia="zh-CN"/>
              </w:rPr>
              <w:t>为</w:t>
            </w:r>
            <w:r>
              <w:rPr>
                <w:rFonts w:hint="eastAsia" w:ascii="Times New Roman" w:hAnsi="Times New Roman" w:cs="Times New Roman"/>
                <w:color w:val="auto"/>
                <w:sz w:val="24"/>
                <w:highlight w:val="none"/>
                <w:lang w:val="en-US" w:eastAsia="zh-CN"/>
              </w:rPr>
              <w:t>9.36</w:t>
            </w:r>
            <w:r>
              <w:rPr>
                <w:rFonts w:hint="default" w:ascii="Times New Roman" w:hAnsi="Times New Roman" w:eastAsia="宋体" w:cs="Times New Roman"/>
                <w:color w:val="auto"/>
                <w:sz w:val="24"/>
                <w:highlight w:val="none"/>
                <w:lang w:val="en-US" w:eastAsia="zh-CN"/>
              </w:rPr>
              <w:t>%，</w:t>
            </w:r>
            <w:r>
              <w:rPr>
                <w:rFonts w:hint="eastAsia" w:ascii="Times New Roman" w:hAnsi="Times New Roman" w:eastAsia="宋体" w:cs="Times New Roman"/>
                <w:color w:val="auto"/>
                <w:kern w:val="2"/>
                <w:sz w:val="24"/>
                <w:szCs w:val="24"/>
                <w:highlight w:val="none"/>
                <w:lang w:val="en-US" w:eastAsia="zh-CN"/>
              </w:rPr>
              <w:t>颗粒物</w:t>
            </w:r>
            <w:r>
              <w:rPr>
                <w:rFonts w:hint="default" w:ascii="Times New Roman" w:hAnsi="Times New Roman" w:eastAsia="宋体" w:cs="Times New Roman"/>
                <w:color w:val="auto"/>
                <w:kern w:val="2"/>
                <w:sz w:val="24"/>
                <w:szCs w:val="24"/>
                <w:highlight w:val="none"/>
                <w:lang w:eastAsia="zh-CN"/>
              </w:rPr>
              <w:t>预测质量浓度可满足《环境空气质量标准》</w:t>
            </w:r>
            <w:r>
              <w:rPr>
                <w:rFonts w:hint="eastAsia"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GB3096-2012</w:t>
            </w:r>
            <w:r>
              <w:rPr>
                <w:rFonts w:hint="eastAsia" w:eastAsia="宋体" w:cs="Times New Roman"/>
                <w:color w:val="auto"/>
                <w:kern w:val="2"/>
                <w:sz w:val="24"/>
                <w:szCs w:val="24"/>
                <w:highlight w:val="none"/>
                <w:lang w:eastAsia="zh-CN"/>
              </w:rPr>
              <w:t>)</w:t>
            </w:r>
            <w:r>
              <w:rPr>
                <w:rFonts w:hint="default" w:ascii="Times New Roman" w:hAnsi="Times New Roman" w:eastAsia="宋体" w:cs="Times New Roman"/>
                <w:color w:val="auto"/>
                <w:kern w:val="2"/>
                <w:sz w:val="24"/>
                <w:szCs w:val="24"/>
                <w:highlight w:val="none"/>
                <w:lang w:eastAsia="zh-CN"/>
              </w:rPr>
              <w:t>及其修改单中的二级标准的限值要求，本工程实施后污染物排放对区域污染物浓度增</w:t>
            </w:r>
            <w:r>
              <w:rPr>
                <w:rFonts w:hint="eastAsia" w:eastAsia="宋体" w:cs="Times New Roman"/>
                <w:color w:val="auto"/>
                <w:kern w:val="2"/>
                <w:sz w:val="24"/>
                <w:szCs w:val="24"/>
                <w:highlight w:val="none"/>
                <w:lang w:eastAsia="zh-CN"/>
              </w:rPr>
              <w:t>量的</w:t>
            </w:r>
            <w:r>
              <w:rPr>
                <w:rFonts w:hint="default" w:ascii="Times New Roman" w:hAnsi="Times New Roman" w:eastAsia="宋体" w:cs="Times New Roman"/>
                <w:color w:val="auto"/>
                <w:kern w:val="2"/>
                <w:sz w:val="24"/>
                <w:szCs w:val="24"/>
                <w:highlight w:val="none"/>
                <w:lang w:eastAsia="zh-CN"/>
              </w:rPr>
              <w:t>贡献值</w:t>
            </w:r>
            <w:r>
              <w:rPr>
                <w:rFonts w:hint="eastAsia" w:ascii="Times New Roman" w:hAnsi="Times New Roman" w:cs="Times New Roman"/>
                <w:color w:val="auto"/>
                <w:kern w:val="2"/>
                <w:sz w:val="24"/>
                <w:szCs w:val="24"/>
                <w:highlight w:val="none"/>
                <w:lang w:val="en-US" w:eastAsia="zh-CN"/>
              </w:rPr>
              <w:t>不大</w:t>
            </w:r>
            <w:r>
              <w:rPr>
                <w:rFonts w:hint="default" w:ascii="Times New Roman" w:hAnsi="Times New Roman" w:eastAsia="宋体" w:cs="Times New Roman"/>
                <w:color w:val="auto"/>
                <w:kern w:val="2"/>
                <w:sz w:val="24"/>
                <w:szCs w:val="24"/>
                <w:highlight w:val="none"/>
                <w:lang w:eastAsia="zh-CN"/>
              </w:rPr>
              <w:t>，对周边环境空气敏感点产生的影响较低。</w:t>
            </w:r>
          </w:p>
          <w:p>
            <w:pPr>
              <w:bidi w:val="0"/>
              <w:rPr>
                <w:rFonts w:hint="default"/>
                <w:b/>
                <w:bCs/>
                <w:lang w:val="en-US" w:eastAsia="zh-CN"/>
              </w:rPr>
            </w:pPr>
            <w:r>
              <w:rPr>
                <w:rFonts w:hint="eastAsia"/>
                <w:b/>
                <w:bCs/>
                <w:lang w:val="en-US" w:eastAsia="zh-CN"/>
              </w:rPr>
              <w:t>（2）有组织粉尘</w:t>
            </w:r>
            <w:r>
              <w:rPr>
                <w:rFonts w:hint="default"/>
                <w:b/>
                <w:bCs/>
                <w:lang w:val="en-US" w:eastAsia="zh-CN"/>
              </w:rPr>
              <w:t>处理措施</w:t>
            </w:r>
          </w:p>
          <w:p>
            <w:pPr>
              <w:bidi w:val="0"/>
              <w:rPr>
                <w:rFonts w:hint="default"/>
                <w:b/>
                <w:bCs/>
                <w:lang w:val="en-US" w:eastAsia="zh-CN"/>
              </w:rPr>
            </w:pPr>
            <w:r>
              <w:rPr>
                <w:rFonts w:hint="default"/>
                <w:b/>
                <w:bCs/>
                <w:lang w:val="en-US" w:eastAsia="zh-CN"/>
              </w:rPr>
              <w:t>①工艺流程</w:t>
            </w:r>
          </w:p>
          <w:p>
            <w:pPr>
              <w:bidi w:val="0"/>
              <w:rPr>
                <w:rFonts w:hint="default"/>
                <w:lang w:val="en-US" w:eastAsia="zh-CN"/>
              </w:rPr>
            </w:pPr>
            <w:r>
              <w:rPr>
                <w:rFonts w:hint="eastAsia"/>
                <w:lang w:val="en-US" w:eastAsia="zh-CN"/>
              </w:rPr>
              <w:t>项目对3#物料库内的筛分和破碎工序的设备进出料口上方设置集气罩，通过集气罩收集各类粉尘，而后将收集的废气通入布袋除尘装置对废气加以处理后通过1根15m高排气筒DA001排放。治理工艺流程详见下图4.2-1。</w:t>
            </w:r>
          </w:p>
          <w:p>
            <w:pPr>
              <w:pStyle w:val="30"/>
              <w:ind w:left="0" w:leftChars="0" w:firstLine="0" w:firstLineChars="0"/>
              <w:rPr>
                <w:rFonts w:hint="eastAsia"/>
                <w:lang w:val="en-US" w:eastAsia="zh-CN"/>
              </w:rPr>
            </w:pPr>
          </w:p>
          <w:p>
            <w:pPr>
              <w:pStyle w:val="33"/>
              <w:bidi w:val="0"/>
              <w:rPr>
                <w:rFonts w:hint="default" w:ascii="Times New Roman" w:hAnsi="Times New Roman" w:eastAsia="宋体" w:cs="Times New Roman"/>
                <w:b/>
                <w:color w:val="auto"/>
                <w:spacing w:val="0"/>
                <w:w w:val="100"/>
                <w:kern w:val="2"/>
                <w:position w:val="0"/>
                <w:sz w:val="24"/>
                <w:szCs w:val="24"/>
                <w:highlight w:val="none"/>
                <w:lang w:val="en-US" w:eastAsia="zh-CN" w:bidi="ar-SA"/>
              </w:rPr>
            </w:pPr>
            <w:r>
              <w:rPr>
                <w:rFonts w:hint="eastAsia" w:ascii="Times New Roman" w:hAnsi="Times New Roman" w:eastAsia="宋体" w:cs="Times New Roman"/>
                <w:b/>
                <w:color w:val="auto"/>
                <w:spacing w:val="0"/>
                <w:w w:val="100"/>
                <w:kern w:val="2"/>
                <w:position w:val="0"/>
                <w:sz w:val="24"/>
                <w:szCs w:val="24"/>
                <w:highlight w:val="none"/>
                <w:lang w:val="en-US" w:eastAsia="zh-CN" w:bidi="ar-SA"/>
              </w:rPr>
              <w:t>图4.2-1  项目有组织粉尘治理工艺示意图</w:t>
            </w:r>
          </w:p>
          <w:p>
            <w:pPr>
              <w:bidi w:val="0"/>
              <w:rPr>
                <w:rFonts w:hint="eastAsia"/>
                <w:b/>
                <w:bCs/>
                <w:lang w:eastAsia="zh-CN"/>
              </w:rPr>
            </w:pPr>
            <w:r>
              <w:rPr>
                <w:b/>
                <w:bCs/>
              </w:rPr>
              <w:t>②</w:t>
            </w:r>
            <w:r>
              <w:rPr>
                <w:rFonts w:hint="eastAsia"/>
                <w:b/>
                <w:bCs/>
                <w:lang w:eastAsia="zh-CN"/>
              </w:rPr>
              <w:t>技术可行分析</w:t>
            </w:r>
          </w:p>
          <w:p>
            <w:pPr>
              <w:bidi w:val="0"/>
              <w:rPr>
                <w:rFonts w:hint="eastAsia" w:ascii="Times New Roman" w:hAnsi="Times New Roman" w:eastAsia="宋体" w:cs="Times New Roman"/>
                <w:color w:val="auto"/>
                <w:szCs w:val="24"/>
                <w:lang w:val="en-US" w:eastAsia="zh-CN"/>
              </w:rPr>
            </w:pPr>
            <w:r>
              <w:rPr>
                <w:rFonts w:hint="eastAsia"/>
                <w:lang w:val="en-US" w:eastAsia="zh-CN"/>
              </w:rPr>
              <w:t>布袋除尘装置：是将含尘气体通过负压吸入除尘器，通过滤袋时粉尘被拦截在表面，洁净气体透过滤袋排出。当滤袋表面积灰增厚，脉冲阀启动，压缩空气通过喷吹管瞬间反向喷吹滤袋，使粉尘脱落至灰斗，实现自动清灰。该种设备具有除尘效率高，清灰无需停机，滤袋寿命长，兼具高效、耐用、低耗三大优势。根据环境保护产品技术要求脉冲喷吹类袋式除尘器（HJ/T 328-2006）表1可知，袋式除尘器的治理效率可达99.7%以上。</w:t>
            </w:r>
          </w:p>
          <w:p>
            <w:pPr>
              <w:bidi w:val="0"/>
              <w:rPr>
                <w:rFonts w:hint="default"/>
                <w:lang w:val="en-US" w:eastAsia="zh-CN"/>
              </w:rPr>
            </w:pPr>
            <w:r>
              <w:rPr>
                <w:rFonts w:hint="eastAsia"/>
                <w:lang w:val="en-US" w:eastAsia="zh-CN"/>
              </w:rPr>
              <w:t>本项目涉及水泥原辅材料使用，涉及水泥料仓，因此本评价废气可行技术参照《排污许可证申请与核发技术规范 水泥工业》（HJ847-2017）中附录B进行分析，具体详见表4.2-6。</w:t>
            </w:r>
          </w:p>
          <w:p>
            <w:pPr>
              <w:keepNext w:val="0"/>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w:t>
            </w:r>
            <w:r>
              <w:rPr>
                <w:rFonts w:hint="eastAsia" w:ascii="Times New Roman" w:hAnsi="Times New Roman" w:eastAsia="宋体" w:cs="Times New Roman"/>
                <w:b/>
                <w:bCs/>
                <w:color w:val="auto"/>
                <w:sz w:val="24"/>
                <w:szCs w:val="24"/>
                <w:lang w:val="en-US" w:eastAsia="zh-CN"/>
              </w:rPr>
              <w:t>2-10  废气治理可行技术参考表（摘录）</w:t>
            </w:r>
          </w:p>
          <w:tbl>
            <w:tblPr>
              <w:tblStyle w:val="25"/>
              <w:tblW w:w="827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967"/>
              <w:gridCol w:w="1390"/>
              <w:gridCol w:w="1790"/>
              <w:gridCol w:w="1792"/>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vMerge w:val="restart"/>
                  <w:tcBorders>
                    <w:tl2br w:val="nil"/>
                    <w:tr2bl w:val="nil"/>
                  </w:tcBorders>
                  <w:vAlign w:val="center"/>
                </w:tcPr>
                <w:p>
                  <w:pPr>
                    <w:pStyle w:val="28"/>
                    <w:bidi w:val="0"/>
                    <w:rPr>
                      <w:rFonts w:hint="eastAsia"/>
                      <w:highlight w:val="none"/>
                      <w:lang w:eastAsia="zh-CN"/>
                    </w:rPr>
                  </w:pPr>
                  <w:r>
                    <w:rPr>
                      <w:rFonts w:hint="eastAsia"/>
                      <w:highlight w:val="none"/>
                      <w:lang w:eastAsia="zh-CN"/>
                    </w:rPr>
                    <w:t>废气排放口</w:t>
                  </w:r>
                </w:p>
              </w:tc>
              <w:tc>
                <w:tcPr>
                  <w:tcW w:w="967" w:type="dxa"/>
                  <w:vMerge w:val="restart"/>
                  <w:tcBorders>
                    <w:tl2br w:val="nil"/>
                    <w:tr2bl w:val="nil"/>
                  </w:tcBorders>
                  <w:vAlign w:val="center"/>
                </w:tcPr>
                <w:p>
                  <w:pPr>
                    <w:pStyle w:val="28"/>
                    <w:bidi w:val="0"/>
                    <w:rPr>
                      <w:rFonts w:hint="eastAsia"/>
                      <w:lang w:eastAsia="zh-CN"/>
                    </w:rPr>
                  </w:pPr>
                  <w:r>
                    <w:rPr>
                      <w:rFonts w:hint="eastAsia"/>
                      <w:lang w:eastAsia="zh-CN"/>
                    </w:rPr>
                    <w:t>主要污染物</w:t>
                  </w:r>
                </w:p>
              </w:tc>
              <w:tc>
                <w:tcPr>
                  <w:tcW w:w="3180" w:type="dxa"/>
                  <w:gridSpan w:val="2"/>
                  <w:tcBorders>
                    <w:tl2br w:val="nil"/>
                    <w:tr2bl w:val="nil"/>
                  </w:tcBorders>
                  <w:vAlign w:val="center"/>
                </w:tcPr>
                <w:p>
                  <w:pPr>
                    <w:pStyle w:val="28"/>
                    <w:bidi w:val="0"/>
                    <w:rPr>
                      <w:rFonts w:hint="eastAsia"/>
                      <w:lang w:eastAsia="zh-CN"/>
                    </w:rPr>
                  </w:pPr>
                  <w:r>
                    <w:rPr>
                      <w:rFonts w:hint="eastAsia"/>
                      <w:lang w:eastAsia="zh-CN"/>
                    </w:rPr>
                    <w:t>可行技术</w:t>
                  </w:r>
                </w:p>
              </w:tc>
              <w:tc>
                <w:tcPr>
                  <w:tcW w:w="1792" w:type="dxa"/>
                  <w:vMerge w:val="restart"/>
                  <w:tcBorders>
                    <w:tl2br w:val="nil"/>
                    <w:tr2bl w:val="nil"/>
                  </w:tcBorders>
                  <w:vAlign w:val="center"/>
                </w:tcPr>
                <w:p>
                  <w:pPr>
                    <w:pStyle w:val="28"/>
                    <w:bidi w:val="0"/>
                    <w:rPr>
                      <w:rFonts w:hint="eastAsia"/>
                      <w:lang w:eastAsia="zh-CN"/>
                    </w:rPr>
                  </w:pPr>
                  <w:r>
                    <w:rPr>
                      <w:rFonts w:hint="eastAsia"/>
                      <w:lang w:eastAsia="zh-CN"/>
                    </w:rPr>
                    <w:t>本项目</w:t>
                  </w:r>
                </w:p>
              </w:tc>
              <w:tc>
                <w:tcPr>
                  <w:tcW w:w="1171" w:type="dxa"/>
                  <w:vMerge w:val="restart"/>
                  <w:tcBorders>
                    <w:tl2br w:val="nil"/>
                    <w:tr2bl w:val="nil"/>
                  </w:tcBorders>
                  <w:vAlign w:val="center"/>
                </w:tcPr>
                <w:p>
                  <w:pPr>
                    <w:pStyle w:val="28"/>
                    <w:bidi w:val="0"/>
                    <w:rPr>
                      <w:rFonts w:hint="eastAsia"/>
                      <w:lang w:eastAsia="zh-CN"/>
                    </w:rPr>
                  </w:pPr>
                  <w:r>
                    <w:rPr>
                      <w:rFonts w:hint="eastAsia"/>
                      <w:lang w:eastAsia="zh-CN"/>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vMerge w:val="continue"/>
                  <w:tcBorders>
                    <w:tl2br w:val="nil"/>
                    <w:tr2bl w:val="nil"/>
                  </w:tcBorders>
                  <w:vAlign w:val="center"/>
                </w:tcPr>
                <w:p>
                  <w:pPr>
                    <w:pStyle w:val="28"/>
                    <w:bidi w:val="0"/>
                    <w:rPr>
                      <w:rFonts w:hint="eastAsia"/>
                      <w:highlight w:val="none"/>
                      <w:lang w:eastAsia="zh-CN"/>
                    </w:rPr>
                  </w:pPr>
                </w:p>
              </w:tc>
              <w:tc>
                <w:tcPr>
                  <w:tcW w:w="967" w:type="dxa"/>
                  <w:vMerge w:val="continue"/>
                  <w:tcBorders>
                    <w:tl2br w:val="nil"/>
                    <w:tr2bl w:val="nil"/>
                  </w:tcBorders>
                  <w:vAlign w:val="center"/>
                </w:tcPr>
                <w:p>
                  <w:pPr>
                    <w:pStyle w:val="28"/>
                    <w:bidi w:val="0"/>
                    <w:rPr>
                      <w:rFonts w:hint="eastAsia"/>
                      <w:lang w:eastAsia="zh-CN"/>
                    </w:rPr>
                  </w:pPr>
                </w:p>
              </w:tc>
              <w:tc>
                <w:tcPr>
                  <w:tcW w:w="1390" w:type="dxa"/>
                  <w:tcBorders>
                    <w:tl2br w:val="nil"/>
                    <w:tr2bl w:val="nil"/>
                  </w:tcBorders>
                  <w:vAlign w:val="center"/>
                </w:tcPr>
                <w:p>
                  <w:pPr>
                    <w:pStyle w:val="28"/>
                    <w:bidi w:val="0"/>
                    <w:rPr>
                      <w:rFonts w:hint="eastAsia"/>
                      <w:lang w:eastAsia="zh-CN"/>
                    </w:rPr>
                  </w:pPr>
                  <w:r>
                    <w:rPr>
                      <w:rFonts w:hint="eastAsia"/>
                      <w:lang w:eastAsia="zh-CN"/>
                    </w:rPr>
                    <w:t>一般地区排污单位</w:t>
                  </w:r>
                </w:p>
              </w:tc>
              <w:tc>
                <w:tcPr>
                  <w:tcW w:w="1790" w:type="dxa"/>
                  <w:tcBorders>
                    <w:tl2br w:val="nil"/>
                    <w:tr2bl w:val="nil"/>
                  </w:tcBorders>
                  <w:vAlign w:val="center"/>
                </w:tcPr>
                <w:p>
                  <w:pPr>
                    <w:pStyle w:val="28"/>
                    <w:bidi w:val="0"/>
                    <w:rPr>
                      <w:rFonts w:hint="eastAsia"/>
                      <w:lang w:eastAsia="zh-CN"/>
                    </w:rPr>
                  </w:pPr>
                  <w:r>
                    <w:rPr>
                      <w:rFonts w:hint="eastAsia"/>
                      <w:lang w:eastAsia="zh-CN"/>
                    </w:rPr>
                    <w:t>重点地区</w:t>
                  </w:r>
                </w:p>
                <w:p>
                  <w:pPr>
                    <w:pStyle w:val="28"/>
                    <w:bidi w:val="0"/>
                    <w:rPr>
                      <w:rFonts w:hint="eastAsia"/>
                      <w:lang w:eastAsia="zh-CN"/>
                    </w:rPr>
                  </w:pPr>
                  <w:r>
                    <w:rPr>
                      <w:rFonts w:hint="eastAsia"/>
                      <w:lang w:eastAsia="zh-CN"/>
                    </w:rPr>
                    <w:t>排污单位</w:t>
                  </w:r>
                </w:p>
              </w:tc>
              <w:tc>
                <w:tcPr>
                  <w:tcW w:w="1792" w:type="dxa"/>
                  <w:vMerge w:val="continue"/>
                  <w:tcBorders>
                    <w:tl2br w:val="nil"/>
                    <w:tr2bl w:val="nil"/>
                  </w:tcBorders>
                  <w:vAlign w:val="center"/>
                </w:tcPr>
                <w:p>
                  <w:pPr>
                    <w:pStyle w:val="28"/>
                    <w:bidi w:val="0"/>
                    <w:rPr>
                      <w:rFonts w:hint="eastAsia"/>
                      <w:lang w:eastAsia="zh-CN"/>
                    </w:rPr>
                  </w:pPr>
                </w:p>
              </w:tc>
              <w:tc>
                <w:tcPr>
                  <w:tcW w:w="1171" w:type="dxa"/>
                  <w:vMerge w:val="continue"/>
                  <w:tcBorders>
                    <w:tl2br w:val="nil"/>
                    <w:tr2bl w:val="nil"/>
                  </w:tcBorders>
                  <w:vAlign w:val="center"/>
                </w:tcPr>
                <w:p>
                  <w:pPr>
                    <w:pStyle w:val="28"/>
                    <w:bidi w:val="0"/>
                    <w:rPr>
                      <w:rFonts w:hint="eastAsia"/>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62" w:type="dxa"/>
                  <w:tcBorders>
                    <w:tl2br w:val="nil"/>
                    <w:tr2bl w:val="nil"/>
                  </w:tcBorders>
                  <w:vAlign w:val="center"/>
                </w:tcPr>
                <w:p>
                  <w:pPr>
                    <w:pStyle w:val="28"/>
                    <w:bidi w:val="0"/>
                    <w:rPr>
                      <w:rFonts w:hint="eastAsia"/>
                      <w:highlight w:val="none"/>
                      <w:lang w:eastAsia="zh-CN"/>
                    </w:rPr>
                  </w:pPr>
                  <w:r>
                    <w:rPr>
                      <w:rFonts w:hint="eastAsia"/>
                      <w:highlight w:val="none"/>
                      <w:lang w:val="en-US" w:eastAsia="zh-CN"/>
                    </w:rPr>
                    <w:t>破碎机、</w:t>
                  </w:r>
                  <w:r>
                    <w:rPr>
                      <w:rFonts w:hint="eastAsia"/>
                      <w:highlight w:val="none"/>
                      <w:lang w:eastAsia="zh-CN"/>
                    </w:rPr>
                    <w:t>包装机及其他通风生产设备等排气筒</w:t>
                  </w:r>
                </w:p>
              </w:tc>
              <w:tc>
                <w:tcPr>
                  <w:tcW w:w="967" w:type="dxa"/>
                  <w:tcBorders>
                    <w:tl2br w:val="nil"/>
                    <w:tr2bl w:val="nil"/>
                  </w:tcBorders>
                  <w:vAlign w:val="center"/>
                </w:tcPr>
                <w:p>
                  <w:pPr>
                    <w:pStyle w:val="28"/>
                    <w:bidi w:val="0"/>
                    <w:rPr>
                      <w:rFonts w:hint="eastAsia"/>
                      <w:lang w:eastAsia="zh-CN"/>
                    </w:rPr>
                  </w:pPr>
                  <w:r>
                    <w:rPr>
                      <w:rFonts w:hint="eastAsia"/>
                      <w:lang w:eastAsia="zh-CN"/>
                    </w:rPr>
                    <w:t>颗粒物</w:t>
                  </w:r>
                </w:p>
              </w:tc>
              <w:tc>
                <w:tcPr>
                  <w:tcW w:w="1390" w:type="dxa"/>
                  <w:tcBorders>
                    <w:tl2br w:val="nil"/>
                    <w:tr2bl w:val="nil"/>
                  </w:tcBorders>
                  <w:vAlign w:val="center"/>
                </w:tcPr>
                <w:p>
                  <w:pPr>
                    <w:pStyle w:val="28"/>
                    <w:bidi w:val="0"/>
                    <w:rPr>
                      <w:rFonts w:hint="eastAsia"/>
                      <w:lang w:eastAsia="zh-CN"/>
                    </w:rPr>
                  </w:pPr>
                  <w:r>
                    <w:rPr>
                      <w:rFonts w:hint="eastAsia"/>
                      <w:lang w:eastAsia="zh-CN"/>
                    </w:rPr>
                    <w:t>袋式除尘器</w:t>
                  </w:r>
                </w:p>
              </w:tc>
              <w:tc>
                <w:tcPr>
                  <w:tcW w:w="1790" w:type="dxa"/>
                  <w:tcBorders>
                    <w:tl2br w:val="nil"/>
                    <w:tr2bl w:val="nil"/>
                  </w:tcBorders>
                  <w:vAlign w:val="center"/>
                </w:tcPr>
                <w:p>
                  <w:pPr>
                    <w:pStyle w:val="28"/>
                    <w:bidi w:val="0"/>
                    <w:rPr>
                      <w:rFonts w:hint="eastAsia"/>
                      <w:lang w:eastAsia="zh-CN"/>
                    </w:rPr>
                  </w:pPr>
                  <w:r>
                    <w:rPr>
                      <w:rFonts w:hint="eastAsia"/>
                      <w:lang w:eastAsia="zh-CN"/>
                    </w:rPr>
                    <w:t>覆膜滤料袋式除尘器</w:t>
                  </w:r>
                </w:p>
              </w:tc>
              <w:tc>
                <w:tcPr>
                  <w:tcW w:w="1792" w:type="dxa"/>
                  <w:tcBorders>
                    <w:tl2br w:val="nil"/>
                    <w:tr2bl w:val="nil"/>
                  </w:tcBorders>
                  <w:vAlign w:val="center"/>
                </w:tcPr>
                <w:p>
                  <w:pPr>
                    <w:pStyle w:val="28"/>
                    <w:bidi w:val="0"/>
                    <w:rPr>
                      <w:rFonts w:hint="eastAsia"/>
                      <w:lang w:eastAsia="zh-CN"/>
                    </w:rPr>
                  </w:pPr>
                  <w:r>
                    <w:rPr>
                      <w:rFonts w:hint="eastAsia"/>
                      <w:lang w:eastAsia="zh-CN"/>
                    </w:rPr>
                    <w:t>布袋除尘装置</w:t>
                  </w:r>
                </w:p>
              </w:tc>
              <w:tc>
                <w:tcPr>
                  <w:tcW w:w="1171" w:type="dxa"/>
                  <w:tcBorders>
                    <w:tl2br w:val="nil"/>
                    <w:tr2bl w:val="nil"/>
                  </w:tcBorders>
                  <w:vAlign w:val="center"/>
                </w:tcPr>
                <w:p>
                  <w:pPr>
                    <w:pStyle w:val="28"/>
                    <w:bidi w:val="0"/>
                    <w:rPr>
                      <w:rFonts w:hint="eastAsia"/>
                      <w:lang w:eastAsia="zh-CN"/>
                    </w:rPr>
                  </w:pPr>
                  <w:r>
                    <w:rPr>
                      <w:rFonts w:hint="eastAsia"/>
                      <w:lang w:eastAsia="zh-CN"/>
                    </w:rPr>
                    <w:t>是</w:t>
                  </w:r>
                </w:p>
              </w:tc>
            </w:tr>
          </w:tbl>
          <w:p>
            <w:pPr>
              <w:bidi w:val="0"/>
              <w:rPr>
                <w:rFonts w:hint="default" w:ascii="Times New Roman" w:hAnsi="Times New Roman" w:eastAsia="宋体" w:cs="Times New Roman"/>
                <w:color w:val="auto"/>
                <w:szCs w:val="24"/>
                <w:lang w:val="en-US" w:eastAsia="zh-CN"/>
              </w:rPr>
            </w:pPr>
            <w:r>
              <w:rPr>
                <w:rFonts w:hint="eastAsia"/>
                <w:lang w:val="en-US" w:eastAsia="zh-CN"/>
              </w:rPr>
              <w:t>根据上表可知，项目破碎、筛分粉尘采用</w:t>
            </w:r>
            <w:r>
              <w:rPr>
                <w:rFonts w:hint="eastAsia"/>
                <w:lang w:eastAsia="zh-CN"/>
              </w:rPr>
              <w:t>布袋除尘装置</w:t>
            </w:r>
            <w:r>
              <w:rPr>
                <w:rFonts w:hint="eastAsia"/>
                <w:lang w:val="en-US" w:eastAsia="zh-CN"/>
              </w:rPr>
              <w:t>处理属于可行技术。根据上文预测，经收集处理后的有组织排放粉料仓呼吸尘（排气筒DA001）颗粒物排放浓度</w:t>
            </w:r>
            <w:r>
              <w:rPr>
                <w:rFonts w:hint="eastAsia"/>
                <w:highlight w:val="none"/>
                <w:lang w:val="en-US" w:eastAsia="zh-CN"/>
              </w:rPr>
              <w:t>约为6.74mg/m</w:t>
            </w:r>
            <w:r>
              <w:rPr>
                <w:rFonts w:hint="eastAsia"/>
                <w:highlight w:val="none"/>
                <w:vertAlign w:val="superscript"/>
                <w:lang w:val="en-US" w:eastAsia="zh-CN"/>
              </w:rPr>
              <w:t>3</w:t>
            </w:r>
            <w:r>
              <w:rPr>
                <w:rFonts w:hint="eastAsia"/>
                <w:highlight w:val="none"/>
                <w:lang w:val="en-US" w:eastAsia="zh-CN"/>
              </w:rPr>
              <w:t>，可达《大气污染物综合排放标准》（GB16297-1996）表2中大气污染物排放限值要求（即颗粒物≤120mg/m</w:t>
            </w:r>
            <w:r>
              <w:rPr>
                <w:rFonts w:hint="eastAsia"/>
                <w:highlight w:val="none"/>
                <w:vertAlign w:val="superscript"/>
                <w:lang w:val="en-US" w:eastAsia="zh-CN"/>
              </w:rPr>
              <w:t>3</w:t>
            </w:r>
            <w:r>
              <w:rPr>
                <w:rFonts w:hint="eastAsia"/>
                <w:highlight w:val="none"/>
                <w:lang w:val="en-US" w:eastAsia="zh-CN"/>
              </w:rPr>
              <w:t>）。</w:t>
            </w:r>
          </w:p>
          <w:p>
            <w:pPr>
              <w:bidi w:val="0"/>
              <w:rPr>
                <w:rFonts w:hint="eastAsia"/>
                <w:b/>
                <w:bCs/>
                <w:color w:val="auto"/>
                <w:lang w:val="en-US" w:eastAsia="zh-CN"/>
              </w:rPr>
            </w:pPr>
          </w:p>
          <w:p>
            <w:pPr>
              <w:bidi w:val="0"/>
              <w:rPr>
                <w:b/>
                <w:bCs/>
                <w:color w:val="auto"/>
              </w:rPr>
            </w:pPr>
            <w:r>
              <w:rPr>
                <w:rFonts w:hint="eastAsia"/>
                <w:b/>
                <w:bCs/>
                <w:color w:val="auto"/>
                <w:lang w:val="en-US" w:eastAsia="zh-CN"/>
              </w:rPr>
              <w:t>（3）粉尘无组织废气</w:t>
            </w:r>
            <w:r>
              <w:rPr>
                <w:rFonts w:hint="eastAsia"/>
                <w:b/>
                <w:bCs/>
                <w:color w:val="auto"/>
              </w:rPr>
              <w:t>排放控制要求</w:t>
            </w:r>
          </w:p>
          <w:p>
            <w:pPr>
              <w:bidi w:val="0"/>
              <w:rPr>
                <w:rFonts w:hint="eastAsia"/>
                <w:color w:val="auto"/>
                <w:lang w:val="en-US" w:eastAsia="zh-CN"/>
              </w:rPr>
            </w:pPr>
            <w:r>
              <w:rPr>
                <w:rFonts w:hint="eastAsia"/>
                <w:color w:val="auto"/>
                <w:lang w:eastAsia="zh-CN"/>
              </w:rPr>
              <w:t>参考</w:t>
            </w:r>
            <w:r>
              <w:rPr>
                <w:rFonts w:hint="default"/>
                <w:color w:val="auto"/>
              </w:rPr>
              <w:t xml:space="preserve">《排污许可证申请与核发技术规范 </w:t>
            </w:r>
            <w:r>
              <w:rPr>
                <w:rFonts w:hint="eastAsia"/>
                <w:color w:val="auto"/>
                <w:lang w:eastAsia="zh-CN"/>
              </w:rPr>
              <w:t>水泥工业</w:t>
            </w:r>
            <w:r>
              <w:rPr>
                <w:rFonts w:hint="default"/>
                <w:color w:val="auto"/>
              </w:rPr>
              <w:t>》</w:t>
            </w:r>
            <w:r>
              <w:rPr>
                <w:rFonts w:hint="eastAsia"/>
                <w:color w:val="auto"/>
                <w:lang w:val="en-US" w:eastAsia="zh-CN"/>
              </w:rPr>
              <w:t>（HJ847-2017）表4水泥工业排污单位无组织控制要求，本项目粉尘无组织控制措施如下：</w:t>
            </w:r>
          </w:p>
          <w:p>
            <w:pPr>
              <w:bidi w:val="0"/>
              <w:rPr>
                <w:rFonts w:hint="eastAsia"/>
                <w:color w:val="auto"/>
                <w:lang w:val="en-US" w:eastAsia="zh-CN"/>
              </w:rPr>
            </w:pPr>
            <w:r>
              <w:rPr>
                <w:rFonts w:hint="eastAsia"/>
                <w:color w:val="auto"/>
                <w:lang w:val="en-US" w:eastAsia="zh-CN"/>
              </w:rPr>
              <w:t>①砂石储存骨料仓采取三面及顶部围蔽防尘，仅保留进出料面敞开，配套喷淋装置喷淋抑尘；</w:t>
            </w:r>
          </w:p>
          <w:p>
            <w:pPr>
              <w:bidi w:val="0"/>
              <w:rPr>
                <w:rFonts w:hint="eastAsia"/>
                <w:color w:val="auto"/>
                <w:lang w:val="en-US" w:eastAsia="zh-CN"/>
              </w:rPr>
            </w:pPr>
            <w:r>
              <w:rPr>
                <w:rFonts w:hint="eastAsia"/>
                <w:color w:val="auto"/>
                <w:lang w:val="en-US" w:eastAsia="zh-CN"/>
              </w:rPr>
              <w:t>②搅拌站整体封闭设置，搅拌机搅拌密闭运行，对称量进料层、搅拌层、装车层加设喷淋装置抑尘；</w:t>
            </w:r>
          </w:p>
          <w:p>
            <w:pPr>
              <w:bidi w:val="0"/>
              <w:rPr>
                <w:rFonts w:hint="eastAsia"/>
                <w:color w:val="auto"/>
                <w:lang w:val="en-US" w:eastAsia="zh-CN"/>
              </w:rPr>
            </w:pPr>
            <w:r>
              <w:rPr>
                <w:rFonts w:hint="eastAsia"/>
                <w:color w:val="auto"/>
                <w:lang w:val="en-US" w:eastAsia="zh-CN"/>
              </w:rPr>
              <w:t>③物料厂内运输环节扬尘通过严格控制车辆运载量、低速行驶，厂区路面硬化并定期人工洒水抑尘和清扫降尘，对于砂石料、水泥等易产尘材料采用密闭运输车进行运输，运输前砂石表面加湿，在厂区出入口设置洗车台进行车辆冲洗，降低运输扬尘；</w:t>
            </w:r>
          </w:p>
          <w:p>
            <w:pPr>
              <w:bidi w:val="0"/>
              <w:rPr>
                <w:rFonts w:hint="eastAsia"/>
                <w:color w:val="auto"/>
                <w:lang w:val="en-US" w:eastAsia="zh-CN"/>
              </w:rPr>
            </w:pPr>
            <w:r>
              <w:rPr>
                <w:rFonts w:hint="eastAsia"/>
                <w:color w:val="auto"/>
                <w:lang w:val="en-US" w:eastAsia="zh-CN"/>
              </w:rPr>
              <w:t>③厂内砂石料输送带仅保留进卸料口，廊道封闭，在输送带进出口、砂石进料区配套喷淋装置喷淋抑尘；</w:t>
            </w:r>
          </w:p>
          <w:p>
            <w:pPr>
              <w:bidi w:val="0"/>
              <w:rPr>
                <w:rFonts w:hint="eastAsia"/>
                <w:color w:val="auto"/>
                <w:lang w:val="en-US" w:eastAsia="zh-CN"/>
              </w:rPr>
            </w:pPr>
            <w:r>
              <w:rPr>
                <w:rFonts w:hint="eastAsia"/>
                <w:color w:val="auto"/>
                <w:lang w:val="en-US" w:eastAsia="zh-CN"/>
              </w:rPr>
              <w:t>④厂内配置1台雾炮机，在装卸作业时喷雾降尘；在遇到风力4级及以上天气时，停止装卸物料作业；</w:t>
            </w:r>
          </w:p>
          <w:p>
            <w:pPr>
              <w:bidi w:val="0"/>
              <w:rPr>
                <w:rFonts w:hint="default"/>
                <w:color w:val="auto"/>
                <w:lang w:val="en-US" w:eastAsia="zh-CN"/>
              </w:rPr>
            </w:pPr>
            <w:r>
              <w:rPr>
                <w:rFonts w:hint="eastAsia"/>
                <w:color w:val="auto"/>
                <w:lang w:val="en-US" w:eastAsia="zh-CN"/>
              </w:rPr>
              <w:t>⑤厂内位于2#搅拌楼内的粉料仓顶部均自带一套脉冲布袋除尘器，粉料仓呼吸尘经自带除尘器处理后在封闭的搅拌楼内排放，搅拌楼内加设喷淋装置抑尘；</w:t>
            </w:r>
          </w:p>
          <w:p>
            <w:pPr>
              <w:bidi w:val="0"/>
              <w:rPr>
                <w:rFonts w:hint="eastAsia"/>
                <w:color w:val="auto"/>
                <w:lang w:val="en-US" w:eastAsia="zh-CN"/>
              </w:rPr>
            </w:pPr>
            <w:r>
              <w:rPr>
                <w:rFonts w:hint="eastAsia"/>
                <w:color w:val="auto"/>
                <w:lang w:val="en-US" w:eastAsia="zh-CN"/>
              </w:rPr>
              <w:t>⑥</w:t>
            </w:r>
            <w:r>
              <w:rPr>
                <w:rFonts w:hint="eastAsia"/>
                <w:lang w:val="en-US" w:eastAsia="zh-CN"/>
              </w:rPr>
              <w:t>破碎、筛分粉尘经集气罩收集后通过袋式除尘器处理后通过15m高DA001排气筒排放，未被集气罩收集的部分粉尘在车间内采用喷淋除尘设备进行抑尘。</w:t>
            </w:r>
          </w:p>
          <w:p>
            <w:pPr>
              <w:bidi w:val="0"/>
              <w:rPr>
                <w:rFonts w:hint="eastAsia"/>
                <w:color w:val="auto"/>
                <w:lang w:val="en-US" w:eastAsia="zh-CN"/>
              </w:rPr>
            </w:pPr>
            <w:r>
              <w:rPr>
                <w:rFonts w:hint="eastAsia"/>
                <w:color w:val="auto"/>
                <w:lang w:val="en-US" w:eastAsia="zh-CN"/>
              </w:rPr>
              <w:t>⑦</w:t>
            </w:r>
            <w:r>
              <w:rPr>
                <w:rFonts w:hint="eastAsia"/>
                <w:color w:val="auto"/>
                <w:highlight w:val="none"/>
                <w:lang w:val="en-US" w:eastAsia="zh-CN"/>
              </w:rPr>
              <w:t>焊接烟尘采用车间无组织排放；</w:t>
            </w:r>
            <w:r>
              <w:rPr>
                <w:rFonts w:hint="eastAsia"/>
                <w:color w:val="auto"/>
                <w:lang w:val="en-US" w:eastAsia="zh-CN"/>
              </w:rPr>
              <w:t>加强日常作业管理，及时清扫重力沉降在地面的积尘；</w:t>
            </w:r>
          </w:p>
          <w:p>
            <w:pPr>
              <w:bidi w:val="0"/>
              <w:rPr>
                <w:rFonts w:hint="eastAsia"/>
                <w:color w:val="auto"/>
                <w:lang w:val="en-US" w:eastAsia="zh-CN"/>
              </w:rPr>
            </w:pPr>
            <w:r>
              <w:rPr>
                <w:rFonts w:hint="eastAsia"/>
                <w:color w:val="auto"/>
                <w:lang w:val="en-US" w:eastAsia="zh-CN"/>
              </w:rPr>
              <w:t>⑧加强对废气收集处理系统的维护保养，保证收集处理系统稳定正常运行；</w:t>
            </w:r>
          </w:p>
          <w:p>
            <w:pPr>
              <w:bidi w:val="0"/>
              <w:rPr>
                <w:rFonts w:hint="eastAsia"/>
                <w:color w:val="auto"/>
                <w:lang w:val="en-US" w:eastAsia="zh-CN"/>
              </w:rPr>
            </w:pPr>
            <w:r>
              <w:rPr>
                <w:rFonts w:hint="eastAsia"/>
                <w:color w:val="auto"/>
                <w:lang w:val="en-US" w:eastAsia="zh-CN"/>
              </w:rPr>
              <w:t>⑨靠近生产区的西侧、西南侧与南侧围墙设置喷淋装置，进一步降尘。</w:t>
            </w:r>
          </w:p>
          <w:p>
            <w:pPr>
              <w:bidi w:val="0"/>
              <w:rPr>
                <w:rFonts w:hint="eastAsia"/>
                <w:color w:val="auto"/>
                <w:lang w:val="en-US" w:eastAsia="zh-CN"/>
              </w:rPr>
            </w:pPr>
            <w:r>
              <w:rPr>
                <w:rFonts w:hint="eastAsia"/>
                <w:color w:val="auto"/>
                <w:lang w:val="en-US" w:eastAsia="zh-CN"/>
              </w:rPr>
              <w:t>经采取以上废气排放管控措施后，可有效降低项目生产过程中无组织排放粉尘对周边环境空气的影响。项目最近敏感目标为西北侧约260m的石溪村，距离较远且位于项目所在区域主导风向的侧风向，因此建设单位在切实落实本项目提出废气环保措施，并确保项目废气设施正常运转的情况下，项目粉尘对周边大气环境及敏感目标影响较小，采取的措施合理可行。</w:t>
            </w:r>
          </w:p>
          <w:p>
            <w:pPr>
              <w:pStyle w:val="4"/>
              <w:keepNext w:val="0"/>
              <w:keepLines w:val="0"/>
              <w:pageBreakBefore w:val="0"/>
              <w:widowControl w:val="0"/>
              <w:kinsoku/>
              <w:wordWrap/>
              <w:overflowPunct/>
              <w:topLinePunct w:val="0"/>
              <w:autoSpaceDE/>
              <w:autoSpaceDN/>
              <w:bidi w:val="0"/>
              <w:adjustRightInd w:val="0"/>
              <w:snapToGrid w:val="0"/>
              <w:textAlignment w:val="auto"/>
              <w:rPr>
                <w:rFonts w:hint="default"/>
                <w:color w:val="auto"/>
                <w:lang w:val="en-US" w:eastAsia="zh-CN"/>
              </w:rPr>
            </w:pPr>
            <w:r>
              <w:rPr>
                <w:rFonts w:hint="eastAsia"/>
                <w:color w:val="auto"/>
                <w:lang w:val="en-US" w:eastAsia="zh-CN"/>
              </w:rPr>
              <w:t>4.2.5环境防护距离分析</w:t>
            </w:r>
          </w:p>
          <w:p>
            <w:pPr>
              <w:bidi w:val="0"/>
              <w:rPr>
                <w:color w:val="auto"/>
              </w:rPr>
            </w:pPr>
            <w:r>
              <w:rPr>
                <w:rFonts w:hint="eastAsia"/>
                <w:color w:val="auto"/>
              </w:rPr>
              <w:t>根据《建设项目环境影响报告表编制技术指南(污染影响类)(试行)》(</w:t>
            </w:r>
            <w:r>
              <w:rPr>
                <w:color w:val="auto"/>
                <w:lang w:val="zh-CN"/>
              </w:rPr>
              <w:t>环办环评〔2020〕33号</w:t>
            </w:r>
            <w:r>
              <w:rPr>
                <w:rFonts w:hint="eastAsia"/>
                <w:color w:val="auto"/>
              </w:rPr>
              <w:t>)要求可知，目前不对项目</w:t>
            </w:r>
            <w:r>
              <w:rPr>
                <w:color w:val="auto"/>
              </w:rPr>
              <w:t>大气环境防护距离及卫生防护</w:t>
            </w:r>
            <w:r>
              <w:rPr>
                <w:rFonts w:hint="eastAsia"/>
                <w:color w:val="auto"/>
              </w:rPr>
              <w:t>距离进行要求。</w:t>
            </w:r>
            <w:r>
              <w:rPr>
                <w:b/>
                <w:bCs/>
                <w:color w:val="auto"/>
              </w:rPr>
              <w:t>根据环境影响评价网(</w:t>
            </w:r>
            <w:r>
              <w:rPr>
                <w:b/>
                <w:bCs/>
                <w:color w:val="auto"/>
                <w:lang w:val="zh-CN"/>
              </w:rPr>
              <w:t>生态环境部环境工程评估中心</w:t>
            </w:r>
            <w:r>
              <w:rPr>
                <w:b/>
                <w:bCs/>
                <w:color w:val="auto"/>
              </w:rPr>
              <w:t>)关于</w:t>
            </w:r>
            <w:r>
              <w:rPr>
                <w:b/>
                <w:bCs/>
                <w:color w:val="auto"/>
                <w:lang w:val="zh-CN"/>
              </w:rPr>
              <w:t>《建设项目环境影响报告表》内容、格式及编制技术指南常见问题解答</w:t>
            </w:r>
            <w:r>
              <w:rPr>
                <w:color w:val="auto"/>
                <w:lang w:val="zh-CN"/>
              </w:rPr>
              <w:t>：“</w:t>
            </w:r>
            <w:r>
              <w:rPr>
                <w:color w:val="auto"/>
              </w:rPr>
              <w:t>《建设项目环境影响评价技术导则 总纲》(HJ2.1-2016)未对卫生防护距离提出评价要求，建设项目环境影响报告表编制技术指南(以下简称技术指南)不</w:t>
            </w:r>
            <w:r>
              <w:rPr>
                <w:rFonts w:hint="eastAsia"/>
                <w:color w:val="auto"/>
                <w:lang w:eastAsia="zh-CN"/>
              </w:rPr>
              <w:t>作要求</w:t>
            </w:r>
            <w:r>
              <w:rPr>
                <w:color w:val="auto"/>
              </w:rPr>
              <w:t>。对于判定为需要开展大气专项评价的建设项目，根据《环境影响评价技术导则 大气环境》(HJ2.2-2018)需要计算大气环境防护距离的，应按要求计算</w:t>
            </w:r>
            <w:r>
              <w:rPr>
                <w:rFonts w:hint="eastAsia"/>
                <w:color w:val="auto"/>
                <w:lang w:eastAsia="zh-CN"/>
              </w:rPr>
              <w:t>”</w:t>
            </w:r>
            <w:r>
              <w:rPr>
                <w:color w:val="auto"/>
              </w:rPr>
              <w:t>。本项目不涉及大气专项评价，因此，在企业落实有效的废气收集、处理措施的前提下，可不设置</w:t>
            </w:r>
            <w:r>
              <w:rPr>
                <w:rFonts w:hint="eastAsia"/>
                <w:color w:val="auto"/>
                <w:lang w:val="en-US" w:eastAsia="zh-CN"/>
              </w:rPr>
              <w:t>大气</w:t>
            </w:r>
            <w:r>
              <w:rPr>
                <w:color w:val="auto"/>
              </w:rPr>
              <w:t>环境防护距离。</w:t>
            </w:r>
          </w:p>
          <w:p>
            <w:pPr>
              <w:pStyle w:val="4"/>
              <w:adjustRightInd w:val="0"/>
              <w:snapToGrid w:val="0"/>
              <w:rPr>
                <w:rFonts w:hint="eastAsia" w:ascii="Times New Roman" w:hAnsi="Times New Roman"/>
                <w:color w:val="auto"/>
                <w:lang w:val="en-US" w:eastAsia="zh-CN"/>
              </w:rPr>
            </w:pPr>
            <w:r>
              <w:rPr>
                <w:rFonts w:hint="eastAsia" w:ascii="Times New Roman" w:hAnsi="Times New Roman"/>
                <w:color w:val="auto"/>
                <w:lang w:val="en-US" w:eastAsia="zh-CN"/>
              </w:rPr>
              <w:t>4.2.6对周边福清市海兴食品有限公司的影响分析</w:t>
            </w:r>
          </w:p>
          <w:p>
            <w:pPr>
              <w:rPr>
                <w:rFonts w:hint="default"/>
                <w:color w:val="auto"/>
                <w:lang w:val="en-US" w:eastAsia="zh-CN"/>
              </w:rPr>
            </w:pPr>
            <w:r>
              <w:rPr>
                <w:rFonts w:hint="eastAsia" w:ascii="Times New Roman" w:hAnsi="Times New Roman"/>
                <w:color w:val="auto"/>
                <w:sz w:val="24"/>
                <w:szCs w:val="24"/>
                <w:lang w:val="en-US" w:eastAsia="zh-CN"/>
              </w:rPr>
              <w:t>根据前文分析，项目日常运行主要产生废气污染物为颗粒物，全厂排放速率为</w:t>
            </w:r>
            <w:r>
              <w:rPr>
                <w:rFonts w:hint="eastAsia"/>
                <w:color w:val="auto"/>
                <w:sz w:val="24"/>
                <w:szCs w:val="24"/>
                <w:lang w:val="en-US" w:eastAsia="zh-CN"/>
              </w:rPr>
              <w:t>2.4134</w:t>
            </w:r>
            <w:r>
              <w:rPr>
                <w:rFonts w:hint="eastAsia" w:ascii="Times New Roman" w:hAnsi="Times New Roman"/>
                <w:color w:val="auto"/>
                <w:sz w:val="24"/>
                <w:szCs w:val="24"/>
                <w:lang w:val="en-US" w:eastAsia="zh-CN"/>
              </w:rPr>
              <w:t>kg/h，排放量为</w:t>
            </w:r>
            <w:r>
              <w:rPr>
                <w:rFonts w:hint="eastAsia"/>
                <w:color w:val="auto"/>
                <w:lang w:val="en-US" w:eastAsia="zh-CN"/>
              </w:rPr>
              <w:t>6.483</w:t>
            </w:r>
            <w:r>
              <w:rPr>
                <w:rFonts w:hint="eastAsia" w:ascii="Times New Roman" w:hAnsi="Times New Roman"/>
                <w:color w:val="auto"/>
                <w:sz w:val="24"/>
                <w:szCs w:val="24"/>
                <w:lang w:val="en-US" w:eastAsia="zh-CN"/>
              </w:rPr>
              <w:t>t/a，</w:t>
            </w:r>
            <w:r>
              <w:rPr>
                <w:rFonts w:hint="eastAsia"/>
                <w:color w:val="auto"/>
                <w:sz w:val="24"/>
                <w:szCs w:val="24"/>
                <w:lang w:val="en-US" w:eastAsia="zh-CN"/>
              </w:rPr>
              <w:t>根据废气污染源预测结果，项目</w:t>
            </w:r>
            <w:r>
              <w:rPr>
                <w:rFonts w:hint="eastAsia" w:ascii="Times New Roman" w:hAnsi="Times New Roman" w:cs="Times New Roman"/>
                <w:color w:val="auto"/>
                <w:sz w:val="24"/>
                <w:szCs w:val="24"/>
                <w:highlight w:val="none"/>
                <w:lang w:val="en-US" w:eastAsia="zh-CN"/>
              </w:rPr>
              <w:t>无组织排放的颗粒物</w:t>
            </w:r>
            <w:r>
              <w:rPr>
                <w:rFonts w:hint="eastAsia" w:cs="Times New Roman"/>
                <w:color w:val="auto"/>
                <w:sz w:val="24"/>
                <w:szCs w:val="24"/>
                <w:highlight w:val="none"/>
                <w:lang w:val="en-US" w:eastAsia="zh-CN"/>
              </w:rPr>
              <w:t>贡献浓度最大值为0.0883m</w:t>
            </w:r>
            <w:r>
              <w:rPr>
                <w:rFonts w:hint="default" w:ascii="Times New Roman" w:hAnsi="Times New Roman" w:cs="Times New Roman"/>
                <w:color w:val="auto"/>
                <w:sz w:val="24"/>
                <w:szCs w:val="24"/>
                <w:highlight w:val="none"/>
              </w:rPr>
              <w:t>g/m</w:t>
            </w:r>
            <w:r>
              <w:rPr>
                <w:rFonts w:hint="default" w:ascii="Times New Roman" w:hAnsi="Times New Roman" w:cs="Times New Roman"/>
                <w:color w:val="auto"/>
                <w:sz w:val="24"/>
                <w:szCs w:val="24"/>
                <w:highlight w:val="none"/>
                <w:vertAlign w:val="superscript"/>
              </w:rPr>
              <w:t>3</w:t>
            </w:r>
            <w:r>
              <w:rPr>
                <w:rFonts w:hint="eastAsia" w:cs="Times New Roman"/>
                <w:color w:val="auto"/>
                <w:sz w:val="24"/>
                <w:szCs w:val="24"/>
                <w:highlight w:val="none"/>
                <w:lang w:val="en-US" w:eastAsia="zh-CN"/>
              </w:rPr>
              <w:t>，占标率为</w:t>
            </w:r>
            <w:r>
              <w:rPr>
                <w:rFonts w:hint="eastAsia" w:ascii="Times New Roman" w:hAnsi="Times New Roman" w:cs="Times New Roman"/>
                <w:color w:val="auto"/>
                <w:sz w:val="24"/>
                <w:szCs w:val="24"/>
                <w:highlight w:val="none"/>
                <w:lang w:val="en-US" w:eastAsia="zh-CN"/>
              </w:rPr>
              <w:t>9.36</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color w:val="auto"/>
                <w:sz w:val="24"/>
                <w:szCs w:val="24"/>
                <w:lang w:val="en-US" w:eastAsia="zh-CN"/>
              </w:rPr>
              <w:t>厂界颗粒物排放浓度</w:t>
            </w:r>
            <w:r>
              <w:rPr>
                <w:rFonts w:hint="eastAsia"/>
                <w:color w:val="auto"/>
                <w:sz w:val="24"/>
                <w:szCs w:val="24"/>
                <w:lang w:val="en-US" w:eastAsia="zh-CN"/>
              </w:rPr>
              <w:t>符合</w:t>
            </w:r>
            <w:r>
              <w:rPr>
                <w:rFonts w:hint="eastAsia" w:ascii="Times New Roman" w:hAnsi="Times New Roman" w:eastAsia="宋体"/>
                <w:b w:val="0"/>
                <w:bCs w:val="0"/>
                <w:color w:val="auto"/>
                <w:sz w:val="24"/>
                <w:szCs w:val="24"/>
                <w:shd w:val="clear" w:color="auto" w:fill="FFFFFF"/>
                <w:lang w:eastAsia="zh-CN"/>
              </w:rPr>
              <w:t>《水泥工业大气污染物排放标准》（DB35/1311-2013）表3排放限值</w:t>
            </w:r>
            <w:r>
              <w:rPr>
                <w:rFonts w:hint="eastAsia" w:ascii="Times New Roman" w:hAnsi="Times New Roman"/>
                <w:color w:val="auto"/>
                <w:sz w:val="24"/>
                <w:szCs w:val="24"/>
                <w:lang w:val="en-US" w:eastAsia="zh-CN"/>
              </w:rPr>
              <w:t>。</w:t>
            </w:r>
            <w:r>
              <w:rPr>
                <w:rFonts w:hint="eastAsia"/>
                <w:color w:val="auto"/>
                <w:sz w:val="24"/>
                <w:szCs w:val="24"/>
                <w:lang w:val="en-US" w:eastAsia="zh-CN"/>
              </w:rPr>
              <w:t>项目</w:t>
            </w:r>
            <w:r>
              <w:rPr>
                <w:rFonts w:hint="eastAsia" w:ascii="Times New Roman" w:hAnsi="Times New Roman" w:eastAsia="宋体" w:cs="Times New Roman"/>
                <w:color w:val="auto"/>
                <w:spacing w:val="0"/>
                <w:sz w:val="24"/>
                <w:szCs w:val="24"/>
                <w:highlight w:val="none"/>
                <w:lang w:val="en-US" w:eastAsia="zh-CN"/>
              </w:rPr>
              <w:t>通过合理布局，将靠近</w:t>
            </w:r>
            <w:r>
              <w:rPr>
                <w:rFonts w:hint="eastAsia" w:ascii="Times New Roman" w:hAnsi="Times New Roman"/>
                <w:color w:val="auto"/>
                <w:lang w:val="en-US" w:eastAsia="zh-CN"/>
              </w:rPr>
              <w:t>福清市海兴食品有限公司</w:t>
            </w:r>
            <w:r>
              <w:rPr>
                <w:rFonts w:hint="eastAsia" w:cs="Times New Roman"/>
                <w:color w:val="auto"/>
                <w:spacing w:val="0"/>
                <w:sz w:val="24"/>
                <w:szCs w:val="24"/>
                <w:highlight w:val="none"/>
                <w:lang w:val="en-US" w:eastAsia="zh-CN"/>
              </w:rPr>
              <w:t>位置布置为小车停车区（混凝土运输车停车区位于搅拌楼附近），将主要产尘车间搅拌楼、物料库等布置在远离海兴食品公司一侧，以减少对海兴食品公司的影响，同时</w:t>
            </w:r>
            <w:r>
              <w:rPr>
                <w:rFonts w:hint="eastAsia" w:ascii="Times New Roman" w:hAnsi="Times New Roman"/>
                <w:color w:val="auto"/>
                <w:lang w:val="en-US" w:eastAsia="zh-CN"/>
              </w:rPr>
              <w:t>海兴食品公司位于企业东侧，当地主导风向为东北-西南风向，海兴食品</w:t>
            </w:r>
            <w:r>
              <w:rPr>
                <w:rFonts w:hint="eastAsia"/>
                <w:color w:val="auto"/>
                <w:lang w:val="en-US" w:eastAsia="zh-CN"/>
              </w:rPr>
              <w:t>不</w:t>
            </w:r>
            <w:r>
              <w:rPr>
                <w:rFonts w:hint="eastAsia" w:ascii="Times New Roman" w:hAnsi="Times New Roman"/>
                <w:color w:val="auto"/>
                <w:lang w:val="en-US" w:eastAsia="zh-CN"/>
              </w:rPr>
              <w:t>位于本项目主导风向</w:t>
            </w:r>
            <w:r>
              <w:rPr>
                <w:rFonts w:hint="eastAsia"/>
                <w:color w:val="auto"/>
                <w:lang w:val="en-US" w:eastAsia="zh-CN"/>
              </w:rPr>
              <w:t>的下风向</w:t>
            </w:r>
            <w:r>
              <w:rPr>
                <w:rFonts w:hint="eastAsia" w:ascii="Times New Roman" w:hAnsi="Times New Roman"/>
                <w:color w:val="auto"/>
                <w:lang w:val="en-US" w:eastAsia="zh-CN"/>
              </w:rPr>
              <w:t>，因此本项目</w:t>
            </w:r>
            <w:r>
              <w:rPr>
                <w:rFonts w:hint="eastAsia"/>
                <w:color w:val="auto"/>
                <w:lang w:val="en-US" w:eastAsia="zh-CN"/>
              </w:rPr>
              <w:t>废气排放</w:t>
            </w:r>
            <w:r>
              <w:rPr>
                <w:rFonts w:hint="eastAsia" w:ascii="Times New Roman" w:hAnsi="Times New Roman"/>
                <w:color w:val="auto"/>
                <w:lang w:val="en-US" w:eastAsia="zh-CN"/>
              </w:rPr>
              <w:t>对其影响较小。</w:t>
            </w:r>
          </w:p>
          <w:p>
            <w:pPr>
              <w:pStyle w:val="4"/>
              <w:adjustRightInd w:val="0"/>
              <w:snapToGrid w:val="0"/>
              <w:rPr>
                <w:color w:val="auto"/>
              </w:rPr>
            </w:pPr>
            <w:r>
              <w:rPr>
                <w:color w:val="auto"/>
              </w:rPr>
              <w:t>4.</w:t>
            </w:r>
            <w:r>
              <w:rPr>
                <w:rFonts w:hint="eastAsia"/>
                <w:color w:val="auto"/>
                <w:lang w:val="en-US" w:eastAsia="zh-CN"/>
              </w:rPr>
              <w:t>2</w:t>
            </w:r>
            <w:r>
              <w:rPr>
                <w:color w:val="auto"/>
              </w:rPr>
              <w:t>.</w:t>
            </w:r>
            <w:r>
              <w:rPr>
                <w:rFonts w:hint="eastAsia"/>
                <w:color w:val="auto"/>
                <w:lang w:val="en-US" w:eastAsia="zh-CN"/>
              </w:rPr>
              <w:t>7</w:t>
            </w:r>
            <w:r>
              <w:rPr>
                <w:color w:val="auto"/>
              </w:rPr>
              <w:t>自行监测计划</w:t>
            </w:r>
          </w:p>
          <w:p>
            <w:pPr>
              <w:bidi w:val="0"/>
              <w:rPr>
                <w:rFonts w:hint="eastAsia"/>
                <w:color w:val="auto"/>
              </w:rPr>
            </w:pPr>
            <w:r>
              <w:rPr>
                <w:rFonts w:hint="eastAsia"/>
                <w:color w:val="auto"/>
                <w:lang w:val="en-US" w:eastAsia="zh-CN"/>
              </w:rPr>
              <w:t>根据</w:t>
            </w:r>
            <w:r>
              <w:rPr>
                <w:rFonts w:hint="eastAsia"/>
                <w:color w:val="auto"/>
              </w:rPr>
              <w:t>《排污单位自行监测技术指南 总则》(HJ 819-2017)</w:t>
            </w:r>
            <w:r>
              <w:rPr>
                <w:rFonts w:hint="eastAsia"/>
                <w:color w:val="auto"/>
                <w:lang w:eastAsia="zh-CN"/>
              </w:rPr>
              <w:t>、</w:t>
            </w:r>
            <w:r>
              <w:rPr>
                <w:rFonts w:hint="default"/>
                <w:color w:val="auto"/>
              </w:rPr>
              <w:t>《排污单位自行监测技术指南</w:t>
            </w:r>
            <w:r>
              <w:rPr>
                <w:rFonts w:hint="default"/>
                <w:color w:val="auto"/>
                <w:highlight w:val="none"/>
              </w:rPr>
              <w:t xml:space="preserve"> </w:t>
            </w:r>
            <w:r>
              <w:rPr>
                <w:rFonts w:hint="eastAsia"/>
                <w:color w:val="auto"/>
                <w:highlight w:val="none"/>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等要求，提出项目运营期废气自行监测计划，具体详见表4.</w:t>
            </w:r>
            <w:r>
              <w:rPr>
                <w:rFonts w:hint="eastAsia"/>
                <w:color w:val="auto"/>
                <w:lang w:val="en-US" w:eastAsia="zh-CN"/>
              </w:rPr>
              <w:t>2</w:t>
            </w:r>
            <w:r>
              <w:rPr>
                <w:rFonts w:hint="eastAsia"/>
                <w:color w:val="auto"/>
              </w:rPr>
              <w:t>-</w:t>
            </w:r>
            <w:r>
              <w:rPr>
                <w:rFonts w:hint="eastAsia"/>
                <w:color w:val="auto"/>
                <w:lang w:val="en-US" w:eastAsia="zh-CN"/>
              </w:rPr>
              <w:t>10</w:t>
            </w:r>
            <w:r>
              <w:rPr>
                <w:rFonts w:hint="eastAsia"/>
                <w:color w:val="auto"/>
              </w:rPr>
              <w:t>。</w:t>
            </w:r>
          </w:p>
          <w:p>
            <w:pPr>
              <w:pStyle w:val="33"/>
              <w:bidi w:val="0"/>
              <w:rPr>
                <w:rFonts w:hint="default"/>
                <w:color w:val="auto"/>
                <w:sz w:val="24"/>
                <w:szCs w:val="24"/>
                <w:lang w:val="en-US" w:eastAsia="zh-CN"/>
              </w:rPr>
            </w:pPr>
            <w:r>
              <w:rPr>
                <w:color w:val="auto"/>
                <w:sz w:val="24"/>
                <w:szCs w:val="24"/>
              </w:rPr>
              <w:t>表4.</w:t>
            </w:r>
            <w:r>
              <w:rPr>
                <w:rFonts w:hint="eastAsia"/>
                <w:color w:val="auto"/>
                <w:sz w:val="24"/>
                <w:szCs w:val="24"/>
                <w:lang w:val="en-US" w:eastAsia="zh-CN"/>
              </w:rPr>
              <w:t>2-11</w:t>
            </w:r>
            <w:r>
              <w:rPr>
                <w:rFonts w:hint="eastAsia"/>
                <w:color w:val="auto"/>
                <w:sz w:val="24"/>
                <w:szCs w:val="24"/>
              </w:rPr>
              <w:t xml:space="preserve"> </w:t>
            </w:r>
            <w:r>
              <w:rPr>
                <w:color w:val="auto"/>
                <w:sz w:val="24"/>
                <w:szCs w:val="24"/>
              </w:rPr>
              <w:t>项目废气自行监测计划</w:t>
            </w:r>
          </w:p>
          <w:tbl>
            <w:tblPr>
              <w:tblStyle w:val="24"/>
              <w:tblW w:w="82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4"/>
              <w:gridCol w:w="3449"/>
              <w:gridCol w:w="15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224" w:type="dxa"/>
                  <w:vAlign w:val="center"/>
                </w:tcPr>
                <w:p>
                  <w:pPr>
                    <w:pStyle w:val="28"/>
                    <w:bidi w:val="0"/>
                    <w:rPr>
                      <w:b/>
                      <w:bCs/>
                      <w:color w:val="auto"/>
                    </w:rPr>
                  </w:pPr>
                  <w:r>
                    <w:rPr>
                      <w:b/>
                      <w:bCs/>
                      <w:color w:val="auto"/>
                    </w:rPr>
                    <w:t>监测点位</w:t>
                  </w:r>
                </w:p>
              </w:tc>
              <w:tc>
                <w:tcPr>
                  <w:tcW w:w="3449" w:type="dxa"/>
                  <w:vAlign w:val="center"/>
                </w:tcPr>
                <w:p>
                  <w:pPr>
                    <w:pStyle w:val="28"/>
                    <w:bidi w:val="0"/>
                    <w:rPr>
                      <w:rFonts w:hint="eastAsia"/>
                      <w:b/>
                      <w:bCs/>
                      <w:color w:val="auto"/>
                      <w:lang w:val="en-US" w:eastAsia="zh-CN"/>
                    </w:rPr>
                  </w:pPr>
                  <w:r>
                    <w:rPr>
                      <w:b/>
                      <w:bCs/>
                      <w:color w:val="auto"/>
                    </w:rPr>
                    <w:t>监测</w:t>
                  </w:r>
                  <w:r>
                    <w:rPr>
                      <w:rFonts w:hint="eastAsia"/>
                      <w:b/>
                      <w:bCs/>
                      <w:color w:val="auto"/>
                      <w:lang w:val="en-US" w:eastAsia="zh-CN"/>
                    </w:rPr>
                    <w:t>指标</w:t>
                  </w:r>
                </w:p>
              </w:tc>
              <w:tc>
                <w:tcPr>
                  <w:tcW w:w="1599" w:type="dxa"/>
                  <w:vAlign w:val="center"/>
                </w:tcPr>
                <w:p>
                  <w:pPr>
                    <w:pStyle w:val="28"/>
                    <w:bidi w:val="0"/>
                    <w:rPr>
                      <w:b/>
                      <w:bCs/>
                      <w:color w:val="auto"/>
                    </w:rPr>
                  </w:pPr>
                  <w:r>
                    <w:rPr>
                      <w:rFonts w:hint="eastAsia"/>
                      <w:b/>
                      <w:bCs/>
                      <w:color w:val="auto"/>
                    </w:rPr>
                    <w:t>监测</w:t>
                  </w:r>
                  <w:r>
                    <w:rPr>
                      <w:b/>
                      <w:bCs/>
                      <w:color w:val="auto"/>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224" w:type="dxa"/>
                  <w:vAlign w:val="center"/>
                </w:tcPr>
                <w:p>
                  <w:pPr>
                    <w:pStyle w:val="28"/>
                    <w:bidi w:val="0"/>
                    <w:rPr>
                      <w:rFonts w:hint="eastAsia"/>
                      <w:color w:val="auto"/>
                      <w:lang w:val="en-US" w:eastAsia="zh-CN"/>
                    </w:rPr>
                  </w:pPr>
                  <w:r>
                    <w:rPr>
                      <w:rFonts w:hint="eastAsia"/>
                      <w:color w:val="auto"/>
                      <w:lang w:val="en-US" w:eastAsia="zh-CN"/>
                    </w:rPr>
                    <w:t>厂界(上风向1个点位、</w:t>
                  </w:r>
                </w:p>
                <w:p>
                  <w:pPr>
                    <w:pStyle w:val="28"/>
                    <w:bidi w:val="0"/>
                    <w:rPr>
                      <w:rFonts w:hint="eastAsia"/>
                      <w:color w:val="auto"/>
                      <w:lang w:val="en-US" w:eastAsia="zh-CN"/>
                    </w:rPr>
                  </w:pPr>
                  <w:r>
                    <w:rPr>
                      <w:rFonts w:hint="eastAsia"/>
                      <w:color w:val="auto"/>
                      <w:lang w:val="en-US" w:eastAsia="zh-CN"/>
                    </w:rPr>
                    <w:t>下风向3个点位)</w:t>
                  </w:r>
                </w:p>
              </w:tc>
              <w:tc>
                <w:tcPr>
                  <w:tcW w:w="3449" w:type="dxa"/>
                  <w:vAlign w:val="center"/>
                </w:tcPr>
                <w:p>
                  <w:pPr>
                    <w:pStyle w:val="28"/>
                    <w:bidi w:val="0"/>
                    <w:rPr>
                      <w:rFonts w:hint="eastAsia"/>
                      <w:color w:val="auto"/>
                      <w:lang w:val="en-US" w:eastAsia="zh-CN"/>
                    </w:rPr>
                  </w:pPr>
                  <w:r>
                    <w:rPr>
                      <w:rFonts w:hint="eastAsia"/>
                      <w:color w:val="auto"/>
                      <w:lang w:val="en-US" w:eastAsia="zh-CN"/>
                    </w:rPr>
                    <w:t>颗粒物</w:t>
                  </w:r>
                </w:p>
              </w:tc>
              <w:tc>
                <w:tcPr>
                  <w:tcW w:w="1599" w:type="dxa"/>
                  <w:vAlign w:val="center"/>
                </w:tcPr>
                <w:p>
                  <w:pPr>
                    <w:pStyle w:val="28"/>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季度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3224" w:type="dxa"/>
                  <w:vAlign w:val="center"/>
                </w:tcPr>
                <w:p>
                  <w:pPr>
                    <w:pStyle w:val="28"/>
                    <w:bidi w:val="0"/>
                    <w:rPr>
                      <w:rFonts w:hint="eastAsia"/>
                      <w:color w:val="auto"/>
                      <w:lang w:val="en-US" w:eastAsia="zh-CN"/>
                    </w:rPr>
                  </w:pPr>
                  <w:r>
                    <w:rPr>
                      <w:rFonts w:hint="eastAsia" w:ascii="Times New Roman" w:hAnsi="Times New Roman" w:eastAsia="宋体" w:cs="Times New Roman"/>
                      <w:color w:val="auto"/>
                      <w:lang w:val="en-US" w:eastAsia="zh-CN"/>
                    </w:rPr>
                    <w:t>石溪村</w:t>
                  </w:r>
                </w:p>
              </w:tc>
              <w:tc>
                <w:tcPr>
                  <w:tcW w:w="3449" w:type="dxa"/>
                  <w:vAlign w:val="center"/>
                </w:tcPr>
                <w:p>
                  <w:pPr>
                    <w:pStyle w:val="28"/>
                    <w:bidi w:val="0"/>
                    <w:rPr>
                      <w:rFonts w:hint="eastAsia"/>
                      <w:color w:val="auto"/>
                      <w:lang w:val="en-US" w:eastAsia="zh-CN"/>
                    </w:rPr>
                  </w:pPr>
                  <w:r>
                    <w:rPr>
                      <w:rFonts w:hint="eastAsia"/>
                      <w:color w:val="auto"/>
                      <w:lang w:val="en-US" w:eastAsia="zh-CN"/>
                    </w:rPr>
                    <w:t>颗粒物</w:t>
                  </w:r>
                </w:p>
              </w:tc>
              <w:tc>
                <w:tcPr>
                  <w:tcW w:w="1599" w:type="dxa"/>
                  <w:vAlign w:val="center"/>
                </w:tcPr>
                <w:p>
                  <w:pPr>
                    <w:pStyle w:val="28"/>
                    <w:bidi w:val="0"/>
                    <w:rPr>
                      <w:rFonts w:hint="eastAsia"/>
                      <w:color w:val="auto"/>
                      <w:lang w:val="en-US" w:eastAsia="zh-CN"/>
                    </w:rPr>
                  </w:pPr>
                  <w:r>
                    <w:rPr>
                      <w:rFonts w:hint="eastAsia"/>
                      <w:color w:val="auto"/>
                      <w:lang w:val="en-US" w:eastAsia="zh-CN"/>
                    </w:rPr>
                    <w:t>1次</w:t>
                  </w:r>
                  <w:r>
                    <w:rPr>
                      <w:color w:val="auto"/>
                    </w:rPr>
                    <w:t>/</w:t>
                  </w:r>
                  <w:r>
                    <w:rPr>
                      <w:rFonts w:hint="eastAsia"/>
                      <w:color w:val="auto"/>
                      <w:lang w:val="en-US" w:eastAsia="zh-CN"/>
                    </w:rPr>
                    <w:t>年</w:t>
                  </w:r>
                </w:p>
              </w:tc>
            </w:tr>
          </w:tbl>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另外建议企业在生产期间，对石溪村每年开展一次环境质量监测，若该区域TSP环境质量监测结果较现状监测结果有较大提升，本项目建设单位需进一步采取抑尘措施，加强厂区密闭和生产管理，增加喷淋频次和道路地面清扫频次，对厂区</w:t>
            </w:r>
            <w:r>
              <w:rPr>
                <w:color w:val="auto"/>
              </w:rPr>
              <w:t>产生粉尘排放的设备设施</w:t>
            </w:r>
            <w:r>
              <w:rPr>
                <w:rFonts w:hint="eastAsia"/>
                <w:color w:val="auto"/>
                <w:lang w:val="en-US" w:eastAsia="zh-CN"/>
              </w:rPr>
              <w:t>进行排查，避免非正常粉尘的排放</w:t>
            </w:r>
            <w:r>
              <w:rPr>
                <w:rFonts w:hint="eastAsia" w:ascii="Times New Roman" w:hAnsi="Times New Roman" w:eastAsia="宋体" w:cs="Times New Roman"/>
                <w:color w:val="auto"/>
                <w:lang w:val="en-US" w:eastAsia="zh-CN"/>
              </w:rPr>
              <w:t>。</w:t>
            </w:r>
          </w:p>
          <w:p>
            <w:pPr>
              <w:pStyle w:val="3"/>
              <w:bidi w:val="0"/>
              <w:rPr>
                <w:rFonts w:hint="default"/>
                <w:color w:val="auto"/>
              </w:rPr>
            </w:pPr>
            <w:r>
              <w:rPr>
                <w:rFonts w:hint="default"/>
                <w:color w:val="auto"/>
              </w:rPr>
              <w:t>4.</w:t>
            </w:r>
            <w:r>
              <w:rPr>
                <w:rFonts w:hint="eastAsia"/>
                <w:color w:val="auto"/>
                <w:lang w:val="en-US" w:eastAsia="zh-CN"/>
              </w:rPr>
              <w:t>3</w:t>
            </w:r>
            <w:r>
              <w:rPr>
                <w:rFonts w:hint="default"/>
                <w:color w:val="auto"/>
              </w:rPr>
              <w:t>运营期</w:t>
            </w:r>
            <w:r>
              <w:rPr>
                <w:rFonts w:hint="default"/>
                <w:color w:val="auto"/>
                <w:lang w:eastAsia="zh-CN"/>
              </w:rPr>
              <w:t>水</w:t>
            </w:r>
            <w:r>
              <w:rPr>
                <w:rFonts w:hint="default"/>
                <w:color w:val="auto"/>
              </w:rPr>
              <w:t>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3</w:t>
            </w:r>
            <w:r>
              <w:rPr>
                <w:rFonts w:hint="default"/>
                <w:color w:val="auto"/>
                <w:lang w:val="en-US" w:eastAsia="zh-CN"/>
              </w:rPr>
              <w:t>.1</w:t>
            </w:r>
            <w:r>
              <w:rPr>
                <w:rFonts w:hint="default"/>
                <w:color w:val="auto"/>
              </w:rPr>
              <w:t>运营期</w:t>
            </w:r>
            <w:r>
              <w:rPr>
                <w:rFonts w:hint="eastAsia"/>
                <w:color w:val="auto"/>
                <w:lang w:eastAsia="zh-CN"/>
              </w:rPr>
              <w:t>废水</w:t>
            </w:r>
            <w:r>
              <w:rPr>
                <w:rFonts w:hint="default"/>
                <w:color w:val="auto"/>
              </w:rPr>
              <w:t>源强核算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项目运营期生产废水</w:t>
            </w:r>
            <w:r>
              <w:rPr>
                <w:rFonts w:hint="eastAsia" w:cs="Times New Roman"/>
                <w:color w:val="auto"/>
                <w:sz w:val="24"/>
                <w:szCs w:val="24"/>
                <w:highlight w:val="none"/>
                <w:lang w:val="en-US" w:eastAsia="zh-CN"/>
              </w:rPr>
              <w:t>中</w:t>
            </w:r>
            <w:r>
              <w:rPr>
                <w:rFonts w:hint="eastAsia" w:ascii="Times New Roman" w:hAnsi="Times New Roman" w:eastAsia="宋体" w:cs="Times New Roman"/>
                <w:color w:val="auto"/>
                <w:sz w:val="24"/>
                <w:szCs w:val="24"/>
                <w:highlight w:val="none"/>
                <w:lang w:val="en-US" w:eastAsia="zh-CN"/>
              </w:rPr>
              <w:t>设备清洗废水、</w:t>
            </w:r>
            <w:r>
              <w:rPr>
                <w:rFonts w:hint="eastAsia" w:cs="Times New Roman"/>
                <w:color w:val="auto"/>
                <w:sz w:val="24"/>
                <w:szCs w:val="24"/>
                <w:highlight w:val="none"/>
                <w:lang w:val="en-US" w:eastAsia="zh-CN"/>
              </w:rPr>
              <w:t>生产区</w:t>
            </w:r>
            <w:r>
              <w:rPr>
                <w:rFonts w:hint="eastAsia" w:ascii="Times New Roman" w:hAnsi="Times New Roman" w:eastAsia="宋体" w:cs="Times New Roman"/>
                <w:color w:val="auto"/>
                <w:sz w:val="24"/>
                <w:szCs w:val="24"/>
                <w:highlight w:val="none"/>
                <w:lang w:val="en-US" w:eastAsia="zh-CN"/>
              </w:rPr>
              <w:t>地面冲洗废水</w:t>
            </w:r>
            <w:r>
              <w:rPr>
                <w:rFonts w:hint="eastAsia" w:cs="Times New Roman"/>
                <w:color w:val="auto"/>
                <w:sz w:val="24"/>
                <w:szCs w:val="24"/>
                <w:highlight w:val="none"/>
                <w:lang w:val="en-US" w:eastAsia="zh-CN"/>
              </w:rPr>
              <w:t>、试验清洗废水等</w:t>
            </w:r>
            <w:r>
              <w:rPr>
                <w:rFonts w:hint="eastAsia" w:ascii="Times New Roman" w:hAnsi="Times New Roman" w:eastAsia="宋体" w:cs="Times New Roman"/>
                <w:color w:val="auto"/>
                <w:sz w:val="24"/>
                <w:szCs w:val="24"/>
                <w:highlight w:val="none"/>
                <w:lang w:val="en-US" w:eastAsia="zh-CN"/>
              </w:rPr>
              <w:t>经生产废水处理系统（斜坡沉淀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）处理后全部回用于生产搅拌，无外排</w:t>
            </w:r>
            <w:r>
              <w:rPr>
                <w:rFonts w:hint="eastAsia" w:cs="Times New Roman"/>
                <w:color w:val="auto"/>
                <w:sz w:val="24"/>
                <w:szCs w:val="24"/>
                <w:highlight w:val="none"/>
                <w:lang w:val="en-US" w:eastAsia="zh-CN"/>
              </w:rPr>
              <w:t>；洗车废水经洗车台配套沉淀池处理后回用于车辆冲洗，不外排；洗砂废水经加药沉淀处理后回用于洗砂工序，不外排；经收集的生产区初期雨水在雨水收集池中暂存，分批引至</w:t>
            </w:r>
            <w:r>
              <w:rPr>
                <w:rFonts w:hint="eastAsia" w:ascii="Times New Roman" w:hAnsi="Times New Roman" w:eastAsia="宋体" w:cs="Times New Roman"/>
                <w:color w:val="auto"/>
                <w:sz w:val="24"/>
                <w:szCs w:val="24"/>
                <w:highlight w:val="none"/>
                <w:lang w:val="en-US" w:eastAsia="zh-CN"/>
              </w:rPr>
              <w:t>生产废水处理系统（斜坡沉淀</w:t>
            </w:r>
            <w:r>
              <w:rPr>
                <w:rFonts w:hint="eastAsia" w:cs="Times New Roman"/>
                <w:color w:val="auto"/>
                <w:sz w:val="24"/>
                <w:szCs w:val="24"/>
                <w:highlight w:val="none"/>
                <w:lang w:val="en-US" w:eastAsia="zh-CN"/>
              </w:rPr>
              <w:t>池</w:t>
            </w:r>
            <w:r>
              <w:rPr>
                <w:rFonts w:hint="eastAsia" w:ascii="Times New Roman" w:hAnsi="Times New Roman" w:eastAsia="宋体" w:cs="Times New Roman"/>
                <w:color w:val="auto"/>
                <w:sz w:val="24"/>
                <w:szCs w:val="24"/>
                <w:highlight w:val="none"/>
                <w:lang w:val="en-US" w:eastAsia="zh-CN"/>
              </w:rPr>
              <w:t>）处理后，全部回用于</w:t>
            </w:r>
            <w:r>
              <w:rPr>
                <w:rFonts w:hint="eastAsia" w:cs="Times New Roman"/>
                <w:color w:val="auto"/>
                <w:sz w:val="24"/>
                <w:szCs w:val="24"/>
                <w:highlight w:val="none"/>
                <w:lang w:val="en-US" w:eastAsia="zh-CN"/>
              </w:rPr>
              <w:t>搅拌用水</w:t>
            </w:r>
            <w:r>
              <w:rPr>
                <w:rFonts w:hint="eastAsia" w:ascii="Times New Roman" w:hAnsi="Times New Roman" w:eastAsia="宋体" w:cs="Times New Roman"/>
                <w:color w:val="auto"/>
                <w:sz w:val="24"/>
                <w:szCs w:val="24"/>
                <w:highlight w:val="none"/>
                <w:lang w:val="en-US" w:eastAsia="zh-CN"/>
              </w:rPr>
              <w:t>，不外排。项目</w:t>
            </w:r>
            <w:r>
              <w:rPr>
                <w:rFonts w:hint="eastAsia" w:cs="Times New Roman"/>
                <w:color w:val="auto"/>
                <w:sz w:val="24"/>
                <w:szCs w:val="24"/>
                <w:highlight w:val="none"/>
                <w:lang w:val="en-US" w:eastAsia="zh-CN"/>
              </w:rPr>
              <w:t>运营期</w:t>
            </w:r>
            <w:r>
              <w:rPr>
                <w:rFonts w:hint="eastAsia"/>
                <w:color w:val="auto"/>
                <w:sz w:val="24"/>
              </w:rPr>
              <w:t>生活用水</w:t>
            </w:r>
            <w:r>
              <w:rPr>
                <w:rFonts w:hint="eastAsia"/>
                <w:color w:val="auto"/>
                <w:sz w:val="24"/>
                <w:lang w:val="en-US" w:eastAsia="zh-CN"/>
              </w:rPr>
              <w:t>将由周边市政管网</w:t>
            </w:r>
            <w:r>
              <w:rPr>
                <w:rFonts w:hint="eastAsia"/>
                <w:color w:val="auto"/>
                <w:sz w:val="24"/>
              </w:rPr>
              <w:t>生活给水系统直接供给。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w:t>
            </w:r>
            <w:r>
              <w:rPr>
                <w:rFonts w:hint="eastAsia" w:cs="Times New Roman"/>
                <w:color w:val="auto"/>
                <w:sz w:val="24"/>
                <w:szCs w:val="24"/>
                <w:highlight w:val="none"/>
                <w:lang w:val="en-US" w:eastAsia="zh-CN"/>
              </w:rPr>
              <w:t>前文</w:t>
            </w:r>
            <w:r>
              <w:rPr>
                <w:rFonts w:hint="eastAsia" w:ascii="Times New Roman" w:hAnsi="Times New Roman" w:eastAsia="宋体" w:cs="Times New Roman"/>
                <w:color w:val="auto"/>
                <w:sz w:val="24"/>
                <w:szCs w:val="24"/>
                <w:highlight w:val="none"/>
                <w:lang w:val="en-US" w:eastAsia="zh-CN"/>
              </w:rPr>
              <w:t>水平衡分析可知，项目职工日常生活污水产生量约为</w:t>
            </w:r>
            <w:r>
              <w:rPr>
                <w:rFonts w:hint="eastAsia" w:cs="Times New Roman"/>
                <w:color w:val="auto"/>
                <w:sz w:val="24"/>
                <w:szCs w:val="24"/>
                <w:highlight w:val="none"/>
                <w:lang w:val="en-US" w:eastAsia="zh-CN"/>
              </w:rPr>
              <w:t>4.5</w:t>
            </w:r>
            <w:r>
              <w:rPr>
                <w:rFonts w:hint="eastAsia" w:ascii="Times New Roman" w:hAnsi="Times New Roman" w:eastAsia="宋体" w:cs="Times New Roman"/>
                <w:color w:val="auto"/>
                <w:sz w:val="24"/>
                <w:szCs w:val="24"/>
                <w:highlight w:val="none"/>
                <w:lang w:val="en-US" w:eastAsia="zh-CN"/>
              </w:rPr>
              <w:t>t/d(</w:t>
            </w:r>
            <w:r>
              <w:rPr>
                <w:rFonts w:hint="eastAsia" w:cs="Times New Roman"/>
                <w:color w:val="auto"/>
                <w:sz w:val="24"/>
                <w:szCs w:val="24"/>
                <w:highlight w:val="none"/>
                <w:lang w:val="en-US" w:eastAsia="zh-CN"/>
              </w:rPr>
              <w:t>1485</w:t>
            </w:r>
            <w:r>
              <w:rPr>
                <w:rFonts w:hint="eastAsia" w:ascii="Times New Roman" w:hAnsi="Times New Roman" w:eastAsia="宋体" w:cs="Times New Roman"/>
                <w:color w:val="auto"/>
                <w:sz w:val="24"/>
                <w:szCs w:val="24"/>
                <w:highlight w:val="none"/>
                <w:lang w:val="en-US" w:eastAsia="zh-CN"/>
              </w:rPr>
              <w:t>t/a)。参考《给排水设计手册》(第五册城镇排水)</w:t>
            </w:r>
            <w:r>
              <w:rPr>
                <w:rFonts w:hint="eastAsia" w:cs="Times New Roman"/>
                <w:color w:val="auto"/>
                <w:sz w:val="24"/>
                <w:szCs w:val="24"/>
                <w:highlight w:val="none"/>
                <w:lang w:val="en-US" w:eastAsia="zh-CN"/>
              </w:rPr>
              <w:t>中4.2城镇污水水质</w:t>
            </w:r>
            <w:r>
              <w:rPr>
                <w:rFonts w:hint="eastAsia" w:ascii="Times New Roman" w:hAnsi="Times New Roman" w:eastAsia="宋体" w:cs="Times New Roman"/>
                <w:color w:val="auto"/>
                <w:sz w:val="24"/>
                <w:szCs w:val="24"/>
                <w:highlight w:val="none"/>
                <w:lang w:val="en-US" w:eastAsia="zh-CN"/>
              </w:rPr>
              <w:t>，项目职工产生的日常生活污水中各主要污染物浓度按COD：</w:t>
            </w:r>
            <w:r>
              <w:rPr>
                <w:rFonts w:hint="eastAsia" w:cs="Times New Roman"/>
                <w:color w:val="auto"/>
                <w:sz w:val="24"/>
                <w:szCs w:val="24"/>
                <w:highlight w:val="none"/>
                <w:lang w:val="en-US" w:eastAsia="zh-CN"/>
              </w:rPr>
              <w:t>300</w:t>
            </w:r>
            <w:r>
              <w:rPr>
                <w:rFonts w:hint="eastAsia" w:ascii="Times New Roman" w:hAnsi="Times New Roman" w:eastAsia="宋体" w:cs="Times New Roman"/>
                <w:color w:val="auto"/>
                <w:sz w:val="24"/>
                <w:szCs w:val="24"/>
                <w:highlight w:val="none"/>
                <w:lang w:val="en-US" w:eastAsia="zh-CN"/>
              </w:rPr>
              <w:t>mg/L，BOD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150</w:t>
            </w:r>
            <w:r>
              <w:rPr>
                <w:rFonts w:hint="eastAsia" w:ascii="Times New Roman" w:hAnsi="Times New Roman" w:eastAsia="宋体" w:cs="Times New Roman"/>
                <w:color w:val="auto"/>
                <w:sz w:val="24"/>
                <w:szCs w:val="24"/>
                <w:highlight w:val="none"/>
                <w:lang w:val="en-US" w:eastAsia="zh-CN"/>
              </w:rPr>
              <w:t>mg/L，SS：2</w:t>
            </w:r>
            <w:r>
              <w:rPr>
                <w:rFonts w:hint="eastAsia" w:cs="Times New Roman"/>
                <w:color w:val="auto"/>
                <w:sz w:val="24"/>
                <w:szCs w:val="24"/>
                <w:highlight w:val="none"/>
                <w:lang w:val="en-US" w:eastAsia="zh-CN"/>
              </w:rPr>
              <w:t>0</w:t>
            </w:r>
            <w:r>
              <w:rPr>
                <w:rFonts w:hint="eastAsia" w:ascii="Times New Roman" w:hAnsi="Times New Roman" w:eastAsia="宋体" w:cs="Times New Roman"/>
                <w:color w:val="auto"/>
                <w:sz w:val="24"/>
                <w:szCs w:val="24"/>
                <w:highlight w:val="none"/>
                <w:lang w:val="en-US" w:eastAsia="zh-CN"/>
              </w:rPr>
              <w:t>0mg/L，NH</w:t>
            </w:r>
            <w:r>
              <w:rPr>
                <w:rFonts w:hint="eastAsia" w:ascii="Times New Roman" w:hAnsi="Times New Roman" w:eastAsia="宋体" w:cs="Times New Roman"/>
                <w:color w:val="auto"/>
                <w:sz w:val="24"/>
                <w:szCs w:val="24"/>
                <w:highlight w:val="none"/>
                <w:vertAlign w:val="subscript"/>
                <w:lang w:val="en-US" w:eastAsia="zh-CN"/>
              </w:rPr>
              <w:t>3</w:t>
            </w:r>
            <w:r>
              <w:rPr>
                <w:rFonts w:hint="eastAsia" w:ascii="Times New Roman" w:hAnsi="Times New Roman" w:eastAsia="宋体" w:cs="Times New Roman"/>
                <w:color w:val="auto"/>
                <w:sz w:val="24"/>
                <w:szCs w:val="24"/>
                <w:highlight w:val="none"/>
                <w:lang w:val="en-US" w:eastAsia="zh-CN"/>
              </w:rPr>
              <w:t>-N：</w:t>
            </w:r>
            <w:r>
              <w:rPr>
                <w:rFonts w:hint="eastAsia" w:cs="Times New Roman"/>
                <w:color w:val="auto"/>
                <w:sz w:val="24"/>
                <w:szCs w:val="24"/>
                <w:highlight w:val="none"/>
                <w:lang w:val="en-US" w:eastAsia="zh-CN"/>
              </w:rPr>
              <w:t>25</w:t>
            </w:r>
            <w:r>
              <w:rPr>
                <w:rFonts w:hint="eastAsia" w:ascii="Times New Roman" w:hAnsi="Times New Roman" w:eastAsia="宋体" w:cs="Times New Roman"/>
                <w:color w:val="auto"/>
                <w:sz w:val="24"/>
                <w:szCs w:val="24"/>
                <w:highlight w:val="none"/>
                <w:lang w:val="en-US" w:eastAsia="zh-CN"/>
              </w:rPr>
              <w:t>mg/L计算。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职工日常生活污水</w:t>
            </w:r>
            <w:r>
              <w:rPr>
                <w:rFonts w:hint="eastAsia" w:cs="Times New Roman"/>
                <w:color w:val="auto"/>
                <w:sz w:val="24"/>
                <w:szCs w:val="24"/>
                <w:highlight w:val="none"/>
                <w:lang w:val="en-US" w:eastAsia="zh-CN"/>
              </w:rPr>
              <w:t>经厂区内部管线收集后</w:t>
            </w:r>
            <w:r>
              <w:rPr>
                <w:rFonts w:hint="eastAsia" w:ascii="Times New Roman" w:hAnsi="Times New Roman" w:eastAsia="宋体" w:cs="Times New Roman"/>
                <w:color w:val="auto"/>
                <w:sz w:val="24"/>
                <w:szCs w:val="24"/>
                <w:highlight w:val="none"/>
                <w:lang w:val="en-US" w:eastAsia="zh-CN"/>
              </w:rPr>
              <w:t>进入化粪池</w:t>
            </w:r>
            <w:r>
              <w:rPr>
                <w:rFonts w:hint="eastAsia" w:cs="Times New Roman"/>
                <w:color w:val="auto"/>
                <w:sz w:val="24"/>
                <w:szCs w:val="24"/>
                <w:highlight w:val="none"/>
                <w:lang w:val="en-US" w:eastAsia="zh-CN"/>
              </w:rPr>
              <w:t>处理后</w:t>
            </w:r>
            <w:r>
              <w:rPr>
                <w:rFonts w:hint="eastAsia" w:ascii="Times New Roman" w:hAnsi="Times New Roman" w:eastAsia="宋体" w:cs="Times New Roman"/>
                <w:color w:val="auto"/>
                <w:sz w:val="24"/>
                <w:szCs w:val="24"/>
                <w:highlight w:val="none"/>
                <w:lang w:val="en-US" w:eastAsia="zh-CN"/>
              </w:rPr>
              <w:t>，排入</w:t>
            </w:r>
            <w:r>
              <w:rPr>
                <w:rFonts w:hint="eastAsia" w:cs="Times New Roman"/>
                <w:color w:val="auto"/>
                <w:sz w:val="24"/>
                <w:szCs w:val="24"/>
                <w:highlight w:val="none"/>
                <w:lang w:val="en-US" w:eastAsia="zh-CN"/>
              </w:rPr>
              <w:t>拟建设的一体化污水处理设施，尾水水质达到</w:t>
            </w:r>
            <w:r>
              <w:rPr>
                <w:rFonts w:hint="eastAsia"/>
                <w:color w:val="auto"/>
                <w:sz w:val="24"/>
                <w:szCs w:val="20"/>
              </w:rPr>
              <w:t xml:space="preserve">《城市污水再生利用 </w:t>
            </w:r>
            <w:r>
              <w:rPr>
                <w:rFonts w:hint="eastAsia"/>
                <w:color w:val="auto"/>
                <w:sz w:val="24"/>
                <w:szCs w:val="20"/>
                <w:lang w:val="en-US" w:eastAsia="zh-CN"/>
              </w:rPr>
              <w:t>绿地灌溉水质</w:t>
            </w:r>
            <w:r>
              <w:rPr>
                <w:rFonts w:hint="eastAsia"/>
                <w:color w:val="auto"/>
                <w:sz w:val="24"/>
                <w:szCs w:val="20"/>
              </w:rPr>
              <w:t>》（G</w:t>
            </w:r>
            <w:r>
              <w:rPr>
                <w:color w:val="auto"/>
                <w:sz w:val="24"/>
                <w:szCs w:val="20"/>
              </w:rPr>
              <w:t>B/T</w:t>
            </w:r>
            <w:r>
              <w:rPr>
                <w:rFonts w:hint="eastAsia"/>
                <w:color w:val="auto"/>
                <w:sz w:val="24"/>
                <w:szCs w:val="20"/>
                <w:lang w:val="en-US" w:eastAsia="zh-CN"/>
              </w:rPr>
              <w:t>25499</w:t>
            </w:r>
            <w:r>
              <w:rPr>
                <w:color w:val="auto"/>
                <w:sz w:val="24"/>
                <w:szCs w:val="20"/>
              </w:rPr>
              <w:t>-20</w:t>
            </w:r>
            <w:r>
              <w:rPr>
                <w:rFonts w:hint="eastAsia"/>
                <w:color w:val="auto"/>
                <w:sz w:val="24"/>
                <w:szCs w:val="20"/>
                <w:lang w:val="en-US" w:eastAsia="zh-CN"/>
              </w:rPr>
              <w:t>10</w:t>
            </w:r>
            <w:r>
              <w:rPr>
                <w:rFonts w:hint="eastAsia"/>
                <w:color w:val="auto"/>
                <w:sz w:val="24"/>
                <w:szCs w:val="20"/>
              </w:rPr>
              <w:t>）表1</w:t>
            </w:r>
            <w:r>
              <w:rPr>
                <w:rFonts w:hint="eastAsia"/>
                <w:color w:val="auto"/>
                <w:sz w:val="24"/>
                <w:szCs w:val="20"/>
                <w:lang w:val="en-US" w:eastAsia="zh-CN"/>
              </w:rPr>
              <w:t>相关标准限值</w:t>
            </w:r>
            <w:r>
              <w:rPr>
                <w:rFonts w:hint="eastAsia"/>
                <w:color w:val="auto"/>
                <w:sz w:val="24"/>
                <w:szCs w:val="20"/>
              </w:rPr>
              <w:t>后</w:t>
            </w:r>
            <w:r>
              <w:rPr>
                <w:rFonts w:hint="eastAsia"/>
                <w:color w:val="auto"/>
                <w:sz w:val="24"/>
                <w:szCs w:val="20"/>
                <w:lang w:eastAsia="zh-CN"/>
              </w:rPr>
              <w:t>，</w:t>
            </w:r>
            <w:r>
              <w:rPr>
                <w:rFonts w:hint="eastAsia"/>
                <w:color w:val="auto"/>
                <w:sz w:val="24"/>
                <w:szCs w:val="20"/>
                <w:lang w:val="en-US" w:eastAsia="zh-CN"/>
              </w:rPr>
              <w:t>近期</w:t>
            </w:r>
            <w:r>
              <w:rPr>
                <w:rFonts w:hint="eastAsia" w:cs="Times New Roman"/>
                <w:color w:val="auto"/>
                <w:sz w:val="24"/>
                <w:szCs w:val="24"/>
                <w:highlight w:val="none"/>
                <w:lang w:val="en-US" w:eastAsia="zh-CN"/>
              </w:rPr>
              <w:t>回用于绿化浇灌用水</w:t>
            </w:r>
            <w:r>
              <w:rPr>
                <w:rFonts w:hint="eastAsia"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化粪池对COD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的去除率参照2019年4月生态环境部华南环境科学研究所发布的《第二次全国污染源普查城镇生活污染源产排污系数手册》表6-4中“四区二类区生活污水污染物产生及排放系数”，经初级处理排放系数(化粪池预处理后)去除效率分别为19.3%、12.7%、0%，SS参照原</w:t>
            </w:r>
            <w:r>
              <w:rPr>
                <w:rFonts w:hint="eastAsia" w:cs="Times New Roman"/>
                <w:color w:val="auto"/>
                <w:sz w:val="24"/>
                <w:szCs w:val="24"/>
                <w:highlight w:val="none"/>
                <w:lang w:val="en-US" w:eastAsia="zh-CN"/>
              </w:rPr>
              <w:t>生态环境局</w:t>
            </w:r>
            <w:r>
              <w:rPr>
                <w:rFonts w:hint="eastAsia" w:ascii="Times New Roman" w:hAnsi="Times New Roman" w:eastAsia="宋体" w:cs="Times New Roman"/>
                <w:color w:val="auto"/>
                <w:sz w:val="24"/>
                <w:szCs w:val="24"/>
                <w:highlight w:val="none"/>
                <w:lang w:val="en-US" w:eastAsia="zh-CN"/>
              </w:rPr>
              <w:t>发布的文件《村镇生活污染防治最佳可行技术指南(试行)》(HJ-BAT-9)中化粪池对SS的去除率为60%～70%，本评价按60%计算。</w:t>
            </w:r>
          </w:p>
          <w:p>
            <w:pPr>
              <w:pStyle w:val="30"/>
              <w:rPr>
                <w:rFonts w:hint="eastAsia" w:ascii="Times New Roman" w:hAnsi="Times New Roman" w:cs="Times New Roman"/>
                <w:color w:val="auto"/>
                <w:sz w:val="24"/>
                <w:szCs w:val="24"/>
                <w:highlight w:val="none"/>
                <w:lang w:val="en-US" w:eastAsia="zh-CN"/>
              </w:rPr>
            </w:pPr>
            <w:r>
              <w:rPr>
                <w:rFonts w:hint="eastAsia"/>
                <w:color w:val="auto"/>
                <w:lang w:val="en-US" w:eastAsia="zh-CN"/>
              </w:rPr>
              <w:t>本项目拟采用的一体化生物滤池式污水处理设施对</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和SS的去除效率参照《生物滤池法污水处理工程技术规范》（HJ2014-2012）中“表1 生物滤池污水处理工艺污染物一般去除率”，经一体化</w:t>
            </w:r>
            <w:r>
              <w:rPr>
                <w:rFonts w:hint="eastAsia"/>
                <w:color w:val="auto"/>
                <w:lang w:val="en-US" w:eastAsia="zh-CN"/>
              </w:rPr>
              <w:t>生物滤池式污水处理设施处理的</w:t>
            </w:r>
            <w:r>
              <w:rPr>
                <w:rFonts w:hint="eastAsia" w:ascii="Times New Roman" w:hAnsi="Times New Roman" w:eastAsia="宋体" w:cs="Times New Roman"/>
                <w:color w:val="auto"/>
                <w:sz w:val="24"/>
                <w:szCs w:val="24"/>
                <w:highlight w:val="none"/>
                <w:lang w:val="en-US" w:eastAsia="zh-CN"/>
              </w:rPr>
              <w:t>COD</w:t>
            </w:r>
            <w:r>
              <w:rPr>
                <w:rFonts w:hint="eastAsia" w:ascii="Times New Roman" w:hAnsi="Times New Roman" w:eastAsia="宋体" w:cs="Times New Roman"/>
                <w:color w:val="auto"/>
                <w:sz w:val="24"/>
                <w:szCs w:val="24"/>
                <w:highlight w:val="none"/>
                <w:vertAlign w:val="subscript"/>
                <w:lang w:val="en-US" w:eastAsia="zh-CN"/>
              </w:rPr>
              <w:t>Cr</w:t>
            </w:r>
            <w:r>
              <w:rPr>
                <w:rFonts w:hint="eastAsia" w:ascii="Times New Roman" w:hAnsi="Times New Roman" w:eastAsia="宋体" w:cs="Times New Roman"/>
                <w:color w:val="auto"/>
                <w:sz w:val="24"/>
                <w:szCs w:val="24"/>
                <w:highlight w:val="none"/>
                <w:lang w:val="en-US" w:eastAsia="zh-CN"/>
              </w:rPr>
              <w:t>、BOD</w:t>
            </w:r>
            <w:r>
              <w:rPr>
                <w:rFonts w:hint="eastAsia" w:ascii="Times New Roman" w:hAnsi="Times New Roman" w:eastAsia="宋体" w:cs="Times New Roman"/>
                <w:color w:val="auto"/>
                <w:sz w:val="24"/>
                <w:szCs w:val="24"/>
                <w:highlight w:val="none"/>
                <w:vertAlign w:val="subscript"/>
                <w:lang w:val="en-US" w:eastAsia="zh-CN"/>
              </w:rPr>
              <w:t>5</w:t>
            </w:r>
            <w:r>
              <w:rPr>
                <w:rFonts w:hint="eastAsia" w:ascii="Times New Roman" w:hAnsi="Times New Roman" w:eastAsia="宋体" w:cs="Times New Roman"/>
                <w:color w:val="auto"/>
                <w:sz w:val="24"/>
                <w:szCs w:val="24"/>
                <w:highlight w:val="none"/>
                <w:lang w:val="en-US" w:eastAsia="zh-CN"/>
              </w:rPr>
              <w:t>、氨氮</w:t>
            </w:r>
            <w:r>
              <w:rPr>
                <w:rFonts w:hint="eastAsia" w:ascii="Times New Roman" w:hAnsi="Times New Roman" w:cs="Times New Roman"/>
                <w:color w:val="auto"/>
                <w:sz w:val="24"/>
                <w:szCs w:val="24"/>
                <w:highlight w:val="none"/>
                <w:lang w:val="en-US" w:eastAsia="zh-CN"/>
              </w:rPr>
              <w:t>和SS的去除率取值分别为：90%、95%、85%、90%。</w:t>
            </w:r>
          </w:p>
          <w:p>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olor w:val="auto"/>
                <w:sz w:val="24"/>
                <w:szCs w:val="24"/>
              </w:rPr>
            </w:pPr>
            <w:r>
              <w:rPr>
                <w:rFonts w:hint="default"/>
                <w:color w:val="auto"/>
                <w:sz w:val="24"/>
                <w:szCs w:val="24"/>
              </w:rPr>
              <w:t>项目生活污水各污染物</w:t>
            </w:r>
            <w:r>
              <w:rPr>
                <w:rFonts w:hint="eastAsia"/>
                <w:color w:val="auto"/>
                <w:sz w:val="24"/>
                <w:szCs w:val="24"/>
                <w:lang w:eastAsia="zh-CN"/>
              </w:rPr>
              <w:t>产生及排放</w:t>
            </w:r>
            <w:r>
              <w:rPr>
                <w:rFonts w:hint="default"/>
                <w:color w:val="auto"/>
                <w:sz w:val="24"/>
                <w:szCs w:val="24"/>
              </w:rPr>
              <w:t>源强情况见表</w:t>
            </w:r>
            <w:r>
              <w:rPr>
                <w:rFonts w:hint="eastAsia"/>
                <w:color w:val="auto"/>
                <w:sz w:val="24"/>
                <w:szCs w:val="24"/>
                <w:lang w:val="en-US" w:eastAsia="zh-CN"/>
              </w:rPr>
              <w:t>4.3-1</w:t>
            </w:r>
            <w:r>
              <w:rPr>
                <w:rFonts w:hint="default"/>
                <w:color w:val="auto"/>
                <w:sz w:val="24"/>
                <w:szCs w:val="24"/>
              </w:rPr>
              <w:t>。</w:t>
            </w:r>
          </w:p>
          <w:p>
            <w:pPr>
              <w:pStyle w:val="33"/>
              <w:bidi w:val="0"/>
              <w:rPr>
                <w:color w:val="auto"/>
                <w:sz w:val="24"/>
                <w:szCs w:val="24"/>
              </w:rPr>
            </w:pPr>
            <w:r>
              <w:rPr>
                <w:color w:val="auto"/>
                <w:sz w:val="24"/>
                <w:szCs w:val="24"/>
              </w:rPr>
              <w:t>表</w:t>
            </w:r>
            <w:r>
              <w:rPr>
                <w:rFonts w:hint="eastAsia"/>
                <w:color w:val="auto"/>
                <w:sz w:val="24"/>
                <w:szCs w:val="24"/>
                <w:lang w:val="en-US" w:eastAsia="zh-CN"/>
              </w:rPr>
              <w:t xml:space="preserve">4.3-1 </w:t>
            </w:r>
            <w:r>
              <w:rPr>
                <w:rFonts w:hint="eastAsia"/>
                <w:color w:val="auto"/>
                <w:sz w:val="24"/>
                <w:szCs w:val="24"/>
              </w:rPr>
              <w:t>项目生活污水产排</w:t>
            </w:r>
            <w:r>
              <w:rPr>
                <w:color w:val="auto"/>
                <w:sz w:val="24"/>
                <w:szCs w:val="24"/>
              </w:rPr>
              <w:t>情况表</w:t>
            </w:r>
          </w:p>
          <w:p>
            <w:pPr>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color w:val="auto"/>
                <w:lang w:val="en-US" w:eastAsia="zh-CN"/>
              </w:rPr>
            </w:pPr>
            <w:r>
              <w:rPr>
                <w:rFonts w:hint="eastAsia"/>
                <w:color w:val="auto"/>
                <w:lang w:val="en-US" w:eastAsia="zh-CN"/>
              </w:rPr>
              <w:t>根据上表可知，项目职工日常生活污水进入</w:t>
            </w:r>
            <w:r>
              <w:rPr>
                <w:rFonts w:hint="eastAsia"/>
                <w:color w:val="auto"/>
                <w:highlight w:val="none"/>
                <w:lang w:val="en-US" w:eastAsia="zh-CN"/>
              </w:rPr>
              <w:t>厂区拟建化粪池+一体化污水设施处理后</w:t>
            </w:r>
            <w:r>
              <w:rPr>
                <w:rFonts w:hint="eastAsia"/>
                <w:color w:val="auto"/>
                <w:lang w:val="en-US" w:eastAsia="zh-CN"/>
              </w:rPr>
              <w:t>，尾水水质可符合</w:t>
            </w:r>
            <w:r>
              <w:rPr>
                <w:rFonts w:hint="eastAsia"/>
                <w:color w:val="auto"/>
                <w:lang w:val="en-GB" w:eastAsia="zh-CN"/>
              </w:rPr>
              <w:t>《城市污水再生利用 绿地灌溉水质》（GB/T25499-2010）</w:t>
            </w:r>
            <w:r>
              <w:rPr>
                <w:rFonts w:hint="eastAsia"/>
                <w:color w:val="auto"/>
                <w:lang w:val="en-US" w:eastAsia="zh-CN"/>
              </w:rPr>
              <w:t>相关水质要求。</w:t>
            </w:r>
          </w:p>
          <w:p>
            <w:pPr>
              <w:pStyle w:val="4"/>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lang w:val="en-US" w:eastAsia="zh-CN"/>
              </w:rPr>
              <w:t>.2运营期水环境影响及污染防治措施可行性分析</w:t>
            </w:r>
          </w:p>
          <w:p>
            <w:pPr>
              <w:pStyle w:val="4"/>
              <w:keepNext w:val="0"/>
              <w:keepLines w:val="0"/>
              <w:spacing w:line="360" w:lineRule="auto"/>
              <w:rPr>
                <w:rFonts w:hint="default" w:ascii="Times New Roman" w:hAnsi="Times New Roman" w:eastAsia="宋体"/>
                <w:b/>
                <w:bCs/>
                <w:color w:val="auto"/>
                <w:sz w:val="24"/>
                <w:szCs w:val="24"/>
                <w:lang w:val="en-US" w:eastAsia="zh-CN"/>
              </w:rPr>
            </w:pPr>
            <w:r>
              <w:rPr>
                <w:rFonts w:hint="eastAsia" w:ascii="Times New Roman" w:hAnsi="Times New Roman" w:eastAsia="宋体" w:cs="Times New Roman"/>
                <w:b/>
                <w:color w:val="auto"/>
                <w:sz w:val="24"/>
              </w:rPr>
              <w:t>4.</w:t>
            </w:r>
            <w:r>
              <w:rPr>
                <w:rFonts w:hint="eastAsia" w:ascii="Times New Roman" w:hAnsi="Times New Roman" w:eastAsia="宋体" w:cs="Times New Roman"/>
                <w:b/>
                <w:color w:val="auto"/>
                <w:sz w:val="24"/>
                <w:lang w:val="en-US" w:eastAsia="zh-CN"/>
              </w:rPr>
              <w:t>3</w:t>
            </w:r>
            <w:r>
              <w:rPr>
                <w:rFonts w:hint="eastAsia" w:ascii="Times New Roman" w:hAnsi="Times New Roman" w:eastAsia="宋体" w:cs="Times New Roman"/>
                <w:b/>
                <w:color w:val="auto"/>
                <w:sz w:val="24"/>
              </w:rPr>
              <w:t>.2.</w:t>
            </w:r>
            <w:r>
              <w:rPr>
                <w:rFonts w:hint="eastAsia" w:cs="Times New Roman"/>
                <w:b/>
                <w:color w:val="auto"/>
                <w:sz w:val="24"/>
                <w:lang w:val="en-US" w:eastAsia="zh-CN"/>
              </w:rPr>
              <w:t>1</w:t>
            </w:r>
            <w:r>
              <w:rPr>
                <w:rFonts w:hint="eastAsia" w:ascii="Times New Roman" w:hAnsi="Times New Roman" w:eastAsia="宋体" w:cs="Times New Roman"/>
                <w:b/>
                <w:color w:val="auto"/>
                <w:sz w:val="24"/>
                <w:lang w:val="en-US" w:eastAsia="zh-CN"/>
              </w:rPr>
              <w:t xml:space="preserve"> 生活污水</w:t>
            </w:r>
            <w:r>
              <w:rPr>
                <w:rFonts w:hint="eastAsia" w:cs="Times New Roman"/>
                <w:b/>
                <w:color w:val="auto"/>
                <w:sz w:val="24"/>
                <w:lang w:val="en-US" w:eastAsia="zh-CN"/>
              </w:rPr>
              <w:t>处理</w:t>
            </w:r>
            <w:r>
              <w:rPr>
                <w:rFonts w:hint="eastAsia" w:ascii="Times New Roman" w:hAnsi="Times New Roman" w:eastAsia="宋体" w:cs="Times New Roman"/>
                <w:b/>
                <w:color w:val="auto"/>
                <w:sz w:val="24"/>
                <w:lang w:val="en-US" w:eastAsia="zh-CN"/>
              </w:rPr>
              <w:t>可行性分析</w:t>
            </w:r>
          </w:p>
          <w:p>
            <w:pPr>
              <w:bidi w:val="0"/>
              <w:rPr>
                <w:rFonts w:hint="eastAsia"/>
                <w:color w:val="auto"/>
                <w:sz w:val="24"/>
                <w:szCs w:val="24"/>
                <w:lang w:val="en-US" w:eastAsia="zh-CN"/>
              </w:rPr>
            </w:pPr>
            <w:r>
              <w:rPr>
                <w:rFonts w:hint="eastAsia"/>
                <w:color w:val="auto"/>
                <w:sz w:val="24"/>
                <w:szCs w:val="24"/>
                <w:lang w:val="en-US" w:eastAsia="zh-CN"/>
              </w:rPr>
              <w:t>据了解，项目周围现状尚未铺设市政污水管网，企业拟自建生活污水处理设施处理生活污水，工艺采用化粪池+一体化生活污水处理设施（</w:t>
            </w:r>
            <w:r>
              <w:rPr>
                <w:rFonts w:hint="eastAsia" w:ascii="Times New Roman" w:hAnsi="Times New Roman" w:cs="Times New Roman"/>
                <w:color w:val="auto"/>
                <w:sz w:val="24"/>
                <w:szCs w:val="24"/>
                <w:highlight w:val="none"/>
                <w:lang w:val="en-US" w:eastAsia="zh-CN"/>
              </w:rPr>
              <w:t>生物滤池法</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，一体化污水处理设施处理能力7.5t/d。下述针对项目生活污水作为厂区绿化浇灌消纳的可行性进行简要分析。</w:t>
            </w:r>
          </w:p>
          <w:p>
            <w:pPr>
              <w:bidi w:val="0"/>
              <w:rPr>
                <w:rFonts w:hint="eastAsia"/>
                <w:b/>
                <w:bCs/>
                <w:color w:val="auto"/>
                <w:lang w:val="en-US" w:eastAsia="zh-CN"/>
              </w:rPr>
            </w:pPr>
            <w:r>
              <w:rPr>
                <w:rFonts w:hint="eastAsia"/>
                <w:b/>
                <w:bCs/>
                <w:color w:val="auto"/>
                <w:lang w:val="en-US" w:eastAsia="zh-CN"/>
              </w:rPr>
              <w:t>①水质的可行性分析</w:t>
            </w:r>
          </w:p>
          <w:p>
            <w:pPr>
              <w:bidi w:val="0"/>
              <w:rPr>
                <w:rFonts w:hint="eastAsia"/>
                <w:color w:val="auto"/>
                <w:lang w:val="en-US" w:eastAsia="zh-CN"/>
              </w:rPr>
            </w:pPr>
            <w:r>
              <w:rPr>
                <w:rFonts w:hint="eastAsia"/>
                <w:color w:val="auto"/>
                <w:lang w:val="en-US" w:eastAsia="zh-CN"/>
              </w:rPr>
              <w:t>根据上述分析，项目职工生活污水处理后排放量为4.5t/d（1485t/a），职工生活污水经化粪池+地埋式一体化污水处理设施处理后，主要污染物浓度为CODcr：24.21mg/L、BOD</w:t>
            </w:r>
            <w:r>
              <w:rPr>
                <w:rFonts w:hint="eastAsia"/>
                <w:color w:val="auto"/>
                <w:vertAlign w:val="subscript"/>
                <w:lang w:val="en-US" w:eastAsia="zh-CN"/>
              </w:rPr>
              <w:t>5</w:t>
            </w:r>
            <w:r>
              <w:rPr>
                <w:rFonts w:hint="eastAsia"/>
                <w:color w:val="auto"/>
                <w:lang w:val="en-US" w:eastAsia="zh-CN"/>
              </w:rPr>
              <w:t>：6.55mg/L、SS：8mg/L、氨氮：3.75mg/L，可满足</w:t>
            </w:r>
            <w:r>
              <w:rPr>
                <w:rFonts w:hint="eastAsia"/>
                <w:color w:val="auto"/>
                <w:lang w:val="en-GB" w:eastAsia="zh-CN"/>
              </w:rPr>
              <w:t>《城市污水再生利用 绿地灌溉水质》（GB/T25499-2010）</w:t>
            </w:r>
            <w:r>
              <w:rPr>
                <w:rFonts w:hint="eastAsia"/>
                <w:color w:val="auto"/>
                <w:lang w:val="en-US" w:eastAsia="zh-CN"/>
              </w:rPr>
              <w:t>相关水质要求，因此，生活污水用于厂区绿化可行。</w:t>
            </w:r>
          </w:p>
          <w:p>
            <w:pPr>
              <w:bidi w:val="0"/>
              <w:rPr>
                <w:rFonts w:hint="eastAsia"/>
                <w:b/>
                <w:bCs/>
                <w:color w:val="auto"/>
                <w:lang w:val="en-US" w:eastAsia="zh-CN"/>
              </w:rPr>
            </w:pPr>
            <w:r>
              <w:rPr>
                <w:rFonts w:hint="eastAsia"/>
                <w:b/>
                <w:bCs/>
                <w:color w:val="auto"/>
                <w:lang w:val="en-US" w:eastAsia="zh-CN"/>
              </w:rPr>
              <w:t>②水量的可行性分析</w:t>
            </w:r>
          </w:p>
          <w:p>
            <w:pPr>
              <w:bidi w:val="0"/>
              <w:rPr>
                <w:rFonts w:hint="eastAsia"/>
                <w:color w:val="auto"/>
                <w:lang w:val="en-US" w:eastAsia="zh-CN"/>
              </w:rPr>
            </w:pPr>
            <w:r>
              <w:rPr>
                <w:rFonts w:hint="eastAsia"/>
                <w:color w:val="auto"/>
                <w:lang w:val="en-US" w:eastAsia="zh-CN"/>
              </w:rPr>
              <w:t>根据企业提供资料，项目的绿地面积为3666m</w:t>
            </w:r>
            <w:r>
              <w:rPr>
                <w:rFonts w:hint="eastAsia"/>
                <w:color w:val="auto"/>
                <w:vertAlign w:val="superscript"/>
                <w:lang w:val="en-US" w:eastAsia="zh-CN"/>
              </w:rPr>
              <w:t>2</w:t>
            </w:r>
            <w:r>
              <w:rPr>
                <w:rFonts w:hint="eastAsia"/>
                <w:color w:val="auto"/>
                <w:lang w:val="en-US" w:eastAsia="zh-CN"/>
              </w:rPr>
              <w:t>，根据前文水平衡相关章节的计算，本项目绿化用水量为1539.72m</w:t>
            </w:r>
            <w:r>
              <w:rPr>
                <w:rFonts w:hint="eastAsia"/>
                <w:color w:val="auto"/>
                <w:vertAlign w:val="superscript"/>
                <w:lang w:val="en-US" w:eastAsia="zh-CN"/>
              </w:rPr>
              <w:t>3</w:t>
            </w:r>
            <w:r>
              <w:rPr>
                <w:rFonts w:hint="eastAsia"/>
                <w:color w:val="auto"/>
                <w:lang w:val="en-US" w:eastAsia="zh-CN"/>
              </w:rPr>
              <w:t>/a。由上述可知，项目生活污水的产生量为1485m</w:t>
            </w:r>
            <w:r>
              <w:rPr>
                <w:rFonts w:hint="eastAsia"/>
                <w:color w:val="auto"/>
                <w:vertAlign w:val="superscript"/>
                <w:lang w:val="en-US" w:eastAsia="zh-CN"/>
              </w:rPr>
              <w:t>3</w:t>
            </w:r>
            <w:r>
              <w:rPr>
                <w:rFonts w:hint="eastAsia"/>
                <w:color w:val="auto"/>
                <w:lang w:val="en-US" w:eastAsia="zh-CN"/>
              </w:rPr>
              <w:t>/a，因此项目生活污水由厂区绿化消纳，每年仅需补充部分新鲜水54.72m</w:t>
            </w:r>
            <w:r>
              <w:rPr>
                <w:rFonts w:hint="eastAsia"/>
                <w:color w:val="auto"/>
                <w:vertAlign w:val="superscript"/>
                <w:lang w:val="en-US" w:eastAsia="zh-CN"/>
              </w:rPr>
              <w:t>3</w:t>
            </w:r>
            <w:r>
              <w:rPr>
                <w:rFonts w:hint="eastAsia"/>
                <w:color w:val="auto"/>
                <w:lang w:val="en-US" w:eastAsia="zh-CN"/>
              </w:rPr>
              <w:t>/a用于绿化浇灌用水缺额部分，因此厂区绿化浇灌用水可以</w:t>
            </w:r>
            <w:r>
              <w:rPr>
                <w:rFonts w:hint="eastAsia" w:ascii="Times New Roman" w:hAnsi="Times New Roman" w:eastAsia="宋体"/>
                <w:color w:val="auto"/>
                <w:sz w:val="24"/>
                <w:szCs w:val="24"/>
                <w:lang w:val="en-US" w:eastAsia="zh-CN"/>
              </w:rPr>
              <w:t>完全消纳</w:t>
            </w:r>
            <w:r>
              <w:rPr>
                <w:rFonts w:hint="eastAsia"/>
                <w:color w:val="auto"/>
                <w:sz w:val="24"/>
                <w:szCs w:val="24"/>
                <w:lang w:val="en-US" w:eastAsia="zh-CN"/>
              </w:rPr>
              <w:t>经处理后的生活废水</w:t>
            </w:r>
            <w:r>
              <w:rPr>
                <w:rFonts w:hint="eastAsia"/>
                <w:color w:val="auto"/>
                <w:lang w:val="en-US" w:eastAsia="zh-CN"/>
              </w:rPr>
              <w:t>。</w:t>
            </w:r>
          </w:p>
          <w:p>
            <w:pPr>
              <w:bidi w:val="0"/>
              <w:rPr>
                <w:rFonts w:hint="eastAsia"/>
                <w:b/>
                <w:bCs/>
                <w:color w:val="auto"/>
                <w:lang w:val="en-US" w:eastAsia="zh-CN"/>
              </w:rPr>
            </w:pPr>
            <w:r>
              <w:rPr>
                <w:rFonts w:hint="eastAsia"/>
                <w:b/>
                <w:bCs/>
                <w:color w:val="auto"/>
                <w:lang w:val="en-US" w:eastAsia="zh-CN"/>
              </w:rPr>
              <w:t>③降雨期间废水储存的可行性分析</w:t>
            </w:r>
          </w:p>
          <w:p>
            <w:pPr>
              <w:bidi w:val="0"/>
              <w:rPr>
                <w:rFonts w:hint="eastAsia"/>
                <w:color w:val="auto"/>
                <w:lang w:val="en-US" w:eastAsia="zh-CN"/>
              </w:rPr>
            </w:pPr>
            <w:r>
              <w:rPr>
                <w:rFonts w:hint="eastAsia"/>
                <w:color w:val="auto"/>
                <w:lang w:val="en-US" w:eastAsia="zh-CN"/>
              </w:rPr>
              <w:t>若碰到梅雨季，厂区内的绿化灌溉次数减少，根据多年气象资料显示，福清地区4月～5月为梅雨季，基本上5天需要灌溉一次；因此项目需要建设一个大于36.65m</w:t>
            </w:r>
            <w:r>
              <w:rPr>
                <w:rFonts w:hint="eastAsia"/>
                <w:color w:val="auto"/>
                <w:vertAlign w:val="superscript"/>
                <w:lang w:val="en-US" w:eastAsia="zh-CN"/>
              </w:rPr>
              <w:t>3</w:t>
            </w:r>
            <w:r>
              <w:rPr>
                <w:rFonts w:hint="eastAsia"/>
                <w:color w:val="auto"/>
                <w:lang w:val="en-US" w:eastAsia="zh-CN"/>
              </w:rPr>
              <w:t>的储存池。根据企业提供资料可知，项目拟设置的</w:t>
            </w:r>
            <w:r>
              <w:rPr>
                <w:rFonts w:hint="eastAsia"/>
                <w:color w:val="auto"/>
                <w:sz w:val="24"/>
                <w:szCs w:val="24"/>
                <w:lang w:val="en-US" w:eastAsia="zh-CN"/>
              </w:rPr>
              <w:t>化粪池容积100m</w:t>
            </w:r>
            <w:r>
              <w:rPr>
                <w:rFonts w:hint="eastAsia"/>
                <w:color w:val="auto"/>
                <w:sz w:val="24"/>
                <w:szCs w:val="24"/>
                <w:vertAlign w:val="superscript"/>
                <w:lang w:val="en-US" w:eastAsia="zh-CN"/>
              </w:rPr>
              <w:t>3</w:t>
            </w:r>
            <w:r>
              <w:rPr>
                <w:rFonts w:hint="eastAsia"/>
                <w:color w:val="auto"/>
                <w:sz w:val="24"/>
                <w:szCs w:val="24"/>
                <w:lang w:val="en-US" w:eastAsia="zh-CN"/>
              </w:rPr>
              <w:t>，可满足雨季的生活污水储存</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项目拟设置化粪池+一体化污水处理设施用于生活污水的处理，一体化污水处理设施采用工艺为生物接触氧化工艺。该设备埋设于地表以下，设备上面的地表可作为绿化或其他用地，不需要建房及采暖、保温。处理工艺采用推流式二级生物接触氧化，其处理效果优于完全混合式或二级串联完全混合式生物接触氧化池。并比活性污泥池体积小，对水质的适应性强，耐冲击负荷性能好，出水水质稳定，不会产生污泥膨胀。池中采用新型弹性立体填料，比表面积大，微生物易挂膜，脱膜，在同样有机物负荷条件下，对有机物去除率高，能提高空气中的氧在水中溶解度。生化池采用生物接触氧化法，其填料的体积负荷比较低，微生物处于自身氧化阶段，产泥量少，仅需三个月（90天）以上排一次泥。整个设备处理系统配有全自动电气控制系统和设备故障报警系统，运行安全可靠，平时一般不需要专人管理，只需适时地对设备进行维护和保养。地埋式生活污水处理设备集去除BOD</w:t>
            </w:r>
            <w:r>
              <w:rPr>
                <w:rFonts w:hint="eastAsia"/>
                <w:color w:val="auto"/>
                <w:vertAlign w:val="subscript"/>
                <w:lang w:val="en-US" w:eastAsia="zh-CN"/>
              </w:rPr>
              <w:t>5</w:t>
            </w:r>
            <w:r>
              <w:rPr>
                <w:rFonts w:hint="eastAsia"/>
                <w:color w:val="auto"/>
                <w:lang w:val="en-US" w:eastAsia="zh-CN"/>
              </w:rPr>
              <w:t>、COD、NH</w:t>
            </w:r>
            <w:r>
              <w:rPr>
                <w:rFonts w:hint="eastAsia"/>
                <w:color w:val="auto"/>
                <w:vertAlign w:val="subscript"/>
                <w:lang w:val="en-US" w:eastAsia="zh-CN"/>
              </w:rPr>
              <w:t>3</w:t>
            </w:r>
            <w:r>
              <w:rPr>
                <w:rFonts w:hint="eastAsia"/>
                <w:color w:val="auto"/>
                <w:lang w:val="en-US" w:eastAsia="zh-CN"/>
              </w:rPr>
              <w:t>-N于一身，具有技术性能稳定可靠，处理效果好，投资省，占地少，维护方便等优点，已经是很成熟的定型产品；生活污水经地埋式生活污水处理设备处理后，出水水质可满足</w:t>
            </w:r>
            <w:r>
              <w:rPr>
                <w:rFonts w:hint="eastAsia"/>
                <w:color w:val="auto"/>
                <w:lang w:val="en-GB" w:eastAsia="zh-CN"/>
              </w:rPr>
              <w:t>《城市污水再生利用 绿地灌溉水质》（GB/T25499-2010）</w:t>
            </w:r>
            <w:r>
              <w:rPr>
                <w:rFonts w:hint="eastAsia"/>
                <w:color w:val="auto"/>
                <w:lang w:val="en-US" w:eastAsia="zh-CN"/>
              </w:rPr>
              <w:t>相关水质要求。</w:t>
            </w:r>
          </w:p>
          <w:p>
            <w:pPr>
              <w:bidi w:val="0"/>
              <w:ind w:left="0" w:leftChars="0" w:firstLine="0" w:firstLineChars="0"/>
              <w:rPr>
                <w:rFonts w:hint="eastAsia"/>
                <w:b/>
                <w:bCs/>
                <w:color w:val="auto"/>
                <w:lang w:val="en-US" w:eastAsia="zh-CN"/>
              </w:rPr>
            </w:pPr>
            <w:r>
              <w:rPr>
                <w:rFonts w:hint="eastAsia"/>
                <w:b/>
                <w:bCs/>
                <w:color w:val="auto"/>
                <w:lang w:val="en-US" w:eastAsia="zh-CN"/>
              </w:rPr>
              <w:t>4.3.2.3生产废水循环回用可行性分析</w:t>
            </w:r>
          </w:p>
          <w:p>
            <w:pPr>
              <w:bidi w:val="0"/>
              <w:rPr>
                <w:rFonts w:hint="eastAsia" w:ascii="Times New Roman" w:hAnsi="Times New Roman" w:eastAsia="宋体" w:cs="Times New Roman"/>
                <w:color w:val="auto"/>
                <w:sz w:val="24"/>
                <w:highlight w:val="none"/>
                <w:lang w:val="en-US" w:eastAsia="zh-CN"/>
              </w:rPr>
            </w:pPr>
            <w:r>
              <w:rPr>
                <w:rFonts w:hint="eastAsia"/>
                <w:color w:val="auto"/>
                <w:lang w:val="en-US" w:eastAsia="zh-CN"/>
              </w:rPr>
              <w:t>项目设备清洗用水、地面冲洗用水、试验清洗用水均通过收集后排入项目拟建设的</w:t>
            </w:r>
            <w:r>
              <w:rPr>
                <w:rFonts w:hint="eastAsia" w:ascii="Times New Roman" w:hAnsi="Times New Roman" w:eastAsia="宋体" w:cs="Times New Roman"/>
                <w:color w:val="auto"/>
                <w:sz w:val="24"/>
                <w:highlight w:val="none"/>
                <w:lang w:val="en-US" w:eastAsia="zh-CN"/>
              </w:rPr>
              <w:t>斜坡沉淀池</w:t>
            </w:r>
            <w:r>
              <w:rPr>
                <w:rFonts w:hint="eastAsia"/>
                <w:color w:val="auto"/>
                <w:lang w:val="en-US" w:eastAsia="zh-CN"/>
              </w:rPr>
              <w:t>，</w:t>
            </w:r>
            <w:r>
              <w:rPr>
                <w:rFonts w:hint="eastAsia" w:cs="Times New Roman"/>
                <w:color w:val="auto"/>
                <w:sz w:val="24"/>
                <w:highlight w:val="none"/>
                <w:lang w:val="en-US" w:eastAsia="zh-CN"/>
              </w:rPr>
              <w:t>经收集的生产区初期雨水在300m</w:t>
            </w:r>
            <w:r>
              <w:rPr>
                <w:rFonts w:hint="eastAsia" w:cs="Times New Roman"/>
                <w:color w:val="auto"/>
                <w:sz w:val="24"/>
                <w:highlight w:val="none"/>
                <w:vertAlign w:val="superscript"/>
                <w:lang w:val="en-US" w:eastAsia="zh-CN"/>
              </w:rPr>
              <w:t>3</w:t>
            </w:r>
            <w:r>
              <w:rPr>
                <w:rFonts w:hint="eastAsia" w:cs="Times New Roman"/>
                <w:color w:val="auto"/>
                <w:sz w:val="24"/>
                <w:highlight w:val="none"/>
                <w:lang w:val="en-US" w:eastAsia="zh-CN"/>
              </w:rPr>
              <w:t>雨水收集池中暂存，分批引至</w:t>
            </w:r>
            <w:r>
              <w:rPr>
                <w:rFonts w:hint="eastAsia" w:ascii="Times New Roman" w:hAnsi="Times New Roman" w:eastAsia="宋体" w:cs="Times New Roman"/>
                <w:color w:val="auto"/>
                <w:sz w:val="24"/>
                <w:highlight w:val="none"/>
                <w:lang w:val="en-US" w:eastAsia="zh-CN"/>
              </w:rPr>
              <w:t>斜坡沉淀池处理后，全部回用于混凝土搅拌，不外排</w:t>
            </w:r>
            <w:r>
              <w:rPr>
                <w:rFonts w:hint="eastAsia" w:cs="Times New Roman"/>
                <w:color w:val="auto"/>
                <w:sz w:val="24"/>
                <w:highlight w:val="none"/>
                <w:lang w:val="en-US" w:eastAsia="zh-CN"/>
              </w:rPr>
              <w:t>，定期补充新鲜水；3#物料库的洗砂废水也通过加药絮凝沉淀压滤等一系列处理工序后，回用于洗砂工序的生产，不外排，定期补充新鲜水</w:t>
            </w:r>
            <w:r>
              <w:rPr>
                <w:rFonts w:hint="eastAsia" w:ascii="Times New Roman" w:hAnsi="Times New Roman" w:eastAsia="宋体" w:cs="Times New Roman"/>
                <w:color w:val="auto"/>
                <w:sz w:val="24"/>
                <w:highlight w:val="none"/>
                <w:lang w:val="en-US" w:eastAsia="zh-CN"/>
              </w:rPr>
              <w:t>。</w:t>
            </w:r>
          </w:p>
          <w:p>
            <w:pPr>
              <w:tabs>
                <w:tab w:val="left" w:pos="3420"/>
              </w:tabs>
              <w:spacing w:line="360" w:lineRule="auto"/>
              <w:ind w:firstLine="480" w:firstLineChars="200"/>
              <w:rPr>
                <w:rFonts w:hint="eastAsia"/>
                <w:color w:val="auto"/>
                <w:sz w:val="24"/>
                <w:szCs w:val="24"/>
                <w:lang w:eastAsia="zh-CN"/>
              </w:rPr>
            </w:pPr>
            <w:r>
              <w:rPr>
                <w:rFonts w:hint="eastAsia" w:ascii="Times New Roman" w:hAnsi="Times New Roman" w:eastAsia="宋体"/>
                <w:color w:val="auto"/>
                <w:sz w:val="24"/>
                <w:szCs w:val="24"/>
              </w:rPr>
              <w:t>项目所采用的沉淀设施是利用水流中悬浮杂质颗粒向下沉淀速度大于水流速度</w:t>
            </w:r>
            <w:r>
              <w:rPr>
                <w:rFonts w:hint="eastAsia" w:ascii="Times New Roman" w:hAnsi="Times New Roman" w:eastAsia="宋体"/>
                <w:color w:val="auto"/>
                <w:sz w:val="24"/>
                <w:szCs w:val="24"/>
                <w:lang w:eastAsia="zh-CN"/>
              </w:rPr>
              <w:t>或</w:t>
            </w:r>
            <w:r>
              <w:rPr>
                <w:rFonts w:hint="eastAsia" w:ascii="Times New Roman" w:hAnsi="Times New Roman" w:eastAsia="宋体"/>
                <w:color w:val="auto"/>
                <w:sz w:val="24"/>
                <w:szCs w:val="24"/>
              </w:rPr>
              <w:t>向下沉淀时间小于水流流出沉淀池的时间从而能与水流分离的原理实现水的净化，沉淀的效果取决于沉淀设施中水的流速和水在池中的停留时间，参考《水处理工程师手册》（唐受印、戴友芝等编），沉淀池120min后对SS的处理效率可达90%以上</w:t>
            </w:r>
            <w:r>
              <w:rPr>
                <w:rFonts w:hint="eastAsia"/>
                <w:color w:val="auto"/>
                <w:sz w:val="24"/>
                <w:szCs w:val="24"/>
                <w:lang w:eastAsia="zh-CN"/>
              </w:rPr>
              <w:t>。</w:t>
            </w:r>
          </w:p>
          <w:p>
            <w:pPr>
              <w:tabs>
                <w:tab w:val="left" w:pos="3420"/>
              </w:tabs>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而项目洗砂废水的处理所采用的是在洗砂生产线末端加设一个污水罐，而后向废水中投加聚合氯化铝（PAC）等混凝剂和聚丙烯酰胺（PAM）等絮凝剂，使水中难以自然沉降的微小悬浮颗粒（胶体颗粒）脱稳、凝聚成较大的絮状体（矾花），待絮凝反应稳定后由抽至泥浆压滤机进行压滤，压滤后的清水抽回清水罐进行使用。参考《安全与环境工程》期刊李方平，王海力，王孟等，于2023年对旭龙水电站混凝土骨料冲洗废水絮凝剂筛选及絮凝条件研究，PAC与PAM联用对各类型岩石的洗砂废水中SS的去除效率在96.2%至97.5%，混合反应至沉淀分离的时间约1.5-3.5h。</w:t>
            </w:r>
          </w:p>
          <w:p>
            <w:pPr>
              <w:tabs>
                <w:tab w:val="left" w:pos="3420"/>
              </w:tabs>
              <w:spacing w:line="360" w:lineRule="auto"/>
              <w:ind w:firstLine="480" w:firstLineChars="200"/>
              <w:rPr>
                <w:rFonts w:hint="eastAsia"/>
                <w:color w:val="auto"/>
                <w:sz w:val="24"/>
                <w:szCs w:val="24"/>
                <w:lang w:eastAsia="zh-CN"/>
              </w:rPr>
            </w:pPr>
            <w:r>
              <w:rPr>
                <w:rFonts w:hint="eastAsia" w:ascii="Times New Roman" w:hAnsi="Times New Roman" w:eastAsia="宋体" w:cs="Times New Roman"/>
                <w:color w:val="auto"/>
                <w:sz w:val="24"/>
                <w:highlight w:val="none"/>
                <w:lang w:val="en-US" w:eastAsia="zh-CN"/>
              </w:rPr>
              <w:t>项目拟建设的</w:t>
            </w:r>
            <w:r>
              <w:rPr>
                <w:rFonts w:hint="eastAsia"/>
                <w:color w:val="auto"/>
                <w:vertAlign w:val="baseline"/>
                <w:lang w:val="en-US" w:eastAsia="zh-CN"/>
              </w:rPr>
              <w:t>斜坡沉淀池容积约216m</w:t>
            </w:r>
            <w:r>
              <w:rPr>
                <w:rFonts w:hint="eastAsia"/>
                <w:color w:val="auto"/>
                <w:vertAlign w:val="superscript"/>
                <w:lang w:val="en-US" w:eastAsia="zh-CN"/>
              </w:rPr>
              <w:t>3</w:t>
            </w:r>
            <w:r>
              <w:rPr>
                <w:rFonts w:hint="eastAsia"/>
                <w:color w:val="auto"/>
                <w:lang w:eastAsia="zh-CN"/>
              </w:rPr>
              <w:t>，</w:t>
            </w:r>
            <w:r>
              <w:rPr>
                <w:color w:val="auto"/>
              </w:rPr>
              <w:t>斜</w:t>
            </w:r>
            <w:r>
              <w:rPr>
                <w:rFonts w:hint="eastAsia"/>
                <w:color w:val="auto"/>
                <w:lang w:val="en-US" w:eastAsia="zh-CN"/>
              </w:rPr>
              <w:t>坡</w:t>
            </w:r>
            <w:r>
              <w:rPr>
                <w:color w:val="auto"/>
              </w:rPr>
              <w:t>沉淀池的水力停留时间</w:t>
            </w:r>
            <w:r>
              <w:rPr>
                <w:rFonts w:hint="eastAsia"/>
                <w:color w:val="auto"/>
                <w:lang w:val="en-US" w:eastAsia="zh-CN"/>
              </w:rPr>
              <w:t>按</w:t>
            </w:r>
            <w:r>
              <w:rPr>
                <w:rFonts w:hint="eastAsia" w:ascii="Times New Roman" w:hAnsi="Times New Roman" w:eastAsia="宋体"/>
                <w:color w:val="auto"/>
                <w:sz w:val="24"/>
                <w:szCs w:val="24"/>
              </w:rPr>
              <w:t>120min</w:t>
            </w:r>
            <w:r>
              <w:rPr>
                <w:rFonts w:hint="eastAsia"/>
                <w:color w:val="auto"/>
                <w:lang w:val="en-US" w:eastAsia="zh-CN"/>
              </w:rPr>
              <w:t>取值，则每日可循环4倍容积水量，即864t/d。根据前文水平衡计算，项目设备清洗用水、地面冲洗用水、试验清洗用水以及初期雨水排入斜坡沉淀池的单日最大总量为295.70t/d（36784.14t/a），仅占用斜坡沉淀池每日有效循环容积的34.22%，因此项目拟配套的斜坡沉淀池可以满足循环水的使用</w:t>
            </w:r>
            <w:r>
              <w:rPr>
                <w:rFonts w:hint="eastAsia"/>
                <w:color w:val="auto"/>
                <w:sz w:val="24"/>
                <w:szCs w:val="24"/>
                <w:lang w:eastAsia="zh-CN"/>
              </w:rPr>
              <w:t>。</w:t>
            </w:r>
          </w:p>
          <w:p>
            <w:pPr>
              <w:tabs>
                <w:tab w:val="left" w:pos="3420"/>
              </w:tabs>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项目拟采购安装的洗砂生产线配套污水罐容积241.92</w:t>
            </w:r>
            <w:r>
              <w:rPr>
                <w:rFonts w:hint="eastAsia"/>
                <w:color w:val="auto"/>
                <w:vertAlign w:val="baseline"/>
                <w:lang w:val="en-US" w:eastAsia="zh-CN"/>
              </w:rPr>
              <w:t>m</w:t>
            </w:r>
            <w:r>
              <w:rPr>
                <w:rFonts w:hint="eastAsia"/>
                <w:color w:val="auto"/>
                <w:vertAlign w:val="superscript"/>
                <w:lang w:val="en-US" w:eastAsia="zh-CN"/>
              </w:rPr>
              <w:t>3</w:t>
            </w:r>
            <w:r>
              <w:rPr>
                <w:rFonts w:hint="eastAsia"/>
                <w:color w:val="auto"/>
                <w:vertAlign w:val="baseline"/>
                <w:lang w:val="en-US" w:eastAsia="zh-CN"/>
              </w:rPr>
              <w:t>，根据前文水平衡分析，项目洗砂工序耗水量为545.45t/d，</w:t>
            </w:r>
            <w:r>
              <w:rPr>
                <w:rFonts w:hint="eastAsia"/>
                <w:color w:val="auto"/>
                <w:sz w:val="24"/>
                <w:szCs w:val="24"/>
                <w:lang w:val="en-US" w:eastAsia="zh-CN"/>
              </w:rPr>
              <w:t>混合反应至沉淀分离时间按2.5h计，则每日至少可处理洗砂废水725.73t，满足洗砂工序的水使用。</w:t>
            </w:r>
          </w:p>
          <w:p>
            <w:pPr>
              <w:tabs>
                <w:tab w:val="left" w:pos="3420"/>
              </w:tabs>
              <w:spacing w:line="360" w:lineRule="auto"/>
              <w:ind w:firstLine="480" w:firstLineChars="200"/>
              <w:rPr>
                <w:rFonts w:hint="eastAsia" w:ascii="Times New Roman" w:hAnsi="Times New Roman" w:eastAsia="宋体"/>
                <w:color w:val="auto"/>
                <w:sz w:val="24"/>
                <w:szCs w:val="24"/>
                <w:lang w:val="en-US" w:eastAsia="zh-CN"/>
              </w:rPr>
            </w:pPr>
            <w:r>
              <w:rPr>
                <w:rFonts w:hint="eastAsia" w:ascii="Times New Roman" w:hAnsi="Times New Roman" w:eastAsia="宋体"/>
                <w:color w:val="auto"/>
                <w:sz w:val="24"/>
                <w:szCs w:val="24"/>
              </w:rPr>
              <w:t>参考《排污许可证申请与核发技术规范 水泥工业》（HJ847-2017）</w:t>
            </w:r>
            <w:r>
              <w:rPr>
                <w:rFonts w:hint="eastAsia" w:ascii="Times New Roman" w:hAnsi="Times New Roman" w:eastAsia="宋体"/>
                <w:color w:val="auto"/>
                <w:sz w:val="24"/>
                <w:szCs w:val="24"/>
                <w:lang w:eastAsia="zh-CN"/>
              </w:rPr>
              <w:t>中附录</w:t>
            </w:r>
            <w:r>
              <w:rPr>
                <w:rFonts w:hint="eastAsia" w:ascii="Times New Roman" w:hAnsi="Times New Roman" w:eastAsia="宋体"/>
                <w:color w:val="auto"/>
                <w:sz w:val="24"/>
                <w:szCs w:val="24"/>
                <w:lang w:val="en-US" w:eastAsia="zh-CN"/>
              </w:rPr>
              <w:t>C</w:t>
            </w:r>
            <w:r>
              <w:rPr>
                <w:rFonts w:hint="eastAsia" w:ascii="Times New Roman" w:hAnsi="Times New Roman" w:eastAsia="宋体"/>
                <w:color w:val="auto"/>
                <w:sz w:val="24"/>
                <w:szCs w:val="24"/>
              </w:rPr>
              <w:t>，沉淀处理属于可行性技术</w:t>
            </w:r>
            <w:r>
              <w:rPr>
                <w:rFonts w:hint="eastAsia" w:ascii="Times New Roman" w:hAnsi="Times New Roman" w:eastAsia="宋体"/>
                <w:color w:val="auto"/>
                <w:sz w:val="24"/>
                <w:szCs w:val="24"/>
                <w:lang w:eastAsia="zh-CN"/>
              </w:rPr>
              <w:t>，详见表</w:t>
            </w:r>
            <w:r>
              <w:rPr>
                <w:rFonts w:hint="eastAsia" w:ascii="Times New Roman" w:hAnsi="Times New Roman" w:eastAsia="宋体"/>
                <w:color w:val="auto"/>
                <w:sz w:val="24"/>
                <w:szCs w:val="24"/>
                <w:lang w:val="en-US" w:eastAsia="zh-CN"/>
              </w:rPr>
              <w:t>4.3-</w:t>
            </w:r>
            <w:r>
              <w:rPr>
                <w:rFonts w:hint="eastAsia"/>
                <w:color w:val="auto"/>
                <w:sz w:val="24"/>
                <w:szCs w:val="24"/>
                <w:lang w:val="en-US" w:eastAsia="zh-CN"/>
              </w:rPr>
              <w:t>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因此，项目采用</w:t>
            </w:r>
            <w:r>
              <w:rPr>
                <w:rFonts w:hint="eastAsia"/>
                <w:color w:val="auto"/>
                <w:sz w:val="24"/>
                <w:szCs w:val="24"/>
                <w:lang w:val="en-US" w:eastAsia="zh-CN"/>
              </w:rPr>
              <w:t>沉淀池</w:t>
            </w:r>
            <w:r>
              <w:rPr>
                <w:rFonts w:hint="eastAsia" w:ascii="Times New Roman" w:hAnsi="Times New Roman" w:eastAsia="宋体"/>
                <w:color w:val="auto"/>
                <w:sz w:val="24"/>
                <w:szCs w:val="24"/>
              </w:rPr>
              <w:t>处理</w:t>
            </w:r>
            <w:r>
              <w:rPr>
                <w:rFonts w:hint="eastAsia" w:ascii="Times New Roman" w:hAnsi="Times New Roman" w:eastAsia="宋体"/>
                <w:color w:val="auto"/>
                <w:sz w:val="24"/>
                <w:szCs w:val="24"/>
                <w:lang w:val="en-US" w:eastAsia="zh-CN"/>
              </w:rPr>
              <w:t>生产</w:t>
            </w:r>
            <w:r>
              <w:rPr>
                <w:rFonts w:hint="eastAsia" w:ascii="Times New Roman" w:hAnsi="Times New Roman" w:eastAsia="宋体"/>
                <w:color w:val="auto"/>
                <w:sz w:val="24"/>
                <w:szCs w:val="24"/>
              </w:rPr>
              <w:t>废水</w:t>
            </w:r>
            <w:r>
              <w:rPr>
                <w:rFonts w:hint="eastAsia" w:ascii="Times New Roman" w:hAnsi="Times New Roman" w:eastAsia="宋体"/>
                <w:color w:val="auto"/>
                <w:sz w:val="24"/>
                <w:szCs w:val="24"/>
                <w:lang w:eastAsia="zh-CN"/>
              </w:rPr>
              <w:t>及厂区</w:t>
            </w:r>
            <w:r>
              <w:rPr>
                <w:rFonts w:hint="eastAsia"/>
                <w:color w:val="auto"/>
                <w:sz w:val="24"/>
                <w:szCs w:val="24"/>
                <w:lang w:val="en-US" w:eastAsia="zh-CN"/>
              </w:rPr>
              <w:t>地面</w:t>
            </w:r>
            <w:r>
              <w:rPr>
                <w:rFonts w:hint="eastAsia" w:ascii="Times New Roman" w:hAnsi="Times New Roman" w:eastAsia="宋体"/>
                <w:color w:val="auto"/>
                <w:sz w:val="24"/>
                <w:szCs w:val="24"/>
                <w:lang w:eastAsia="zh-CN"/>
              </w:rPr>
              <w:t>初期雨水，</w:t>
            </w:r>
            <w:r>
              <w:rPr>
                <w:rFonts w:hint="eastAsia" w:ascii="Times New Roman" w:hAnsi="Times New Roman" w:eastAsia="宋体"/>
                <w:color w:val="auto"/>
                <w:sz w:val="24"/>
                <w:szCs w:val="24"/>
              </w:rPr>
              <w:t>从技术角度分析可行。</w:t>
            </w:r>
          </w:p>
          <w:p>
            <w:pPr>
              <w:tabs>
                <w:tab w:val="left" w:pos="1800"/>
                <w:tab w:val="center" w:pos="4252"/>
              </w:tabs>
              <w:jc w:val="center"/>
              <w:rPr>
                <w:rFonts w:hint="eastAsia" w:ascii="Times New Roman" w:hAnsi="Times New Roman" w:eastAsia="宋体"/>
                <w:b/>
                <w:bCs/>
                <w:caps w:val="0"/>
                <w:smallCaps w:val="0"/>
                <w:color w:val="auto"/>
                <w:sz w:val="24"/>
                <w:szCs w:val="24"/>
                <w:lang w:val="en-US" w:eastAsia="zh-CN"/>
              </w:rPr>
            </w:pPr>
            <w:r>
              <w:rPr>
                <w:rFonts w:ascii="Times New Roman" w:hAnsi="Times New Roman" w:eastAsia="宋体"/>
                <w:b/>
                <w:bCs/>
                <w:caps w:val="0"/>
                <w:smallCaps w:val="0"/>
                <w:color w:val="auto"/>
                <w:sz w:val="24"/>
                <w:szCs w:val="24"/>
              </w:rPr>
              <w:t>表</w:t>
            </w:r>
            <w:r>
              <w:rPr>
                <w:rFonts w:hint="eastAsia" w:ascii="Times New Roman" w:hAnsi="Times New Roman" w:eastAsia="宋体"/>
                <w:b/>
                <w:bCs/>
                <w:caps w:val="0"/>
                <w:smallCaps w:val="0"/>
                <w:color w:val="auto"/>
                <w:sz w:val="24"/>
                <w:szCs w:val="24"/>
                <w:lang w:val="en-US" w:eastAsia="zh-CN"/>
              </w:rPr>
              <w:t>4.3-</w:t>
            </w:r>
            <w:r>
              <w:rPr>
                <w:rFonts w:hint="eastAsia"/>
                <w:b/>
                <w:bCs/>
                <w:caps w:val="0"/>
                <w:smallCaps w:val="0"/>
                <w:color w:val="auto"/>
                <w:sz w:val="24"/>
                <w:szCs w:val="24"/>
                <w:lang w:val="en-US" w:eastAsia="zh-CN"/>
              </w:rPr>
              <w:t>2</w:t>
            </w:r>
            <w:r>
              <w:rPr>
                <w:rFonts w:hint="eastAsia" w:ascii="Times New Roman" w:hAnsi="Times New Roman" w:eastAsia="宋体"/>
                <w:b/>
                <w:bCs/>
                <w:caps w:val="0"/>
                <w:smallCaps w:val="0"/>
                <w:color w:val="auto"/>
                <w:sz w:val="24"/>
                <w:szCs w:val="24"/>
                <w:lang w:val="en-US" w:eastAsia="zh-CN"/>
              </w:rPr>
              <w:t xml:space="preserve"> 水泥工业废水污染防治可行技术</w:t>
            </w:r>
          </w:p>
          <w:tbl>
            <w:tblPr>
              <w:tblStyle w:val="25"/>
              <w:tblW w:w="827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6"/>
              <w:gridCol w:w="745"/>
              <w:gridCol w:w="1542"/>
              <w:gridCol w:w="1244"/>
              <w:gridCol w:w="1563"/>
              <w:gridCol w:w="1080"/>
              <w:gridCol w:w="12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896"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环境要素</w:t>
                  </w:r>
                </w:p>
              </w:tc>
              <w:tc>
                <w:tcPr>
                  <w:tcW w:w="745"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排放方式</w:t>
                  </w:r>
                </w:p>
              </w:tc>
              <w:tc>
                <w:tcPr>
                  <w:tcW w:w="1542"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类型</w:t>
                  </w:r>
                </w:p>
              </w:tc>
              <w:tc>
                <w:tcPr>
                  <w:tcW w:w="1244"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主要污染物</w:t>
                  </w:r>
                </w:p>
              </w:tc>
              <w:tc>
                <w:tcPr>
                  <w:tcW w:w="1563"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可行技术</w:t>
                  </w:r>
                </w:p>
              </w:tc>
              <w:tc>
                <w:tcPr>
                  <w:tcW w:w="1080"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本项目</w:t>
                  </w:r>
                </w:p>
              </w:tc>
              <w:tc>
                <w:tcPr>
                  <w:tcW w:w="1202"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b/>
                      <w:bCs/>
                      <w:color w:val="auto"/>
                      <w:sz w:val="21"/>
                      <w:szCs w:val="21"/>
                      <w:vertAlign w:val="baseline"/>
                      <w:lang w:val="en-US" w:eastAsia="zh-CN"/>
                    </w:rPr>
                  </w:pPr>
                  <w:r>
                    <w:rPr>
                      <w:rFonts w:hint="eastAsia" w:ascii="Times New Roman" w:hAnsi="Times New Roman" w:eastAsia="宋体"/>
                      <w:b/>
                      <w:bCs/>
                      <w:color w:val="auto"/>
                      <w:sz w:val="21"/>
                      <w:szCs w:val="21"/>
                      <w:vertAlign w:val="baseline"/>
                      <w:lang w:val="en-US" w:eastAsia="zh-CN"/>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79" w:hRule="atLeast"/>
              </w:trPr>
              <w:tc>
                <w:tcPr>
                  <w:tcW w:w="896"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废水</w:t>
                  </w:r>
                </w:p>
              </w:tc>
              <w:tc>
                <w:tcPr>
                  <w:tcW w:w="745"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循环回用</w:t>
                  </w:r>
                </w:p>
              </w:tc>
              <w:tc>
                <w:tcPr>
                  <w:tcW w:w="1542"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辅助生产废水、设备冷却排污水、循环冷却排水</w:t>
                  </w:r>
                </w:p>
              </w:tc>
              <w:tc>
                <w:tcPr>
                  <w:tcW w:w="1244"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化学需氧量、悬浮物、石油类、pH</w:t>
                  </w:r>
                </w:p>
              </w:tc>
              <w:tc>
                <w:tcPr>
                  <w:tcW w:w="1563"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经</w:t>
                  </w:r>
                  <w:r>
                    <w:rPr>
                      <w:rFonts w:hint="eastAsia" w:ascii="Times New Roman" w:hAnsi="Times New Roman" w:eastAsia="宋体"/>
                      <w:b/>
                      <w:bCs/>
                      <w:color w:val="auto"/>
                      <w:sz w:val="21"/>
                      <w:szCs w:val="21"/>
                      <w:vertAlign w:val="baseline"/>
                      <w:lang w:val="en-US" w:eastAsia="zh-CN"/>
                    </w:rPr>
                    <w:t>过滤</w:t>
                  </w:r>
                  <w:r>
                    <w:rPr>
                      <w:rFonts w:hint="eastAsia" w:ascii="Times New Roman" w:hAnsi="Times New Roman" w:eastAsia="宋体"/>
                      <w:color w:val="auto"/>
                      <w:sz w:val="21"/>
                      <w:szCs w:val="21"/>
                      <w:vertAlign w:val="baseline"/>
                      <w:lang w:val="en-US" w:eastAsia="zh-CN"/>
                    </w:rPr>
                    <w:t>、</w:t>
                  </w:r>
                  <w:r>
                    <w:rPr>
                      <w:rFonts w:hint="eastAsia" w:ascii="Times New Roman" w:hAnsi="Times New Roman" w:eastAsia="宋体"/>
                      <w:b/>
                      <w:bCs/>
                      <w:color w:val="auto"/>
                      <w:sz w:val="21"/>
                      <w:szCs w:val="21"/>
                      <w:vertAlign w:val="baseline"/>
                      <w:lang w:val="en-US" w:eastAsia="zh-CN"/>
                    </w:rPr>
                    <w:t>沉淀</w:t>
                  </w:r>
                  <w:r>
                    <w:rPr>
                      <w:rFonts w:hint="eastAsia" w:ascii="Times New Roman" w:hAnsi="Times New Roman" w:eastAsia="宋体"/>
                      <w:color w:val="auto"/>
                      <w:sz w:val="21"/>
                      <w:szCs w:val="21"/>
                      <w:vertAlign w:val="baseline"/>
                      <w:lang w:val="en-US" w:eastAsia="zh-CN"/>
                    </w:rPr>
                    <w:t>、上浮、冷却等处理后回用</w:t>
                  </w:r>
                </w:p>
              </w:tc>
              <w:tc>
                <w:tcPr>
                  <w:tcW w:w="1080"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auto"/>
                      <w:sz w:val="21"/>
                      <w:szCs w:val="21"/>
                      <w:vertAlign w:val="baseline"/>
                      <w:lang w:val="en-US" w:eastAsia="zh-CN"/>
                    </w:rPr>
                  </w:pPr>
                  <w:r>
                    <w:rPr>
                      <w:rFonts w:hint="eastAsia" w:ascii="Times New Roman" w:hAnsi="Times New Roman" w:eastAsia="宋体" w:cs="Times New Roman"/>
                      <w:color w:val="auto"/>
                      <w:sz w:val="21"/>
                      <w:szCs w:val="21"/>
                      <w:highlight w:val="none"/>
                      <w:lang w:val="en-US" w:eastAsia="zh-CN"/>
                    </w:rPr>
                    <w:t>沉淀</w:t>
                  </w:r>
                </w:p>
              </w:tc>
              <w:tc>
                <w:tcPr>
                  <w:tcW w:w="1202" w:type="dxa"/>
                  <w:tcBorders>
                    <w:tl2br w:val="nil"/>
                    <w:tr2bl w:val="nil"/>
                  </w:tcBorders>
                  <w:vAlign w:val="center"/>
                </w:tcPr>
                <w:p>
                  <w:pPr>
                    <w:pStyle w:val="5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auto"/>
                      <w:sz w:val="21"/>
                      <w:szCs w:val="21"/>
                      <w:vertAlign w:val="baseline"/>
                      <w:lang w:val="en-US" w:eastAsia="zh-CN"/>
                    </w:rPr>
                  </w:pPr>
                  <w:r>
                    <w:rPr>
                      <w:rFonts w:hint="eastAsia" w:ascii="Times New Roman" w:hAnsi="Times New Roman" w:eastAsia="宋体"/>
                      <w:color w:val="auto"/>
                      <w:sz w:val="21"/>
                      <w:szCs w:val="21"/>
                      <w:vertAlign w:val="baseline"/>
                      <w:lang w:val="en-US" w:eastAsia="zh-CN"/>
                    </w:rPr>
                    <w:t>可行</w:t>
                  </w:r>
                </w:p>
              </w:tc>
            </w:tr>
          </w:tbl>
          <w:p>
            <w:pPr>
              <w:tabs>
                <w:tab w:val="left" w:pos="3420"/>
              </w:tabs>
              <w:spacing w:line="360" w:lineRule="auto"/>
              <w:ind w:firstLine="480" w:firstLineChars="200"/>
              <w:rPr>
                <w:rFonts w:hint="default"/>
                <w:color w:val="auto"/>
                <w:sz w:val="24"/>
                <w:szCs w:val="24"/>
                <w:lang w:val="en-US" w:eastAsia="zh-CN"/>
              </w:rPr>
            </w:pPr>
            <w:r>
              <w:rPr>
                <w:rFonts w:hint="eastAsia"/>
                <w:color w:val="auto"/>
                <w:sz w:val="24"/>
                <w:szCs w:val="24"/>
                <w:lang w:val="en-US" w:eastAsia="zh-CN"/>
              </w:rPr>
              <w:t>项目经处理后的生产废水及地面初期雨水回用于搅拌工序，</w:t>
            </w:r>
            <w:r>
              <w:rPr>
                <w:rFonts w:hint="eastAsia" w:ascii="Times New Roman" w:hAnsi="Times New Roman" w:eastAsia="宋体" w:cs="Times New Roman"/>
                <w:color w:val="auto"/>
                <w:sz w:val="24"/>
                <w:szCs w:val="24"/>
                <w:lang w:val="en-US" w:eastAsia="zh-CN"/>
              </w:rPr>
              <w:t>企业拟将斜坡沉淀池出水接入清水池暂存，清水池设回用水管道，</w:t>
            </w:r>
            <w:r>
              <w:rPr>
                <w:rFonts w:hint="eastAsia"/>
                <w:color w:val="auto"/>
                <w:sz w:val="24"/>
                <w:szCs w:val="24"/>
                <w:lang w:val="en-US" w:eastAsia="zh-CN"/>
              </w:rPr>
              <w:t>通过水泵提升至搅拌机水箱内，用于混凝土搅拌。</w:t>
            </w:r>
          </w:p>
          <w:p>
            <w:pPr>
              <w:tabs>
                <w:tab w:val="left" w:pos="3420"/>
              </w:tabs>
              <w:spacing w:line="360" w:lineRule="auto"/>
              <w:ind w:firstLine="480" w:firstLineChars="200"/>
              <w:rPr>
                <w:rFonts w:hint="eastAsia" w:ascii="Times New Roman" w:hAnsi="Times New Roman" w:eastAsia="宋体"/>
                <w:color w:val="auto"/>
                <w:sz w:val="24"/>
                <w:szCs w:val="24"/>
                <w:lang w:val="en-US" w:eastAsia="zh-CN"/>
              </w:rPr>
            </w:pPr>
            <w:r>
              <w:rPr>
                <w:rFonts w:hint="eastAsia"/>
                <w:color w:val="auto"/>
                <w:sz w:val="24"/>
                <w:szCs w:val="24"/>
                <w:lang w:val="en-US" w:eastAsia="zh-CN"/>
              </w:rPr>
              <w:t>根据前文水平衡分析，项目搅拌</w:t>
            </w:r>
            <w:r>
              <w:rPr>
                <w:rFonts w:hint="eastAsia"/>
                <w:color w:val="auto"/>
                <w:lang w:val="en-US" w:eastAsia="zh-CN"/>
              </w:rPr>
              <w:t>需水量约为30万t/a</w:t>
            </w:r>
            <w:r>
              <w:rPr>
                <w:rFonts w:hint="eastAsia" w:ascii="Times New Roman" w:hAnsi="Times New Roman" w:eastAsia="宋体" w:cs="Times New Roman"/>
                <w:color w:val="auto"/>
                <w:sz w:val="24"/>
                <w:lang w:val="en-US" w:eastAsia="zh-CN"/>
              </w:rPr>
              <w:t>，回用水量为4.17</w:t>
            </w:r>
            <w:r>
              <w:rPr>
                <w:rFonts w:hint="eastAsia"/>
                <w:color w:val="auto"/>
                <w:lang w:val="en-US" w:eastAsia="zh-CN"/>
              </w:rPr>
              <w:t>万t/a，</w:t>
            </w:r>
            <w:r>
              <w:rPr>
                <w:rFonts w:hint="eastAsia" w:cs="Times New Roman"/>
                <w:b w:val="0"/>
                <w:bCs/>
                <w:caps w:val="0"/>
                <w:smallCaps w:val="0"/>
                <w:color w:val="auto"/>
                <w:sz w:val="24"/>
                <w:szCs w:val="24"/>
                <w:lang w:val="en-US" w:eastAsia="zh-CN"/>
              </w:rPr>
              <w:t>企业需水量</w:t>
            </w:r>
            <w:r>
              <w:rPr>
                <w:rFonts w:hint="eastAsia" w:ascii="Times New Roman" w:hAnsi="Times New Roman" w:eastAsia="宋体" w:cs="Times New Roman"/>
                <w:b w:val="0"/>
                <w:bCs/>
                <w:caps w:val="0"/>
                <w:smallCaps w:val="0"/>
                <w:color w:val="auto"/>
                <w:sz w:val="24"/>
                <w:szCs w:val="24"/>
                <w:lang w:val="en-US" w:eastAsia="zh-CN"/>
              </w:rPr>
              <w:t>远大于</w:t>
            </w:r>
            <w:r>
              <w:rPr>
                <w:rFonts w:hint="eastAsia" w:cs="Times New Roman"/>
                <w:b w:val="0"/>
                <w:bCs/>
                <w:caps w:val="0"/>
                <w:smallCaps w:val="0"/>
                <w:color w:val="auto"/>
                <w:sz w:val="24"/>
                <w:szCs w:val="24"/>
                <w:lang w:val="en-US" w:eastAsia="zh-CN"/>
              </w:rPr>
              <w:t>回用水量，因此</w:t>
            </w:r>
            <w:r>
              <w:rPr>
                <w:rFonts w:hint="eastAsia" w:ascii="Times New Roman" w:hAnsi="Times New Roman" w:eastAsia="宋体"/>
                <w:color w:val="auto"/>
                <w:sz w:val="24"/>
                <w:szCs w:val="24"/>
                <w:lang w:val="en-US" w:eastAsia="zh-CN"/>
              </w:rPr>
              <w:t>可完全消纳</w:t>
            </w:r>
            <w:r>
              <w:rPr>
                <w:rFonts w:hint="eastAsia"/>
                <w:color w:val="auto"/>
                <w:sz w:val="24"/>
                <w:szCs w:val="24"/>
                <w:lang w:val="en-US" w:eastAsia="zh-CN"/>
              </w:rPr>
              <w:t>经处理后的生产废水</w:t>
            </w:r>
            <w:r>
              <w:rPr>
                <w:rFonts w:hint="eastAsia" w:cs="Times New Roman"/>
                <w:b w:val="0"/>
                <w:bCs/>
                <w:caps w:val="0"/>
                <w:smallCaps w:val="0"/>
                <w:color w:val="auto"/>
                <w:sz w:val="24"/>
                <w:szCs w:val="24"/>
                <w:lang w:val="en-US" w:eastAsia="zh-CN"/>
              </w:rPr>
              <w:t>及初期雨水</w:t>
            </w:r>
            <w:r>
              <w:rPr>
                <w:rFonts w:hint="eastAsia" w:ascii="Times New Roman" w:hAnsi="Times New Roman" w:eastAsia="宋体"/>
                <w:color w:val="auto"/>
                <w:sz w:val="24"/>
                <w:szCs w:val="24"/>
                <w:lang w:val="en-US" w:eastAsia="zh-CN"/>
              </w:rPr>
              <w:t>。</w:t>
            </w:r>
          </w:p>
          <w:p>
            <w:pPr>
              <w:tabs>
                <w:tab w:val="left" w:pos="3420"/>
              </w:tabs>
              <w:spacing w:line="360" w:lineRule="auto"/>
              <w:ind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综上，项目生产废水</w:t>
            </w:r>
            <w:r>
              <w:rPr>
                <w:rFonts w:hint="eastAsia"/>
                <w:color w:val="auto"/>
                <w:sz w:val="24"/>
                <w:szCs w:val="24"/>
                <w:lang w:val="en-US" w:eastAsia="zh-CN"/>
              </w:rPr>
              <w:t>、生活污水</w:t>
            </w:r>
            <w:r>
              <w:rPr>
                <w:rFonts w:hint="eastAsia" w:ascii="Times New Roman" w:hAnsi="Times New Roman" w:eastAsia="宋体"/>
                <w:color w:val="auto"/>
                <w:sz w:val="24"/>
                <w:szCs w:val="24"/>
              </w:rPr>
              <w:t>和收集</w:t>
            </w:r>
            <w:r>
              <w:rPr>
                <w:rFonts w:hint="eastAsia"/>
                <w:color w:val="auto"/>
                <w:sz w:val="24"/>
                <w:szCs w:val="24"/>
                <w:lang w:eastAsia="zh-CN"/>
              </w:rPr>
              <w:t>初期</w:t>
            </w:r>
            <w:r>
              <w:rPr>
                <w:rFonts w:hint="eastAsia" w:ascii="Times New Roman" w:hAnsi="Times New Roman" w:eastAsia="宋体"/>
                <w:color w:val="auto"/>
                <w:sz w:val="24"/>
                <w:szCs w:val="24"/>
              </w:rPr>
              <w:t>雨水经处理</w:t>
            </w:r>
            <w:r>
              <w:rPr>
                <w:rFonts w:hint="eastAsia"/>
                <w:color w:val="auto"/>
                <w:sz w:val="24"/>
                <w:szCs w:val="24"/>
                <w:lang w:eastAsia="zh-CN"/>
              </w:rPr>
              <w:t>可全部回用</w:t>
            </w:r>
            <w:r>
              <w:rPr>
                <w:rFonts w:hint="eastAsia" w:ascii="Times New Roman" w:hAnsi="Times New Roman" w:eastAsia="宋体"/>
                <w:color w:val="auto"/>
                <w:sz w:val="24"/>
                <w:szCs w:val="24"/>
              </w:rPr>
              <w:t>，措施可行。</w:t>
            </w:r>
          </w:p>
          <w:p>
            <w:pPr>
              <w:bidi w:val="0"/>
              <w:ind w:left="0" w:leftChars="0" w:firstLine="0" w:firstLineChars="0"/>
              <w:rPr>
                <w:rFonts w:hint="eastAsia"/>
                <w:b/>
                <w:bCs/>
                <w:color w:val="auto"/>
                <w:lang w:val="en-US" w:eastAsia="zh-CN"/>
              </w:rPr>
            </w:pPr>
            <w:r>
              <w:rPr>
                <w:rFonts w:hint="eastAsia"/>
                <w:b/>
                <w:bCs/>
                <w:color w:val="auto"/>
                <w:lang w:val="en-US" w:eastAsia="zh-CN"/>
              </w:rPr>
              <w:t>4.3.2.4小结</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szCs w:val="24"/>
                <w:lang w:val="en-US" w:eastAsia="zh-CN"/>
              </w:rPr>
              <w:t>根据上述分析，项目</w:t>
            </w:r>
            <w:r>
              <w:rPr>
                <w:rFonts w:hint="eastAsia" w:cs="Times New Roman"/>
                <w:color w:val="auto"/>
                <w:sz w:val="24"/>
                <w:szCs w:val="24"/>
                <w:lang w:val="en-US" w:eastAsia="zh-CN"/>
              </w:rPr>
              <w:t>所有生产废水和生活废水均回用，不单独外排</w:t>
            </w:r>
            <w:r>
              <w:rPr>
                <w:rFonts w:hint="eastAsia" w:ascii="Times New Roman" w:hAnsi="Times New Roman" w:eastAsia="宋体" w:cs="Times New Roman"/>
                <w:color w:val="auto"/>
                <w:sz w:val="24"/>
                <w:szCs w:val="24"/>
                <w:lang w:val="en-US" w:eastAsia="zh-CN"/>
              </w:rPr>
              <w:t>，项目污水不直接排入地表水体，因此几乎不会对区域地表水环境产生直接不利影响。</w:t>
            </w:r>
          </w:p>
          <w:p>
            <w:pPr>
              <w:pStyle w:val="4"/>
              <w:bidi w:val="0"/>
              <w:rPr>
                <w:rFonts w:hint="default"/>
                <w:color w:val="auto"/>
                <w:lang w:eastAsia="zh-CN"/>
              </w:rPr>
            </w:pPr>
            <w:r>
              <w:rPr>
                <w:rFonts w:hint="default"/>
                <w:color w:val="auto"/>
                <w:lang w:eastAsia="zh-CN"/>
              </w:rPr>
              <w:t>4.</w:t>
            </w:r>
            <w:r>
              <w:rPr>
                <w:rFonts w:hint="eastAsia"/>
                <w:color w:val="auto"/>
                <w:lang w:val="en-US" w:eastAsia="zh-CN"/>
              </w:rPr>
              <w:t>3</w:t>
            </w:r>
            <w:r>
              <w:rPr>
                <w:rFonts w:hint="default"/>
                <w:color w:val="auto"/>
                <w:lang w:eastAsia="zh-CN"/>
              </w:rPr>
              <w:t>.</w:t>
            </w:r>
            <w:r>
              <w:rPr>
                <w:rFonts w:hint="eastAsia"/>
                <w:color w:val="auto"/>
                <w:lang w:val="en-US" w:eastAsia="zh-CN"/>
              </w:rPr>
              <w:t>4</w:t>
            </w:r>
            <w:r>
              <w:rPr>
                <w:rFonts w:hint="default"/>
                <w:color w:val="auto"/>
                <w:lang w:eastAsia="zh-CN"/>
              </w:rPr>
              <w:t xml:space="preserve"> </w:t>
            </w:r>
            <w:r>
              <w:rPr>
                <w:rFonts w:hint="default"/>
                <w:color w:val="auto"/>
                <w:lang w:val="en-US" w:eastAsia="zh-CN"/>
              </w:rPr>
              <w:t>自行监测计划</w:t>
            </w:r>
          </w:p>
          <w:p>
            <w:pPr>
              <w:keepNext w:val="0"/>
              <w:keepLines w:val="0"/>
              <w:pageBreakBefore w:val="0"/>
              <w:widowControl w:val="0"/>
              <w:tabs>
                <w:tab w:val="left" w:pos="3420"/>
              </w:tabs>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vertAlign w:val="baseline"/>
                <w:lang w:val="en-US" w:eastAsia="zh-CN"/>
              </w:rPr>
            </w:pPr>
            <w:r>
              <w:rPr>
                <w:rFonts w:hint="eastAsia" w:ascii="Times New Roman" w:hAnsi="Times New Roman" w:eastAsia="宋体" w:cs="Times New Roman"/>
                <w:color w:val="auto"/>
                <w:sz w:val="24"/>
                <w:szCs w:val="24"/>
                <w:lang w:val="en-US" w:eastAsia="zh-CN"/>
              </w:rPr>
              <w:t>项目无生产废水</w:t>
            </w:r>
            <w:r>
              <w:rPr>
                <w:rFonts w:hint="eastAsia" w:cs="Times New Roman"/>
                <w:color w:val="auto"/>
                <w:sz w:val="24"/>
                <w:szCs w:val="24"/>
                <w:lang w:val="en-US" w:eastAsia="zh-CN"/>
              </w:rPr>
              <w:t>和生活废水</w:t>
            </w:r>
            <w:r>
              <w:rPr>
                <w:rFonts w:hint="eastAsia" w:ascii="Times New Roman" w:hAnsi="Times New Roman" w:eastAsia="宋体" w:cs="Times New Roman"/>
                <w:color w:val="auto"/>
                <w:sz w:val="24"/>
                <w:szCs w:val="24"/>
                <w:lang w:val="en-US" w:eastAsia="zh-CN"/>
              </w:rPr>
              <w:t>外排</w:t>
            </w:r>
            <w:r>
              <w:rPr>
                <w:rFonts w:hint="eastAsia" w:cs="Times New Roman"/>
                <w:color w:val="auto"/>
                <w:sz w:val="24"/>
                <w:szCs w:val="24"/>
                <w:lang w:val="en-US" w:eastAsia="zh-CN"/>
              </w:rPr>
              <w:t>，因此无需制定自行监测计划。</w:t>
            </w:r>
          </w:p>
          <w:p>
            <w:pPr>
              <w:pStyle w:val="3"/>
              <w:bidi w:val="0"/>
              <w:rPr>
                <w:rFonts w:hint="default"/>
                <w:color w:val="auto"/>
              </w:rPr>
            </w:pPr>
            <w:r>
              <w:rPr>
                <w:rFonts w:hint="default"/>
                <w:color w:val="auto"/>
              </w:rPr>
              <w:t>4.</w:t>
            </w:r>
            <w:r>
              <w:rPr>
                <w:rFonts w:hint="eastAsia"/>
                <w:color w:val="auto"/>
                <w:lang w:val="en-US" w:eastAsia="zh-CN"/>
              </w:rPr>
              <w:t>4</w:t>
            </w:r>
            <w:r>
              <w:rPr>
                <w:rFonts w:hint="default"/>
                <w:color w:val="auto"/>
              </w:rPr>
              <w:t>运营期声环境影响分析和污染防治措施</w:t>
            </w:r>
          </w:p>
          <w:p>
            <w:pPr>
              <w:pStyle w:val="4"/>
              <w:bidi w:val="0"/>
              <w:rPr>
                <w:rFonts w:hint="default"/>
                <w:color w:val="auto"/>
              </w:rPr>
            </w:pPr>
            <w:r>
              <w:rPr>
                <w:rFonts w:hint="default"/>
                <w:color w:val="auto"/>
                <w:lang w:val="en-US" w:eastAsia="zh-CN"/>
              </w:rPr>
              <w:t>4.</w:t>
            </w:r>
            <w:r>
              <w:rPr>
                <w:rFonts w:hint="eastAsia"/>
                <w:color w:val="auto"/>
                <w:lang w:val="en-US" w:eastAsia="zh-CN"/>
              </w:rPr>
              <w:t>4</w:t>
            </w:r>
            <w:r>
              <w:rPr>
                <w:rFonts w:hint="default"/>
                <w:color w:val="auto"/>
                <w:lang w:val="en-US" w:eastAsia="zh-CN"/>
              </w:rPr>
              <w:t>.1</w:t>
            </w:r>
            <w:r>
              <w:rPr>
                <w:rFonts w:hint="default"/>
                <w:color w:val="auto"/>
              </w:rPr>
              <w:t xml:space="preserve"> </w:t>
            </w:r>
            <w:r>
              <w:rPr>
                <w:rFonts w:hint="default"/>
                <w:color w:val="auto"/>
                <w:lang w:val="en-US" w:eastAsia="zh-CN"/>
              </w:rPr>
              <w:t>运营期噪声源强核算</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本项目主要的噪声污染源为</w:t>
            </w:r>
            <w:r>
              <w:rPr>
                <w:rFonts w:hint="eastAsia" w:ascii="Times New Roman" w:hAnsi="Times New Roman" w:eastAsia="宋体" w:cs="Times New Roman"/>
                <w:color w:val="auto"/>
                <w:sz w:val="24"/>
                <w:szCs w:val="24"/>
                <w:highlight w:val="none"/>
                <w:lang w:eastAsia="zh-CN"/>
              </w:rPr>
              <w:t>项目生产设备</w:t>
            </w:r>
            <w:r>
              <w:rPr>
                <w:rFonts w:hint="default" w:ascii="Times New Roman" w:hAnsi="Times New Roman" w:eastAsia="宋体" w:cs="Times New Roman"/>
                <w:color w:val="auto"/>
                <w:sz w:val="24"/>
                <w:szCs w:val="24"/>
                <w:highlight w:val="none"/>
              </w:rPr>
              <w:t>运行</w:t>
            </w:r>
            <w:r>
              <w:rPr>
                <w:rFonts w:hint="eastAsia" w:ascii="Times New Roman" w:hAnsi="Times New Roman" w:eastAsia="宋体" w:cs="Times New Roman"/>
                <w:color w:val="auto"/>
                <w:sz w:val="24"/>
                <w:szCs w:val="24"/>
                <w:highlight w:val="none"/>
                <w:lang w:eastAsia="zh-CN"/>
              </w:rPr>
              <w:t>过程中</w:t>
            </w:r>
            <w:r>
              <w:rPr>
                <w:rFonts w:hint="default" w:ascii="Times New Roman" w:hAnsi="Times New Roman" w:eastAsia="宋体" w:cs="Times New Roman"/>
                <w:color w:val="auto"/>
                <w:sz w:val="24"/>
                <w:szCs w:val="24"/>
                <w:highlight w:val="none"/>
              </w:rPr>
              <w:t>产生的噪声，</w:t>
            </w:r>
            <w:r>
              <w:rPr>
                <w:rFonts w:hint="eastAsia" w:ascii="Times New Roman" w:hAnsi="Times New Roman" w:eastAsia="宋体"/>
                <w:color w:val="auto"/>
                <w:sz w:val="24"/>
                <w:szCs w:val="24"/>
              </w:rPr>
              <w:t>本项目室内噪声源强调查清单详见表4.4-1</w:t>
            </w:r>
            <w:r>
              <w:rPr>
                <w:rFonts w:hint="default" w:ascii="Times New Roman" w:hAnsi="Times New Roman" w:eastAsia="宋体" w:cs="Times New Roman"/>
                <w:color w:val="auto"/>
                <w:sz w:val="24"/>
                <w:szCs w:val="24"/>
                <w:highlight w:val="none"/>
              </w:rPr>
              <w:t>。</w:t>
            </w:r>
          </w:p>
          <w:p>
            <w:pPr>
              <w:bidi w:val="0"/>
              <w:rPr>
                <w:rFonts w:hint="eastAsia" w:ascii="Times New Roman" w:hAnsi="Times New Roman" w:eastAsia="宋体"/>
                <w:color w:val="auto"/>
                <w:lang w:eastAsia="zh-CN"/>
              </w:rPr>
            </w:pPr>
          </w:p>
        </w:tc>
      </w:tr>
    </w:tbl>
    <w:p>
      <w:pPr>
        <w:adjustRightInd w:val="0"/>
        <w:snapToGrid w:val="0"/>
        <w:spacing w:line="360" w:lineRule="auto"/>
        <w:rPr>
          <w:rFonts w:hint="default" w:ascii="Times New Roman" w:hAnsi="Times New Roman" w:eastAsia="宋体" w:cs="Times New Roman"/>
          <w:b/>
          <w:color w:val="auto"/>
          <w:kern w:val="0"/>
          <w:sz w:val="28"/>
          <w:szCs w:val="28"/>
        </w:rPr>
        <w:sectPr>
          <w:pgSz w:w="11907" w:h="16840"/>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33"/>
        <w:bidi w:val="0"/>
        <w:rPr>
          <w:color w:val="auto"/>
          <w:sz w:val="24"/>
          <w:szCs w:val="24"/>
          <w:lang w:val="zh-CN"/>
        </w:rPr>
      </w:pPr>
      <w:r>
        <w:rPr>
          <w:color w:val="auto"/>
          <w:sz w:val="24"/>
          <w:szCs w:val="24"/>
        </w:rPr>
        <w:t>表</w:t>
      </w:r>
      <w:r>
        <w:rPr>
          <w:rFonts w:hint="eastAsia"/>
          <w:color w:val="auto"/>
          <w:sz w:val="24"/>
          <w:szCs w:val="24"/>
        </w:rPr>
        <w:t>4.</w:t>
      </w:r>
      <w:r>
        <w:rPr>
          <w:rFonts w:hint="eastAsia"/>
          <w:color w:val="auto"/>
          <w:sz w:val="24"/>
          <w:szCs w:val="24"/>
          <w:lang w:val="en-US" w:eastAsia="zh-CN"/>
        </w:rPr>
        <w:t>4</w:t>
      </w:r>
      <w:r>
        <w:rPr>
          <w:rFonts w:hint="eastAsia"/>
          <w:color w:val="auto"/>
          <w:sz w:val="24"/>
          <w:szCs w:val="24"/>
        </w:rPr>
        <w:t xml:space="preserve">-1 </w:t>
      </w:r>
      <w:r>
        <w:rPr>
          <w:rFonts w:hint="eastAsia"/>
          <w:color w:val="auto"/>
          <w:sz w:val="24"/>
          <w:szCs w:val="24"/>
          <w:lang w:val="en-US" w:eastAsia="zh-CN"/>
        </w:rPr>
        <w:t>项目噪声源强调查清单（室内声源）</w:t>
      </w:r>
    </w:p>
    <w:p>
      <w:pPr>
        <w:pStyle w:val="7"/>
        <w:keepNext w:val="0"/>
        <w:keepLines w:val="0"/>
        <w:pageBreakBefore w:val="0"/>
        <w:widowControl/>
        <w:kinsoku/>
        <w:wordWrap/>
        <w:overflowPunct/>
        <w:topLinePunct w:val="0"/>
        <w:autoSpaceDE/>
        <w:autoSpaceDN/>
        <w:bidi w:val="0"/>
        <w:adjustRightInd/>
        <w:snapToGrid w:val="0"/>
        <w:spacing w:before="0" w:after="0" w:line="240" w:lineRule="auto"/>
        <w:ind w:left="0" w:leftChars="0" w:right="0" w:firstLine="0" w:firstLineChars="0"/>
        <w:textAlignment w:val="auto"/>
        <w:rPr>
          <w:rFonts w:hint="default" w:ascii="Times New Roman" w:hAnsi="Times New Roman" w:eastAsia="宋体"/>
          <w:b w:val="0"/>
          <w:bCs w:val="0"/>
          <w:color w:val="auto"/>
          <w:lang w:val="en-US" w:eastAsia="zh-CN"/>
        </w:rPr>
      </w:pPr>
      <w:r>
        <w:rPr>
          <w:rFonts w:hint="eastAsia" w:ascii="Times New Roman" w:hAnsi="Times New Roman" w:eastAsia="宋体"/>
          <w:b w:val="0"/>
          <w:bCs w:val="0"/>
          <w:color w:val="auto"/>
          <w:lang w:eastAsia="zh-CN"/>
        </w:rPr>
        <w:t>注：项目</w:t>
      </w:r>
      <w:r>
        <w:rPr>
          <w:rFonts w:hint="eastAsia"/>
          <w:b w:val="0"/>
          <w:bCs w:val="0"/>
          <w:color w:val="auto"/>
          <w:lang w:val="en-US" w:eastAsia="zh-CN"/>
        </w:rPr>
        <w:t>以厂区正南角</w:t>
      </w:r>
      <w:r>
        <w:rPr>
          <w:rFonts w:hint="eastAsia" w:ascii="Times New Roman" w:hAnsi="Times New Roman" w:eastAsia="宋体"/>
          <w:b w:val="0"/>
          <w:bCs w:val="0"/>
          <w:color w:val="auto"/>
          <w:lang w:eastAsia="zh-CN"/>
        </w:rPr>
        <w:t>为原点（</w:t>
      </w:r>
      <w:r>
        <w:rPr>
          <w:rFonts w:hint="eastAsia" w:ascii="Times New Roman" w:hAnsi="Times New Roman" w:eastAsia="宋体"/>
          <w:b w:val="0"/>
          <w:bCs w:val="0"/>
          <w:color w:val="auto"/>
          <w:lang w:val="en-US" w:eastAsia="zh-CN"/>
        </w:rPr>
        <w:t>0,0,0</w:t>
      </w:r>
      <w:r>
        <w:rPr>
          <w:rFonts w:hint="eastAsia" w:ascii="Times New Roman" w:hAnsi="Times New Roman" w:eastAsia="宋体"/>
          <w:b w:val="0"/>
          <w:bCs w:val="0"/>
          <w:color w:val="auto"/>
          <w:lang w:eastAsia="zh-CN"/>
        </w:rPr>
        <w:t>）</w:t>
      </w:r>
      <w:r>
        <w:rPr>
          <w:rFonts w:hint="eastAsia"/>
          <w:b w:val="0"/>
          <w:bCs w:val="0"/>
          <w:color w:val="auto"/>
          <w:lang w:eastAsia="zh-CN"/>
        </w:rPr>
        <w:t>，</w:t>
      </w:r>
      <w:r>
        <w:rPr>
          <w:rFonts w:hint="eastAsia"/>
          <w:b w:val="0"/>
          <w:bCs w:val="0"/>
          <w:color w:val="auto"/>
          <w:lang w:val="en-US" w:eastAsia="zh-CN"/>
        </w:rPr>
        <w:t>各车间</w:t>
      </w:r>
      <w:r>
        <w:rPr>
          <w:rFonts w:hint="eastAsia" w:ascii="Times New Roman" w:hAnsi="Times New Roman" w:eastAsia="宋体"/>
          <w:b w:val="0"/>
          <w:bCs w:val="0"/>
          <w:color w:val="auto"/>
          <w:lang w:eastAsia="zh-CN"/>
        </w:rPr>
        <w:t>正东方向为</w:t>
      </w:r>
      <w:r>
        <w:rPr>
          <w:rFonts w:hint="eastAsia" w:ascii="Times New Roman" w:hAnsi="Times New Roman" w:eastAsia="宋体"/>
          <w:b w:val="0"/>
          <w:bCs w:val="0"/>
          <w:color w:val="auto"/>
          <w:lang w:val="en-US" w:eastAsia="zh-CN"/>
        </w:rPr>
        <w:t>X轴正方向，正北方向为Y轴正方向。</w:t>
      </w:r>
    </w:p>
    <w:p>
      <w:pPr>
        <w:pStyle w:val="7"/>
        <w:keepNext w:val="0"/>
        <w:keepLines w:val="0"/>
        <w:pageBreakBefore w:val="0"/>
        <w:widowControl/>
        <w:kinsoku/>
        <w:wordWrap/>
        <w:overflowPunct/>
        <w:topLinePunct w:val="0"/>
        <w:autoSpaceDE/>
        <w:autoSpaceDN/>
        <w:bidi w:val="0"/>
        <w:adjustRightInd/>
        <w:snapToGrid w:val="0"/>
        <w:spacing w:before="0" w:after="0" w:line="240" w:lineRule="auto"/>
        <w:ind w:right="0" w:firstLine="360" w:firstLineChars="200"/>
        <w:textAlignment w:val="auto"/>
        <w:rPr>
          <w:rFonts w:hint="eastAsia" w:ascii="Times New Roman" w:hAnsi="Times New Roman" w:eastAsia="宋体"/>
          <w:b w:val="0"/>
          <w:bCs w:val="0"/>
          <w:color w:val="auto"/>
        </w:rPr>
      </w:pPr>
      <w:r>
        <w:rPr>
          <w:rFonts w:hint="eastAsia" w:ascii="Times New Roman" w:hAnsi="Times New Roman" w:eastAsia="宋体"/>
          <w:b w:val="0"/>
          <w:bCs w:val="0"/>
          <w:color w:val="auto"/>
        </w:rPr>
        <w:t>因本项目将同类型设备位置相对集中，单独列出表格较累赘</w:t>
      </w:r>
      <w:r>
        <w:rPr>
          <w:rFonts w:hint="eastAsia"/>
          <w:b w:val="0"/>
          <w:bCs w:val="0"/>
          <w:color w:val="auto"/>
          <w:lang w:eastAsia="zh-CN"/>
        </w:rPr>
        <w:t>且</w:t>
      </w:r>
      <w:r>
        <w:rPr>
          <w:rFonts w:hint="eastAsia" w:ascii="Times New Roman" w:hAnsi="Times New Roman" w:eastAsia="宋体"/>
          <w:b w:val="0"/>
          <w:bCs w:val="0"/>
          <w:color w:val="auto"/>
        </w:rPr>
        <w:t>意义不大，故视为一个点源分析，其声功率级为叠加声压级。</w:t>
      </w:r>
    </w:p>
    <w:p>
      <w:pPr>
        <w:pStyle w:val="19"/>
        <w:jc w:val="center"/>
        <w:outlineLvl w:val="9"/>
        <w:rPr>
          <w:rFonts w:hint="default" w:ascii="Times New Roman" w:hAnsi="Times New Roman" w:eastAsia="宋体" w:cs="Times New Roman"/>
          <w:snapToGrid w:val="0"/>
          <w:color w:val="auto"/>
          <w:sz w:val="30"/>
          <w:szCs w:val="30"/>
        </w:rPr>
        <w:sectPr>
          <w:pgSz w:w="16838" w:h="11906" w:orient="landscape"/>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4"/>
        <w:tblW w:w="888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40" w:hRule="atLeast"/>
          <w:jc w:val="center"/>
        </w:trPr>
        <w:tc>
          <w:tcPr>
            <w:tcW w:w="74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运营</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期环</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境影</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响和</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保护</w:t>
            </w:r>
          </w:p>
          <w:p>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bCs/>
                <w:color w:val="auto"/>
                <w:szCs w:val="21"/>
              </w:rPr>
              <w:t>措施</w:t>
            </w:r>
          </w:p>
        </w:tc>
        <w:tc>
          <w:tcPr>
            <w:tcW w:w="8134" w:type="dxa"/>
            <w:vAlign w:val="center"/>
          </w:tcPr>
          <w:p>
            <w:pPr>
              <w:pStyle w:val="4"/>
              <w:bidi w:val="0"/>
              <w:rPr>
                <w:rFonts w:hint="eastAsia"/>
                <w:color w:val="auto"/>
                <w:lang w:val="en-US" w:eastAsia="zh-CN"/>
              </w:rPr>
            </w:pPr>
            <w:r>
              <w:rPr>
                <w:rFonts w:hint="eastAsia"/>
                <w:color w:val="auto"/>
                <w:lang w:val="en-US" w:eastAsia="zh-CN"/>
              </w:rPr>
              <w:t>4.4.2</w:t>
            </w:r>
            <w:r>
              <w:rPr>
                <w:color w:val="auto"/>
              </w:rPr>
              <w:t>运营期声环境影响分析</w:t>
            </w:r>
          </w:p>
          <w:p>
            <w:pPr>
              <w:spacing w:line="360" w:lineRule="auto"/>
              <w:ind w:firstLine="555"/>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项目噪声预测模式采用《环境影响评价技术导则</w:t>
            </w:r>
            <w:r>
              <w:rPr>
                <w:rFonts w:hint="eastAsia"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声环境》(HJ2.4-20</w:t>
            </w:r>
            <w:r>
              <w:rPr>
                <w:rFonts w:hint="eastAsia"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)中附录A户外声传播的衰减</w:t>
            </w:r>
            <w:r>
              <w:rPr>
                <w:rFonts w:hint="eastAsia"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附录B典型行业噪声预测模型</w:t>
            </w:r>
            <w:r>
              <w:rPr>
                <w:rFonts w:hint="eastAsia" w:ascii="Times New Roman" w:hAnsi="Times New Roman" w:eastAsia="宋体" w:cs="Times New Roman"/>
                <w:color w:val="auto"/>
                <w:sz w:val="24"/>
                <w:szCs w:val="24"/>
                <w:highlight w:val="none"/>
                <w:lang w:val="en-US" w:eastAsia="zh-CN"/>
              </w:rPr>
              <w:t>进行分析。</w:t>
            </w:r>
          </w:p>
          <w:p>
            <w:pPr>
              <w:adjustRightInd w:val="0"/>
              <w:snapToGrid w:val="0"/>
              <w:spacing w:line="360" w:lineRule="auto"/>
              <w:ind w:firstLine="480"/>
              <w:rPr>
                <w:rFonts w:hint="eastAsia" w:ascii="Times New Roman" w:hAnsi="Times New Roman" w:eastAsia="宋体"/>
                <w:b/>
                <w:bCs w:val="0"/>
                <w:color w:val="auto"/>
                <w:sz w:val="24"/>
                <w:szCs w:val="24"/>
              </w:rPr>
            </w:pPr>
            <w:r>
              <w:rPr>
                <w:rFonts w:ascii="Times New Roman" w:hAnsi="Times New Roman" w:eastAsia="宋体"/>
                <w:b/>
                <w:bCs w:val="0"/>
                <w:color w:val="auto"/>
                <w:sz w:val="24"/>
                <w:szCs w:val="24"/>
              </w:rPr>
              <w:t>⑴室内声源</w:t>
            </w:r>
            <w:r>
              <w:rPr>
                <w:rFonts w:hint="eastAsia" w:ascii="Times New Roman" w:hAnsi="Times New Roman" w:eastAsia="宋体"/>
                <w:b/>
                <w:bCs w:val="0"/>
                <w:color w:val="auto"/>
                <w:sz w:val="24"/>
                <w:szCs w:val="24"/>
              </w:rPr>
              <w:t>等效室外声源声功率级计算方法</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①</w:t>
            </w:r>
            <w:r>
              <w:rPr>
                <w:rFonts w:ascii="Times New Roman" w:hAnsi="Times New Roman" w:eastAsia="宋体"/>
                <w:color w:val="auto"/>
                <w:sz w:val="24"/>
                <w:szCs w:val="24"/>
              </w:rPr>
              <w:t>如</w:t>
            </w:r>
            <w:r>
              <w:rPr>
                <w:rFonts w:hint="eastAsia" w:ascii="Times New Roman" w:hAnsi="Times New Roman" w:eastAsia="宋体"/>
                <w:color w:val="auto"/>
                <w:sz w:val="24"/>
                <w:szCs w:val="24"/>
              </w:rPr>
              <w:t>下</w:t>
            </w:r>
            <w:r>
              <w:rPr>
                <w:rFonts w:ascii="Times New Roman" w:hAnsi="Times New Roman" w:eastAsia="宋体"/>
                <w:color w:val="auto"/>
                <w:sz w:val="24"/>
                <w:szCs w:val="24"/>
              </w:rPr>
              <w:t>图所示，</w:t>
            </w:r>
            <w:r>
              <w:rPr>
                <w:rFonts w:hint="eastAsia" w:ascii="Times New Roman" w:hAnsi="Times New Roman" w:eastAsia="宋体"/>
                <w:color w:val="auto"/>
                <w:sz w:val="24"/>
                <w:szCs w:val="24"/>
              </w:rPr>
              <w:t>声源位于室内，室内声源可采用等效室外声源声功率级法进行计算。设靠近开口处(或窗户)室内、室外某倍频带的声压级</w:t>
            </w:r>
            <w:r>
              <w:rPr>
                <w:rFonts w:hint="eastAsia" w:ascii="Times New Roman" w:hAnsi="Times New Roman" w:eastAsia="宋体"/>
                <w:color w:val="auto"/>
                <w:sz w:val="24"/>
                <w:szCs w:val="24"/>
                <w:lang w:val="en-US" w:eastAsia="zh-CN"/>
              </w:rPr>
              <w:t>或A声级</w:t>
            </w:r>
            <w:r>
              <w:rPr>
                <w:rFonts w:hint="eastAsia" w:ascii="Times New Roman" w:hAnsi="Times New Roman" w:eastAsia="宋体"/>
                <w:color w:val="auto"/>
                <w:sz w:val="24"/>
                <w:szCs w:val="24"/>
              </w:rPr>
              <w:t>分别为Lp1和Lp2。若声源所在室内声场为近似扩散声场，则室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的倍频带声压级可按下式近似求出：</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244600" cy="241300"/>
                  <wp:effectExtent l="0" t="0" r="0" b="0"/>
                  <wp:docPr id="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
                          <pic:cNvPicPr>
                            <a:picLocks noChangeAspect="1"/>
                          </pic:cNvPicPr>
                        </pic:nvPicPr>
                        <pic:blipFill>
                          <a:blip r:embed="rId12"/>
                          <a:stretch>
                            <a:fillRect/>
                          </a:stretch>
                        </pic:blipFill>
                        <pic:spPr>
                          <a:xfrm>
                            <a:off x="0" y="0"/>
                            <a:ext cx="1244600" cy="241300"/>
                          </a:xfrm>
                          <a:prstGeom prst="rect">
                            <a:avLst/>
                          </a:prstGeom>
                          <a:noFill/>
                          <a:ln>
                            <a:noFill/>
                          </a:ln>
                        </pic:spPr>
                      </pic:pic>
                    </a:graphicData>
                  </a:graphic>
                </wp:inline>
              </w:drawing>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jc w:val="both"/>
              <w:rPr>
                <w:rFonts w:hint="eastAsia" w:ascii="Times New Roman" w:hAnsi="Times New Roman" w:eastAsia="宋体" w:cs="Times New Roman"/>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室内某倍频带的声压级或A声级，dB；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2</w:t>
            </w:r>
            <w:r>
              <w:rPr>
                <w:rFonts w:hint="eastAsia" w:ascii="Times New Roman" w:hAnsi="Times New Roman" w:eastAsia="宋体"/>
                <w:color w:val="auto"/>
                <w:sz w:val="24"/>
                <w:szCs w:val="24"/>
              </w:rPr>
              <w:t>—靠近开口处</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室外某倍频带的声压级或A声级，dB；</w:t>
            </w:r>
          </w:p>
          <w:p>
            <w:pPr>
              <w:adjustRightInd w:val="0"/>
              <w:snapToGrid w:val="0"/>
              <w:spacing w:line="360" w:lineRule="auto"/>
              <w:ind w:firstLine="480"/>
              <w:jc w:val="both"/>
              <w:rPr>
                <w:rFonts w:hint="eastAsia" w:ascii="Times New Roman" w:hAnsi="Times New Roman" w:eastAsia="宋体"/>
                <w:color w:val="auto"/>
                <w:sz w:val="24"/>
                <w:szCs w:val="24"/>
              </w:rPr>
            </w:pPr>
            <w:r>
              <w:rPr>
                <w:rFonts w:hint="eastAsia" w:ascii="Times New Roman" w:hAnsi="Times New Roman" w:eastAsia="宋体"/>
                <w:color w:val="auto"/>
                <w:sz w:val="24"/>
                <w:szCs w:val="24"/>
              </w:rPr>
              <w:t>T</w:t>
            </w:r>
            <w:r>
              <w:rPr>
                <w:rFonts w:hint="eastAsia"/>
                <w:color w:val="auto"/>
                <w:sz w:val="24"/>
                <w:szCs w:val="24"/>
                <w:lang w:val="en-US" w:eastAsia="zh-CN"/>
              </w:rPr>
              <w:t>L</w:t>
            </w:r>
            <w:r>
              <w:rPr>
                <w:rFonts w:hint="eastAsia" w:ascii="Times New Roman" w:hAnsi="Times New Roman" w:eastAsia="宋体"/>
                <w:color w:val="auto"/>
                <w:sz w:val="24"/>
                <w:szCs w:val="24"/>
              </w:rPr>
              <w:t>—隔墙</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或窗户</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倍频带或A声级的隔声量，dB。</w:t>
            </w:r>
          </w:p>
          <w:p>
            <w:pPr>
              <w:adjustRightInd w:val="0"/>
              <w:snapToGrid w:val="0"/>
              <w:spacing w:line="360" w:lineRule="auto"/>
              <w:ind w:firstLine="480"/>
              <w:jc w:val="center"/>
              <w:rPr>
                <w:rFonts w:hint="eastAsia" w:ascii="Times New Roman" w:hAnsi="Times New Roman" w:eastAsia="宋体"/>
                <w:color w:val="auto"/>
                <w:sz w:val="21"/>
                <w:szCs w:val="21"/>
              </w:rPr>
            </w:pPr>
            <w:r>
              <w:rPr>
                <w:rFonts w:ascii="Times New Roman" w:hAnsi="Times New Roman" w:eastAsia="宋体"/>
                <w:color w:val="auto"/>
                <w:sz w:val="21"/>
                <w:szCs w:val="21"/>
              </w:rPr>
              <w:drawing>
                <wp:inline distT="0" distB="0" distL="114300" distR="114300">
                  <wp:extent cx="2320290" cy="1043305"/>
                  <wp:effectExtent l="0" t="0" r="3810" b="10795"/>
                  <wp:docPr id="10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8"/>
                          <pic:cNvPicPr>
                            <a:picLocks noChangeAspect="1"/>
                          </pic:cNvPicPr>
                        </pic:nvPicPr>
                        <pic:blipFill>
                          <a:blip r:embed="rId13"/>
                          <a:stretch>
                            <a:fillRect/>
                          </a:stretch>
                        </pic:blipFill>
                        <pic:spPr>
                          <a:xfrm>
                            <a:off x="0" y="0"/>
                            <a:ext cx="2320290" cy="1043305"/>
                          </a:xfrm>
                          <a:prstGeom prst="rect">
                            <a:avLst/>
                          </a:prstGeom>
                          <a:noFill/>
                          <a:ln>
                            <a:noFill/>
                          </a:ln>
                        </pic:spPr>
                      </pic:pic>
                    </a:graphicData>
                  </a:graphic>
                </wp:inline>
              </w:drawing>
            </w:r>
          </w:p>
          <w:p>
            <w:pPr>
              <w:adjustRightInd w:val="0"/>
              <w:snapToGrid w:val="0"/>
              <w:spacing w:line="360" w:lineRule="auto"/>
              <w:ind w:firstLine="48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图</w:t>
            </w:r>
            <w:r>
              <w:rPr>
                <w:rFonts w:hint="default" w:ascii="Times New Roman" w:hAnsi="Times New Roman" w:eastAsia="宋体" w:cs="Times New Roman"/>
                <w:b/>
                <w:bCs/>
                <w:color w:val="auto"/>
                <w:sz w:val="21"/>
                <w:szCs w:val="21"/>
                <w:lang w:val="en-US" w:eastAsia="zh-CN"/>
              </w:rPr>
              <w:t>4.</w:t>
            </w:r>
            <w:r>
              <w:rPr>
                <w:rFonts w:hint="eastAsia" w:ascii="Times New Roman" w:hAnsi="Times New Roman" w:eastAsia="宋体" w:cs="Times New Roman"/>
                <w:b/>
                <w:bCs/>
                <w:color w:val="auto"/>
                <w:sz w:val="21"/>
                <w:szCs w:val="21"/>
                <w:lang w:val="en-US" w:eastAsia="zh-CN"/>
              </w:rPr>
              <w:t>4</w:t>
            </w:r>
            <w:r>
              <w:rPr>
                <w:rFonts w:hint="default"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rPr>
              <w:t xml:space="preserve"> 室内声源等效室外声源图例</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②按下式计算某一室内声源靠近围护结构处产生的倍频带声压级或A声级：</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14500" cy="482600"/>
                  <wp:effectExtent l="0" t="0" r="0" b="0"/>
                  <wp:docPr id="2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9"/>
                          <pic:cNvPicPr>
                            <a:picLocks noChangeAspect="1"/>
                          </pic:cNvPicPr>
                        </pic:nvPicPr>
                        <pic:blipFill>
                          <a:blip r:embed="rId14"/>
                          <a:stretch>
                            <a:fillRect/>
                          </a:stretch>
                        </pic:blipFill>
                        <pic:spPr>
                          <a:xfrm>
                            <a:off x="0" y="0"/>
                            <a:ext cx="1714500"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式中：</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Lp</w:t>
            </w:r>
            <w:r>
              <w:rPr>
                <w:rFonts w:hint="eastAsia" w:ascii="Times New Roman" w:hAnsi="Times New Roman" w:eastAsia="宋体" w:cs="宋体"/>
                <w:color w:val="auto"/>
                <w:sz w:val="24"/>
                <w:szCs w:val="24"/>
                <w:vertAlign w:val="subscript"/>
                <w:lang w:val="en-US" w:eastAsia="zh-CN"/>
              </w:rPr>
              <w:t>1</w:t>
            </w:r>
            <w:r>
              <w:rPr>
                <w:rFonts w:hint="eastAsia" w:ascii="Times New Roman" w:hAnsi="Times New Roman" w:eastAsia="宋体" w:cs="宋体"/>
                <w:color w:val="auto"/>
                <w:sz w:val="24"/>
                <w:szCs w:val="24"/>
              </w:rPr>
              <w:t>—靠近开口处</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或窗户</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室内某倍频带的声压级或A声级，dB；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Lw—点声源声功率级</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A计权或倍频带</w:t>
            </w:r>
            <w:r>
              <w:rPr>
                <w:rFonts w:hint="eastAsia" w:ascii="Times New Roman" w:hAnsi="Times New Roman" w:eastAsia="宋体" w:cs="宋体"/>
                <w:color w:val="auto"/>
                <w:sz w:val="24"/>
                <w:szCs w:val="24"/>
                <w:lang w:val="en-US" w:eastAsia="zh-CN"/>
              </w:rPr>
              <w:t>)</w:t>
            </w:r>
            <w:r>
              <w:rPr>
                <w:rFonts w:hint="eastAsia" w:ascii="Times New Roman" w:hAnsi="Times New Roman" w:eastAsia="宋体" w:cs="宋体"/>
                <w:color w:val="auto"/>
                <w:sz w:val="24"/>
                <w:szCs w:val="24"/>
              </w:rPr>
              <w:t>，dB；</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—指向性因数；通常对无指向性声源，当声源放在房间中心时，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=1；当放在一面墙的中心时，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=2；当放在两面墙夹角处时，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=4；当放在三面墙夹角处时，</w:t>
            </w:r>
            <w:r>
              <w:rPr>
                <w:rFonts w:hint="eastAsia" w:ascii="Times New Roman" w:hAnsi="Times New Roman" w:eastAsia="宋体" w:cs="宋体"/>
                <w:color w:val="auto"/>
                <w:sz w:val="24"/>
                <w:szCs w:val="24"/>
                <w:lang w:val="en-US" w:eastAsia="zh-CN"/>
              </w:rPr>
              <w:t>Q</w:t>
            </w:r>
            <w:r>
              <w:rPr>
                <w:rFonts w:hint="eastAsia" w:ascii="Times New Roman" w:hAnsi="Times New Roman" w:eastAsia="宋体" w:cs="宋体"/>
                <w:color w:val="auto"/>
                <w:sz w:val="24"/>
                <w:szCs w:val="24"/>
              </w:rPr>
              <w:t>=8；</w:t>
            </w:r>
          </w:p>
          <w:p>
            <w:pPr>
              <w:adjustRightInd w:val="0"/>
              <w:snapToGrid w:val="0"/>
              <w:spacing w:line="360" w:lineRule="auto"/>
              <w:ind w:firstLine="48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R—房间常数；R=Sa/(1-a)，s为房间内表面面积，m</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；a为平均吸声系数；</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r</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声源到靠近围护结构某点处的距离，m。</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③按下式</w:t>
            </w:r>
            <w:r>
              <w:rPr>
                <w:rFonts w:ascii="Times New Roman" w:hAnsi="Times New Roman" w:eastAsia="宋体"/>
                <w:color w:val="auto"/>
                <w:sz w:val="24"/>
                <w:szCs w:val="24"/>
              </w:rPr>
              <w:t>计算出所有室内声源在靠近围护结构处产生的</w:t>
            </w:r>
            <w:r>
              <w:rPr>
                <w:rFonts w:hint="eastAsia" w:ascii="Times New Roman" w:hAnsi="Times New Roman" w:eastAsia="宋体"/>
                <w:color w:val="auto"/>
                <w:sz w:val="24"/>
                <w:szCs w:val="24"/>
              </w:rPr>
              <w:t>i</w:t>
            </w:r>
            <w:r>
              <w:rPr>
                <w:rFonts w:ascii="Times New Roman" w:hAnsi="Times New Roman" w:eastAsia="宋体"/>
                <w:color w:val="auto"/>
                <w:sz w:val="24"/>
                <w:szCs w:val="24"/>
              </w:rPr>
              <w:t>倍频带</w:t>
            </w:r>
            <w:r>
              <w:rPr>
                <w:rFonts w:hint="eastAsia" w:ascii="Times New Roman" w:hAnsi="Times New Roman" w:eastAsia="宋体"/>
                <w:color w:val="auto"/>
                <w:sz w:val="24"/>
                <w:szCs w:val="24"/>
              </w:rPr>
              <w:t>叠加</w:t>
            </w:r>
            <w:r>
              <w:rPr>
                <w:rFonts w:ascii="Times New Roman" w:hAnsi="Times New Roman" w:eastAsia="宋体"/>
                <w:color w:val="auto"/>
                <w:sz w:val="24"/>
                <w:szCs w:val="24"/>
              </w:rPr>
              <w:t>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688465" cy="482600"/>
                  <wp:effectExtent l="0" t="0" r="635" b="0"/>
                  <wp:docPr id="20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10"/>
                          <pic:cNvPicPr>
                            <a:picLocks noChangeAspect="1"/>
                          </pic:cNvPicPr>
                        </pic:nvPicPr>
                        <pic:blipFill>
                          <a:blip r:embed="rId15"/>
                          <a:stretch>
                            <a:fillRect/>
                          </a:stretch>
                        </pic:blipFill>
                        <pic:spPr>
                          <a:xfrm>
                            <a:off x="0" y="0"/>
                            <a:ext cx="1688465" cy="4826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p1ij</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室内j声源i倍频带的声压级，dB；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N</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室内</w:t>
            </w:r>
            <w:r>
              <w:rPr>
                <w:rFonts w:hint="eastAsia" w:ascii="Times New Roman" w:hAnsi="Times New Roman" w:eastAsia="宋体"/>
                <w:color w:val="auto"/>
                <w:sz w:val="24"/>
                <w:szCs w:val="24"/>
              </w:rPr>
              <w:t>声源总数。</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w:t>
            </w:r>
            <w:r>
              <w:rPr>
                <w:rFonts w:hint="default" w:ascii="Times New Roman" w:hAnsi="Times New Roman" w:eastAsia="宋体" w:cs="Times New Roman"/>
                <w:color w:val="auto"/>
                <w:sz w:val="24"/>
                <w:szCs w:val="24"/>
              </w:rPr>
              <w:t>在室内近似为扩散声场时，按</w:t>
            </w:r>
            <w:r>
              <w:rPr>
                <w:rFonts w:hint="eastAsia" w:ascii="Times New Roman" w:hAnsi="Times New Roman" w:eastAsia="宋体" w:cs="Times New Roman"/>
                <w:color w:val="auto"/>
                <w:sz w:val="24"/>
                <w:szCs w:val="24"/>
                <w:lang w:val="en-US" w:eastAsia="zh-CN"/>
              </w:rPr>
              <w:t>下</w:t>
            </w:r>
            <w:r>
              <w:rPr>
                <w:rFonts w:hint="default" w:ascii="Times New Roman" w:hAnsi="Times New Roman" w:eastAsia="宋体" w:cs="Times New Roman"/>
                <w:color w:val="auto"/>
                <w:sz w:val="24"/>
                <w:szCs w:val="24"/>
              </w:rPr>
              <w:t>式</w:t>
            </w:r>
            <w:r>
              <w:rPr>
                <w:rFonts w:hint="eastAsia" w:ascii="Times New Roman" w:hAnsi="Times New Roman" w:eastAsia="宋体" w:cs="Times New Roman"/>
                <w:color w:val="auto"/>
                <w:sz w:val="24"/>
                <w:szCs w:val="24"/>
              </w:rPr>
              <w:t>计算出室外靠近围护结构处的声压级：</w:t>
            </w:r>
          </w:p>
          <w:p>
            <w:pPr>
              <w:adjustRightInd w:val="0"/>
              <w:snapToGrid w:val="0"/>
              <w:spacing w:line="360" w:lineRule="auto"/>
              <w:ind w:firstLine="480"/>
              <w:jc w:val="center"/>
              <w:rPr>
                <w:rFonts w:hint="eastAsia"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777365" cy="241300"/>
                  <wp:effectExtent l="0" t="0" r="0" b="0"/>
                  <wp:docPr id="20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11"/>
                          <pic:cNvPicPr>
                            <a:picLocks noChangeAspect="1"/>
                          </pic:cNvPicPr>
                        </pic:nvPicPr>
                        <pic:blipFill>
                          <a:blip r:embed="rId16"/>
                          <a:stretch>
                            <a:fillRect/>
                          </a:stretch>
                        </pic:blipFill>
                        <pic:spPr>
                          <a:xfrm>
                            <a:off x="0" y="0"/>
                            <a:ext cx="1777365"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p2i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w:t>
            </w:r>
            <w:r>
              <w:rPr>
                <w:rFonts w:hint="eastAsia" w:ascii="Times New Roman" w:hAnsi="Times New Roman" w:eastAsia="宋体"/>
                <w:color w:val="auto"/>
                <w:sz w:val="24"/>
                <w:szCs w:val="24"/>
                <w:lang w:val="en-US" w:eastAsia="zh-CN"/>
              </w:rPr>
              <w:t>外</w:t>
            </w:r>
            <w:r>
              <w:rPr>
                <w:rFonts w:hint="eastAsia" w:ascii="Times New Roman" w:hAnsi="Times New Roman" w:eastAsia="宋体"/>
                <w:color w:val="auto"/>
                <w:sz w:val="24"/>
                <w:szCs w:val="24"/>
              </w:rPr>
              <w:t>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w:t>
            </w:r>
            <w:r>
              <w:rPr>
                <w:rFonts w:hint="eastAsia" w:ascii="Times New Roman" w:hAnsi="Times New Roman" w:eastAsia="宋体"/>
                <w:color w:val="auto"/>
                <w:sz w:val="24"/>
                <w:szCs w:val="24"/>
                <w:vertAlign w:val="subscript"/>
              </w:rPr>
              <w:t>p</w:t>
            </w:r>
            <w:r>
              <w:rPr>
                <w:rFonts w:hint="eastAsia" w:ascii="Times New Roman" w:hAnsi="Times New Roman" w:eastAsia="宋体"/>
                <w:color w:val="auto"/>
                <w:sz w:val="24"/>
                <w:szCs w:val="24"/>
                <w:vertAlign w:val="subscript"/>
                <w:lang w:val="en-US" w:eastAsia="zh-CN"/>
              </w:rPr>
              <w:t>1</w:t>
            </w:r>
            <w:r>
              <w:rPr>
                <w:rFonts w:hint="eastAsia" w:ascii="Times New Roman" w:hAnsi="Times New Roman" w:eastAsia="宋体"/>
                <w:color w:val="auto"/>
                <w:sz w:val="24"/>
                <w:szCs w:val="24"/>
                <w:vertAlign w:val="subscript"/>
              </w:rPr>
              <w:t>i</w:t>
            </w:r>
            <w:r>
              <w:rPr>
                <w:rFonts w:hint="eastAsia" w:ascii="Times New Roman" w:hAnsi="Times New Roman" w:eastAsia="宋体"/>
                <w:color w:val="auto"/>
                <w:sz w:val="24"/>
                <w:szCs w:val="24"/>
                <w:vertAlign w:val="baseline"/>
              </w:rPr>
              <w:t>(T)</w:t>
            </w:r>
            <w:r>
              <w:rPr>
                <w:rFonts w:hint="eastAsia" w:ascii="Times New Roman" w:hAnsi="Times New Roman" w:eastAsia="宋体" w:cs="宋体"/>
                <w:color w:val="auto"/>
                <w:sz w:val="24"/>
                <w:szCs w:val="24"/>
              </w:rPr>
              <w:t>—</w:t>
            </w:r>
            <w:r>
              <w:rPr>
                <w:rFonts w:hint="eastAsia" w:ascii="Times New Roman" w:hAnsi="Times New Roman" w:eastAsia="宋体"/>
                <w:color w:val="auto"/>
                <w:sz w:val="24"/>
                <w:szCs w:val="24"/>
              </w:rPr>
              <w:t>靠近围护结构处室内N个声源i倍频带的叠加声压级，dB；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TL</w:t>
            </w:r>
            <w:r>
              <w:rPr>
                <w:rFonts w:hint="eastAsia" w:ascii="Times New Roman" w:hAnsi="Times New Roman" w:eastAsia="宋体"/>
                <w:color w:val="auto"/>
                <w:sz w:val="24"/>
                <w:szCs w:val="24"/>
                <w:vertAlign w:val="subscript"/>
              </w:rPr>
              <w:t>i</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围护</w:t>
            </w:r>
            <w:r>
              <w:rPr>
                <w:rFonts w:hint="eastAsia" w:ascii="Times New Roman" w:hAnsi="Times New Roman" w:eastAsia="宋体"/>
                <w:color w:val="auto"/>
                <w:sz w:val="24"/>
                <w:szCs w:val="24"/>
              </w:rPr>
              <w:t>结构i倍频带的隔声量，dB。</w:t>
            </w:r>
          </w:p>
          <w:p>
            <w:pPr>
              <w:adjustRightInd w:val="0"/>
              <w:snapToGrid w:val="0"/>
              <w:spacing w:line="360" w:lineRule="auto"/>
              <w:ind w:firstLine="480"/>
              <w:rPr>
                <w:rFonts w:ascii="Times New Roman" w:hAnsi="Times New Roman" w:eastAsia="宋体"/>
                <w:color w:val="auto"/>
                <w:sz w:val="24"/>
                <w:szCs w:val="24"/>
              </w:rPr>
            </w:pPr>
            <w:r>
              <w:rPr>
                <w:rFonts w:hint="eastAsia" w:ascii="Times New Roman" w:hAnsi="Times New Roman" w:eastAsia="宋体" w:cs="宋体"/>
                <w:color w:val="auto"/>
                <w:sz w:val="24"/>
                <w:szCs w:val="24"/>
              </w:rPr>
              <w:t>⑤</w:t>
            </w:r>
            <w:r>
              <w:rPr>
                <w:rFonts w:hint="eastAsia" w:ascii="Times New Roman" w:hAnsi="Times New Roman" w:eastAsia="宋体" w:cs="宋体"/>
                <w:color w:val="auto"/>
                <w:sz w:val="24"/>
                <w:szCs w:val="24"/>
                <w:lang w:val="en-US" w:eastAsia="zh-CN"/>
              </w:rPr>
              <w:t>按下式</w:t>
            </w:r>
            <w:r>
              <w:rPr>
                <w:rFonts w:ascii="Times New Roman" w:hAnsi="Times New Roman" w:eastAsia="宋体"/>
                <w:color w:val="auto"/>
                <w:sz w:val="24"/>
                <w:szCs w:val="24"/>
              </w:rPr>
              <w:t>将室外</w:t>
            </w:r>
            <w:r>
              <w:rPr>
                <w:rFonts w:hint="eastAsia" w:ascii="Times New Roman" w:hAnsi="Times New Roman" w:eastAsia="宋体"/>
                <w:color w:val="auto"/>
                <w:sz w:val="24"/>
                <w:szCs w:val="24"/>
              </w:rPr>
              <w:t>声源的声压级</w:t>
            </w:r>
            <w:r>
              <w:rPr>
                <w:rFonts w:ascii="Times New Roman" w:hAnsi="Times New Roman" w:eastAsia="宋体"/>
                <w:color w:val="auto"/>
                <w:sz w:val="24"/>
                <w:szCs w:val="24"/>
              </w:rPr>
              <w:t>和透声面积换算成等效的室外声源，计算出</w:t>
            </w:r>
            <w:r>
              <w:rPr>
                <w:rFonts w:hint="eastAsia" w:ascii="Times New Roman" w:hAnsi="Times New Roman" w:eastAsia="宋体"/>
                <w:color w:val="auto"/>
                <w:sz w:val="24"/>
                <w:szCs w:val="24"/>
              </w:rPr>
              <w:t>中心位置位于透声面积(S)处的</w:t>
            </w:r>
            <w:r>
              <w:rPr>
                <w:rFonts w:ascii="Times New Roman" w:hAnsi="Times New Roman" w:eastAsia="宋体"/>
                <w:color w:val="auto"/>
                <w:sz w:val="24"/>
                <w:szCs w:val="24"/>
              </w:rPr>
              <w:t>等效声源</w:t>
            </w:r>
            <w:r>
              <w:rPr>
                <w:rFonts w:hint="eastAsia" w:ascii="Times New Roman" w:hAnsi="Times New Roman" w:eastAsia="宋体"/>
                <w:color w:val="auto"/>
                <w:sz w:val="24"/>
                <w:szCs w:val="24"/>
              </w:rPr>
              <w:t>的</w:t>
            </w:r>
            <w:r>
              <w:rPr>
                <w:rFonts w:ascii="Times New Roman" w:hAnsi="Times New Roman" w:eastAsia="宋体"/>
                <w:color w:val="auto"/>
                <w:sz w:val="24"/>
                <w:szCs w:val="24"/>
              </w:rPr>
              <w:t>倍频带的声功率级</w:t>
            </w:r>
            <w:r>
              <w:rPr>
                <w:rFonts w:ascii="Times New Roman" w:hAnsi="Times New Roman" w:eastAsia="宋体"/>
                <w:color w:val="auto"/>
                <w:sz w:val="24"/>
                <w:szCs w:val="24"/>
              </w:rPr>
              <w:softHyphen/>
            </w:r>
            <w:r>
              <w:rPr>
                <w:rFonts w:ascii="Times New Roman" w:hAnsi="Times New Roman" w:eastAsia="宋体"/>
                <w:color w:val="auto"/>
                <w:sz w:val="24"/>
                <w:szCs w:val="24"/>
              </w:rPr>
              <w:softHyphen/>
            </w:r>
            <w:r>
              <w:rPr>
                <w:rFonts w:ascii="Times New Roman" w:hAnsi="Times New Roman" w:eastAsia="宋体"/>
                <w:color w:val="auto"/>
                <w:sz w:val="24"/>
                <w:szCs w:val="24"/>
              </w:rPr>
              <w:t>：</w:t>
            </w:r>
          </w:p>
          <w:p>
            <w:pPr>
              <w:adjustRightInd w:val="0"/>
              <w:snapToGrid w:val="0"/>
              <w:spacing w:line="360" w:lineRule="auto"/>
              <w:ind w:firstLine="48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1333500" cy="241300"/>
                  <wp:effectExtent l="0" t="0" r="0" b="0"/>
                  <wp:docPr id="20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12"/>
                          <pic:cNvPicPr>
                            <a:picLocks noChangeAspect="1"/>
                          </pic:cNvPicPr>
                        </pic:nvPicPr>
                        <pic:blipFill>
                          <a:blip r:embed="rId17"/>
                          <a:stretch>
                            <a:fillRect/>
                          </a:stretch>
                        </pic:blipFill>
                        <pic:spPr>
                          <a:xfrm>
                            <a:off x="0" y="0"/>
                            <a:ext cx="1333500" cy="2413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式中：</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L</w:t>
            </w:r>
            <w:r>
              <w:rPr>
                <w:rFonts w:hint="eastAsia" w:ascii="Times New Roman" w:hAnsi="Times New Roman" w:eastAsia="宋体"/>
                <w:color w:val="auto"/>
                <w:sz w:val="24"/>
                <w:szCs w:val="24"/>
              </w:rPr>
              <w:t>w—中心位置位于透声面积</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S)处的等效声源的倍频带声功率级，dB；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rPr>
              <w:t>Lp</w:t>
            </w:r>
            <w:r>
              <w:rPr>
                <w:rFonts w:hint="eastAsia" w:ascii="Times New Roman" w:hAnsi="Times New Roman" w:eastAsia="宋体"/>
                <w:color w:val="auto"/>
                <w:sz w:val="24"/>
                <w:szCs w:val="24"/>
                <w:vertAlign w:val="subscript"/>
              </w:rPr>
              <w:t>2</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T</w:t>
            </w:r>
            <w:r>
              <w:rPr>
                <w:rFonts w:hint="eastAsia" w:ascii="Times New Roman" w:hAnsi="Times New Roman" w:eastAsia="宋体"/>
                <w:color w:val="auto"/>
                <w:sz w:val="24"/>
                <w:szCs w:val="24"/>
                <w:lang w:val="en-US" w:eastAsia="zh-CN"/>
              </w:rPr>
              <w:t>)</w:t>
            </w:r>
            <w:r>
              <w:rPr>
                <w:rFonts w:hint="eastAsia" w:ascii="Times New Roman" w:hAnsi="Times New Roman" w:eastAsia="宋体"/>
                <w:color w:val="auto"/>
                <w:sz w:val="24"/>
                <w:szCs w:val="24"/>
              </w:rPr>
              <w:t>—靠近围护结构处室外声源的声压级，dB；</w:t>
            </w:r>
          </w:p>
          <w:p>
            <w:pPr>
              <w:adjustRightInd w:val="0"/>
              <w:snapToGrid w:val="0"/>
              <w:spacing w:line="360" w:lineRule="auto"/>
              <w:ind w:firstLine="480"/>
              <w:rPr>
                <w:rFonts w:hint="eastAsia" w:ascii="Times New Roman" w:hAnsi="Times New Roman" w:eastAsia="宋体"/>
                <w:color w:val="auto"/>
                <w:sz w:val="24"/>
                <w:szCs w:val="24"/>
              </w:rPr>
            </w:pPr>
            <w:r>
              <w:rPr>
                <w:rFonts w:hint="eastAsia" w:ascii="Times New Roman" w:hAnsi="Times New Roman" w:eastAsia="宋体"/>
                <w:color w:val="auto"/>
                <w:sz w:val="24"/>
                <w:szCs w:val="24"/>
                <w:lang w:val="en-US" w:eastAsia="zh-CN"/>
              </w:rPr>
              <w:t>S</w:t>
            </w:r>
            <w:r>
              <w:rPr>
                <w:rFonts w:hint="eastAsia" w:ascii="Times New Roman" w:hAnsi="Times New Roman" w:eastAsia="宋体"/>
                <w:color w:val="auto"/>
                <w:sz w:val="24"/>
                <w:szCs w:val="24"/>
              </w:rPr>
              <w:t>透声面积，m</w:t>
            </w:r>
            <w:r>
              <w:rPr>
                <w:rFonts w:hint="eastAsia" w:ascii="Times New Roman" w:hAnsi="Times New Roman" w:eastAsia="宋体"/>
                <w:color w:val="auto"/>
                <w:sz w:val="24"/>
                <w:szCs w:val="24"/>
                <w:vertAlign w:val="superscript"/>
              </w:rPr>
              <w:t>2</w:t>
            </w:r>
            <w:r>
              <w:rPr>
                <w:rFonts w:hint="eastAsia" w:ascii="Times New Roman" w:hAnsi="Times New Roman" w:eastAsia="宋体"/>
                <w:color w:val="auto"/>
                <w:sz w:val="24"/>
                <w:szCs w:val="24"/>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en-US" w:eastAsia="zh-CN"/>
              </w:rPr>
              <w:t>户外声传播的衰减</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户外声传播衰减包括几何发散</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Adiv</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、大气吸收</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Aatm</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、地面效应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Agr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、障碍物屏蔽</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Abar</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、其他多方面效应</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Amisc</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引起的衰减。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eastAsia="宋体" w:cs="Times New Roman"/>
                <w:color w:val="auto"/>
                <w:sz w:val="24"/>
                <w:szCs w:val="24"/>
                <w:highlight w:val="none"/>
                <w:lang w:val="en-US" w:eastAsia="zh-CN"/>
              </w:rPr>
              <w:t>基本公式</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某个声源在预测点处声压级的计算公式如下：</w:t>
            </w:r>
          </w:p>
          <w:p>
            <w:pPr>
              <w:adjustRightInd w:val="0"/>
              <w:snapToGrid w:val="0"/>
              <w:spacing w:line="360" w:lineRule="auto"/>
              <w:ind w:firstLine="480"/>
              <w:jc w:val="center"/>
              <w:rPr>
                <w:rFonts w:ascii="Times New Roman" w:hAnsi="Times New Roman" w:eastAsia="宋体"/>
                <w:color w:val="auto"/>
                <w:sz w:val="24"/>
                <w:szCs w:val="24"/>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Lw</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jc w:val="center"/>
              <w:rPr>
                <w:rFonts w:hint="eastAsia" w:ascii="Times New Roman" w:hAnsi="Times New Roman" w:eastAsia="宋体"/>
                <w:color w:val="auto"/>
                <w:sz w:val="24"/>
                <w:szCs w:val="24"/>
                <w:lang w:val="en-US" w:eastAsia="zh-CN"/>
              </w:rPr>
            </w:pP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Lp</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0)+</w:t>
            </w:r>
            <w:r>
              <w:rPr>
                <w:rFonts w:hint="default" w:ascii="Times New Roman" w:hAnsi="Times New Roman" w:eastAsia="宋体"/>
                <w:i/>
                <w:color w:val="auto"/>
                <w:sz w:val="24"/>
                <w:szCs w:val="24"/>
              </w:rPr>
              <w:t>D</w:t>
            </w:r>
            <w:r>
              <w:rPr>
                <w:rFonts w:hint="default" w:ascii="Times New Roman" w:hAnsi="Times New Roman" w:eastAsia="宋体"/>
                <w:color w:val="auto"/>
                <w:sz w:val="24"/>
                <w:szCs w:val="24"/>
              </w:rPr>
              <w:t>C－(</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div＋</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atm＋</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gr＋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bar＋</w:t>
            </w:r>
            <w:r>
              <w:rPr>
                <w:rFonts w:hint="default" w:ascii="Times New Roman" w:hAnsi="Times New Roman" w:eastAsia="宋体"/>
                <w:i/>
                <w:color w:val="auto"/>
                <w:sz w:val="24"/>
                <w:szCs w:val="24"/>
              </w:rPr>
              <w:t>A</w:t>
            </w:r>
            <w:r>
              <w:rPr>
                <w:rFonts w:hint="default" w:ascii="Times New Roman" w:hAnsi="Times New Roman" w:eastAsia="宋体"/>
                <w:color w:val="auto"/>
                <w:sz w:val="24"/>
                <w:szCs w:val="24"/>
              </w:rPr>
              <w:t>misc)</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Lp(r)—预测点处声压级，dB；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softHyphen/>
            </w:r>
            <w:r>
              <w:rPr>
                <w:rFonts w:hint="eastAsia" w:ascii="Times New Roman" w:hAnsi="Times New Roman" w:eastAsia="宋体" w:cs="Times New Roman"/>
                <w:color w:val="auto"/>
                <w:sz w:val="24"/>
                <w:szCs w:val="24"/>
                <w:lang w:val="en-US" w:eastAsia="zh-CN"/>
              </w:rPr>
              <w:t>w—由点声源产生的声功率级(A计权或倍频带)，dB；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Lp(r0)—</w:t>
            </w:r>
            <w:r>
              <w:rPr>
                <w:rFonts w:hint="default" w:ascii="Times New Roman" w:hAnsi="Times New Roman" w:eastAsia="宋体" w:cs="Times New Roman"/>
                <w:color w:val="auto"/>
                <w:sz w:val="24"/>
                <w:szCs w:val="24"/>
                <w:lang w:val="en-US" w:eastAsia="zh-CN"/>
              </w:rPr>
              <w:t>参考位置</w:t>
            </w:r>
            <w:r>
              <w:rPr>
                <w:rFonts w:hint="eastAsia" w:ascii="Times New Roman" w:hAnsi="Times New Roman" w:eastAsia="宋体" w:cs="Times New Roman"/>
                <w:color w:val="auto"/>
                <w:sz w:val="24"/>
                <w:szCs w:val="24"/>
                <w:lang w:val="en-US" w:eastAsia="zh-CN"/>
              </w:rPr>
              <w:t>r0</w:t>
            </w:r>
            <w:r>
              <w:rPr>
                <w:rFonts w:hint="default" w:ascii="Times New Roman" w:hAnsi="Times New Roman" w:eastAsia="宋体" w:cs="Times New Roman"/>
                <w:color w:val="auto"/>
                <w:sz w:val="24"/>
                <w:szCs w:val="24"/>
                <w:lang w:val="en-US" w:eastAsia="zh-CN"/>
              </w:rPr>
              <w:t>处的声压级，</w:t>
            </w:r>
            <w:r>
              <w:rPr>
                <w:rFonts w:hint="eastAsia"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lang w:val="en-US" w:eastAsia="zh-CN"/>
              </w:rPr>
              <w:t>；</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Dc—指向性校正，它描述点声源的等效连续声压级与产生声功率级Lw的全向点声源在规定方向的声级的偏差程度，dB；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Adiv—几何发散引起的衰减，dB；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Aatm—大气吸收引起的衰减，dB； </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Agr—地面效应引起的衰减，dB；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Abar—障碍物屏蔽引起的衰减，dB；</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Amisc—其他多方面效应引起的衰减，dB。</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w:t>
            </w:r>
            <w:r>
              <w:rPr>
                <w:rFonts w:hint="default" w:ascii="Times New Roman" w:hAnsi="Times New Roman" w:eastAsia="宋体"/>
                <w:color w:val="auto"/>
                <w:sz w:val="24"/>
                <w:szCs w:val="24"/>
              </w:rPr>
              <w:t>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)可按</w:t>
            </w:r>
            <w:r>
              <w:rPr>
                <w:rFonts w:hint="eastAsia" w:ascii="Times New Roman" w:hAnsi="Times New Roman" w:eastAsia="宋体"/>
                <w:color w:val="auto"/>
                <w:sz w:val="24"/>
                <w:szCs w:val="24"/>
                <w:lang w:val="en-US" w:eastAsia="zh-CN"/>
              </w:rPr>
              <w:t>下式</w:t>
            </w:r>
            <w:r>
              <w:rPr>
                <w:rFonts w:hint="default" w:ascii="Times New Roman" w:hAnsi="Times New Roman" w:eastAsia="宋体"/>
                <w:color w:val="auto"/>
                <w:sz w:val="24"/>
                <w:szCs w:val="24"/>
              </w:rPr>
              <w:t>计算，即将8个倍频带声压级合成，计算出预测点的A声级[</w:t>
            </w:r>
            <w:r>
              <w:rPr>
                <w:rFonts w:hint="default" w:ascii="Times New Roman" w:hAnsi="Times New Roman" w:eastAsia="宋体"/>
                <w:i/>
                <w:color w:val="auto"/>
                <w:sz w:val="24"/>
                <w:szCs w:val="24"/>
              </w:rPr>
              <w:t>L</w:t>
            </w:r>
            <w:r>
              <w:rPr>
                <w:rFonts w:hint="default" w:ascii="Times New Roman" w:hAnsi="Times New Roman" w:eastAsia="宋体"/>
                <w:color w:val="auto"/>
                <w:sz w:val="24"/>
                <w:szCs w:val="24"/>
                <w:vertAlign w:val="subscript"/>
              </w:rPr>
              <w:t>A</w:t>
            </w:r>
            <w:r>
              <w:rPr>
                <w:rFonts w:hint="default" w:ascii="Times New Roman" w:hAnsi="Times New Roman" w:eastAsia="宋体"/>
                <w:color w:val="auto"/>
                <w:sz w:val="24"/>
                <w:szCs w:val="24"/>
              </w:rPr>
              <w:t>(</w:t>
            </w:r>
            <w:r>
              <w:rPr>
                <w:rFonts w:hint="default" w:ascii="Times New Roman" w:hAnsi="Times New Roman" w:eastAsia="宋体"/>
                <w:i/>
                <w:color w:val="auto"/>
                <w:sz w:val="24"/>
                <w:szCs w:val="24"/>
              </w:rPr>
              <w:t>r</w:t>
            </w:r>
            <w:r>
              <w:rPr>
                <w:rFonts w:hint="default" w:ascii="Times New Roman" w:hAnsi="Times New Roman" w:eastAsia="宋体"/>
                <w:color w:val="auto"/>
                <w:sz w:val="24"/>
                <w:szCs w:val="24"/>
              </w:rPr>
              <w:t>)]。</w:t>
            </w:r>
          </w:p>
          <w:p>
            <w:pPr>
              <w:spacing w:line="360" w:lineRule="auto"/>
              <w:ind w:left="0" w:leftChars="0" w:firstLine="0" w:firstLineChars="0"/>
              <w:jc w:val="center"/>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drawing>
                <wp:inline distT="0" distB="0" distL="114300" distR="114300">
                  <wp:extent cx="1935480" cy="419100"/>
                  <wp:effectExtent l="0" t="0" r="7620" b="0"/>
                  <wp:docPr id="2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13"/>
                          <pic:cNvPicPr>
                            <a:picLocks noChangeAspect="1"/>
                          </pic:cNvPicPr>
                        </pic:nvPicPr>
                        <pic:blipFill>
                          <a:blip r:embed="rId18"/>
                          <a:stretch>
                            <a:fillRect/>
                          </a:stretch>
                        </pic:blipFill>
                        <pic:spPr>
                          <a:xfrm>
                            <a:off x="0" y="0"/>
                            <a:ext cx="1935480" cy="419100"/>
                          </a:xfrm>
                          <a:prstGeom prst="rect">
                            <a:avLst/>
                          </a:prstGeom>
                          <a:noFill/>
                          <a:ln>
                            <a:noFill/>
                          </a:ln>
                        </pic:spPr>
                      </pic:pic>
                    </a:graphicData>
                  </a:graphic>
                </wp:inline>
              </w:drawing>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LA(r)</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距声源r处的A声级，dB(A)；</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Lpi(r)</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预测点(r)处，第i倍频带声压级，dB；</w:t>
            </w:r>
          </w:p>
          <w:p>
            <w:pPr>
              <w:adjustRightInd w:val="0"/>
              <w:snapToGrid w:val="0"/>
              <w:spacing w:line="360" w:lineRule="auto"/>
              <w:ind w:firstLine="48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△Li—i倍频带A计算网络修正值，dB(</w:t>
            </w:r>
            <w:r>
              <w:rPr>
                <w:rFonts w:hint="eastAsia"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rPr>
              <w:t>导则附录B</w:t>
            </w:r>
            <w:r>
              <w:rPr>
                <w:rFonts w:hint="eastAsia" w:ascii="Times New Roman" w:hAnsi="Times New Roman" w:eastAsia="宋体" w:cs="Times New Roman"/>
                <w:color w:val="auto"/>
                <w:sz w:val="24"/>
                <w:szCs w:val="24"/>
                <w:lang w:val="en-US" w:eastAsia="zh-CN"/>
              </w:rPr>
              <w:t>计算</w:t>
            </w:r>
            <w:r>
              <w:rPr>
                <w:rFonts w:hint="eastAsia" w:ascii="Times New Roman" w:hAnsi="Times New Roman" w:eastAsia="宋体" w:cs="Times New Roman"/>
                <w:color w:val="auto"/>
                <w:sz w:val="24"/>
                <w:szCs w:val="24"/>
              </w:rPr>
              <w:t>)。</w:t>
            </w:r>
          </w:p>
          <w:p>
            <w:pPr>
              <w:adjustRightInd w:val="0"/>
              <w:snapToGrid w:val="0"/>
              <w:spacing w:line="360" w:lineRule="auto"/>
              <w:ind w:firstLine="480"/>
              <w:rPr>
                <w:rFonts w:hint="eastAsia" w:ascii="Times New Roman" w:hAnsi="Times New Roman" w:eastAsia="宋体"/>
                <w:b w:val="0"/>
                <w:bCs w:val="0"/>
                <w:color w:val="auto"/>
                <w:sz w:val="24"/>
                <w:szCs w:val="24"/>
              </w:rPr>
            </w:pPr>
            <w:r>
              <w:rPr>
                <w:rFonts w:hint="eastAsia" w:ascii="Times New Roman" w:hAnsi="Times New Roman" w:eastAsia="宋体"/>
                <w:b w:val="0"/>
                <w:bCs w:val="0"/>
                <w:color w:val="auto"/>
                <w:sz w:val="24"/>
                <w:szCs w:val="24"/>
              </w:rPr>
              <w:t>衰减项计算按导则</w:t>
            </w:r>
            <w:r>
              <w:rPr>
                <w:rFonts w:hint="eastAsia" w:ascii="Times New Roman" w:hAnsi="Times New Roman" w:eastAsia="宋体"/>
                <w:b w:val="0"/>
                <w:bCs w:val="0"/>
                <w:color w:val="auto"/>
                <w:sz w:val="24"/>
                <w:szCs w:val="24"/>
                <w:lang w:val="en-US" w:eastAsia="zh-CN"/>
              </w:rPr>
              <w:t>附录A中A.3</w:t>
            </w:r>
            <w:r>
              <w:rPr>
                <w:rFonts w:hint="eastAsia" w:ascii="Times New Roman" w:hAnsi="Times New Roman" w:eastAsia="宋体"/>
                <w:b w:val="0"/>
                <w:bCs w:val="0"/>
                <w:color w:val="auto"/>
                <w:sz w:val="24"/>
                <w:szCs w:val="24"/>
              </w:rPr>
              <w:t>相关模式计算。</w:t>
            </w:r>
          </w:p>
          <w:p>
            <w:pPr>
              <w:adjustRightInd w:val="0"/>
              <w:snapToGrid w:val="0"/>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(3)噪声贡献值计算</w:t>
            </w:r>
          </w:p>
          <w:p>
            <w:pPr>
              <w:adjustRightInd w:val="0"/>
              <w:snapToGrid w:val="0"/>
              <w:spacing w:line="360" w:lineRule="auto"/>
              <w:ind w:firstLine="480"/>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lang w:val="en-US" w:eastAsia="zh-CN"/>
              </w:rPr>
              <w:t>设第</w:t>
            </w:r>
            <w:r>
              <w:rPr>
                <w:rFonts w:hint="default" w:ascii="Times New Roman" w:hAnsi="Times New Roman" w:eastAsia="宋体" w:cs="Times New Roman"/>
                <w:color w:val="auto"/>
                <w:sz w:val="24"/>
                <w:szCs w:val="24"/>
                <w:highlight w:val="none"/>
                <w:lang w:val="en-US" w:eastAsia="zh-CN"/>
              </w:rPr>
              <w:t>i</w:t>
            </w:r>
            <w:r>
              <w:rPr>
                <w:rFonts w:hint="eastAsia" w:ascii="Times New Roman" w:hAnsi="Times New Roman" w:eastAsia="宋体" w:cs="Times New Roman"/>
                <w:color w:val="auto"/>
                <w:sz w:val="24"/>
                <w:szCs w:val="24"/>
                <w:highlight w:val="none"/>
                <w:lang w:val="en-US" w:eastAsia="zh-CN"/>
              </w:rPr>
              <w:t>个室外声源在预测点产生的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Ai</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i</w:t>
            </w:r>
            <w:r>
              <w:rPr>
                <w:rFonts w:hint="eastAsia" w:ascii="Times New Roman" w:hAnsi="Times New Roman" w:eastAsia="宋体" w:cs="Times New Roman"/>
                <w:color w:val="auto"/>
                <w:sz w:val="24"/>
                <w:szCs w:val="24"/>
                <w:highlight w:val="none"/>
                <w:lang w:val="en-US" w:eastAsia="zh-CN"/>
              </w:rPr>
              <w:t>；第</w:t>
            </w:r>
            <w:r>
              <w:rPr>
                <w:rFonts w:hint="default" w:ascii="Times New Roman" w:hAnsi="Times New Roman" w:eastAsia="宋体" w:cs="Times New Roman"/>
                <w:color w:val="auto"/>
                <w:sz w:val="24"/>
                <w:szCs w:val="24"/>
                <w:highlight w:val="none"/>
                <w:lang w:val="en-US" w:eastAsia="zh-CN"/>
              </w:rPr>
              <w:t>j</w:t>
            </w:r>
            <w:r>
              <w:rPr>
                <w:rFonts w:hint="eastAsia" w:ascii="Times New Roman" w:hAnsi="Times New Roman" w:eastAsia="宋体" w:cs="Times New Roman"/>
                <w:color w:val="auto"/>
                <w:sz w:val="24"/>
                <w:szCs w:val="24"/>
                <w:highlight w:val="none"/>
                <w:lang w:val="en-US" w:eastAsia="zh-CN"/>
              </w:rPr>
              <w:t>个等效室外声源在预测点产生的</w:t>
            </w:r>
            <w:r>
              <w:rPr>
                <w:rFonts w:hint="default" w:ascii="Times New Roman" w:hAnsi="Times New Roman" w:eastAsia="宋体" w:cs="Times New Roman"/>
                <w:color w:val="auto"/>
                <w:sz w:val="24"/>
                <w:szCs w:val="24"/>
                <w:highlight w:val="none"/>
                <w:lang w:val="en-US" w:eastAsia="zh-CN"/>
              </w:rPr>
              <w:t>A</w:t>
            </w:r>
            <w:r>
              <w:rPr>
                <w:rFonts w:hint="eastAsia" w:ascii="Times New Roman" w:hAnsi="Times New Roman" w:eastAsia="宋体" w:cs="Times New Roman"/>
                <w:color w:val="auto"/>
                <w:sz w:val="24"/>
                <w:szCs w:val="24"/>
                <w:highlight w:val="none"/>
                <w:lang w:val="en-US" w:eastAsia="zh-CN"/>
              </w:rPr>
              <w:t>声级为</w:t>
            </w:r>
            <w:r>
              <w:rPr>
                <w:rFonts w:hint="default" w:ascii="Times New Roman" w:hAnsi="Times New Roman" w:eastAsia="宋体" w:cs="Times New Roman"/>
                <w:color w:val="auto"/>
                <w:sz w:val="24"/>
                <w:szCs w:val="24"/>
                <w:highlight w:val="none"/>
                <w:lang w:val="en-US" w:eastAsia="zh-CN"/>
              </w:rPr>
              <w:t>L</w:t>
            </w:r>
            <w:r>
              <w:rPr>
                <w:rFonts w:hint="default" w:ascii="Times New Roman" w:hAnsi="Times New Roman" w:eastAsia="宋体" w:cs="Times New Roman"/>
                <w:color w:val="auto"/>
                <w:sz w:val="24"/>
                <w:szCs w:val="24"/>
                <w:highlight w:val="none"/>
                <w:vertAlign w:val="subscript"/>
                <w:lang w:val="en-US" w:eastAsia="zh-CN"/>
              </w:rPr>
              <w:t>Aj</w:t>
            </w:r>
            <w:r>
              <w:rPr>
                <w:rFonts w:hint="eastAsia"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highlight w:val="none"/>
                <w:lang w:val="en-US" w:eastAsia="zh-CN"/>
              </w:rPr>
              <w:t>T</w:t>
            </w:r>
            <w:r>
              <w:rPr>
                <w:rFonts w:hint="eastAsia" w:ascii="Times New Roman" w:hAnsi="Times New Roman" w:eastAsia="宋体" w:cs="Times New Roman"/>
                <w:color w:val="auto"/>
                <w:sz w:val="24"/>
                <w:szCs w:val="24"/>
                <w:highlight w:val="none"/>
                <w:lang w:val="en-US" w:eastAsia="zh-CN"/>
              </w:rPr>
              <w:t>时间内该声源工作时间为</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vertAlign w:val="subscript"/>
                <w:lang w:val="en-US" w:eastAsia="zh-CN"/>
              </w:rPr>
              <w:t xml:space="preserve"> j</w:t>
            </w:r>
            <w:r>
              <w:rPr>
                <w:rFonts w:hint="eastAsia" w:ascii="Times New Roman" w:hAnsi="Times New Roman" w:eastAsia="宋体" w:cs="Times New Roman"/>
                <w:color w:val="auto"/>
                <w:sz w:val="24"/>
                <w:szCs w:val="24"/>
                <w:highlight w:val="none"/>
                <w:lang w:val="en-US" w:eastAsia="zh-CN"/>
              </w:rPr>
              <w:t>，则拟建工程声源对预测点产生的贡献值(</w:t>
            </w:r>
            <w:r>
              <w:rPr>
                <w:rFonts w:hint="default" w:ascii="Times New Roman" w:hAnsi="Times New Roman" w:eastAsia="宋体" w:cs="Times New Roman"/>
                <w:color w:val="auto"/>
                <w:sz w:val="24"/>
                <w:szCs w:val="24"/>
                <w:highlight w:val="none"/>
                <w:lang w:val="en-US" w:eastAsia="zh-CN"/>
              </w:rPr>
              <w:t>Leqg</w:t>
            </w:r>
            <w:r>
              <w:rPr>
                <w:rFonts w:hint="eastAsia" w:ascii="Times New Roman" w:hAnsi="Times New Roman" w:eastAsia="宋体" w:cs="Times New Roman"/>
                <w:color w:val="auto"/>
                <w:sz w:val="24"/>
                <w:szCs w:val="24"/>
                <w:highlight w:val="none"/>
                <w:lang w:val="en-US" w:eastAsia="zh-CN"/>
              </w:rPr>
              <w:t>)为：</w:t>
            </w:r>
          </w:p>
          <w:p>
            <w:pPr>
              <w:spacing w:line="360" w:lineRule="auto"/>
              <w:ind w:left="0" w:leftChars="0" w:firstLine="0" w:firstLineChars="0"/>
              <w:jc w:val="center"/>
              <w:rPr>
                <w:rFonts w:ascii="Times New Roman" w:hAnsi="Times New Roman" w:eastAsia="宋体"/>
                <w:color w:val="auto"/>
                <w:sz w:val="24"/>
                <w:szCs w:val="24"/>
              </w:rPr>
            </w:pPr>
            <w:r>
              <w:rPr>
                <w:rFonts w:ascii="Times New Roman" w:hAnsi="Times New Roman" w:eastAsia="宋体"/>
                <w:color w:val="auto"/>
                <w:sz w:val="24"/>
                <w:szCs w:val="24"/>
              </w:rPr>
              <w:drawing>
                <wp:inline distT="0" distB="0" distL="114300" distR="114300">
                  <wp:extent cx="2367280" cy="485775"/>
                  <wp:effectExtent l="0" t="0" r="7620" b="9525"/>
                  <wp:docPr id="2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14"/>
                          <pic:cNvPicPr>
                            <a:picLocks noChangeAspect="1"/>
                          </pic:cNvPicPr>
                        </pic:nvPicPr>
                        <pic:blipFill>
                          <a:blip r:embed="rId19"/>
                          <a:stretch>
                            <a:fillRect/>
                          </a:stretch>
                        </pic:blipFill>
                        <pic:spPr>
                          <a:xfrm>
                            <a:off x="0" y="0"/>
                            <a:ext cx="2367280" cy="485775"/>
                          </a:xfrm>
                          <a:prstGeom prst="rect">
                            <a:avLst/>
                          </a:prstGeom>
                          <a:noFill/>
                          <a:ln>
                            <a:noFill/>
                          </a:ln>
                        </pic:spPr>
                      </pic:pic>
                    </a:graphicData>
                  </a:graphic>
                </wp:inline>
              </w:drawing>
            </w:r>
          </w:p>
          <w:p>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式中：</w:t>
            </w:r>
            <w:r>
              <w:rPr>
                <w:rFonts w:hint="default" w:ascii="Times New Roman" w:hAnsi="Times New Roman" w:eastAsia="宋体" w:cs="Times New Roman"/>
                <w:color w:val="auto"/>
                <w:sz w:val="24"/>
                <w:szCs w:val="24"/>
                <w:lang w:val="en-US" w:eastAsia="zh-CN"/>
              </w:rPr>
              <w:t>Leqg——</w:t>
            </w:r>
            <w:r>
              <w:rPr>
                <w:rFonts w:hint="eastAsia" w:ascii="Times New Roman" w:hAnsi="Times New Roman" w:eastAsia="宋体" w:cs="Times New Roman"/>
                <w:color w:val="auto"/>
                <w:sz w:val="24"/>
                <w:szCs w:val="24"/>
                <w:lang w:val="en-US" w:eastAsia="zh-CN"/>
              </w:rPr>
              <w:t>建设项目声源在预测点产生的噪声贡献值，</w:t>
            </w:r>
            <w:r>
              <w:rPr>
                <w:rFonts w:hint="default" w:ascii="Times New Roman" w:hAnsi="Times New Roman" w:eastAsia="宋体" w:cs="Times New Roman"/>
                <w:color w:val="auto"/>
                <w:sz w:val="24"/>
                <w:szCs w:val="24"/>
                <w:lang w:val="en-US" w:eastAsia="zh-CN"/>
              </w:rPr>
              <w:t>dB</w:t>
            </w:r>
            <w:r>
              <w:rPr>
                <w:rFonts w:hint="default" w:ascii="Times New Roman" w:hAnsi="Times New Roman" w:eastAsia="宋体" w:cs="Times New Roman"/>
                <w:color w:val="auto"/>
                <w:sz w:val="24"/>
                <w:szCs w:val="24"/>
                <w:highlight w:val="none"/>
              </w:rPr>
              <w:t>(A)</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用于计算等效声级的时间，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N——</w:t>
            </w:r>
            <w:r>
              <w:rPr>
                <w:rFonts w:hint="eastAsia" w:ascii="Times New Roman" w:hAnsi="Times New Roman" w:eastAsia="宋体" w:cs="Times New Roman"/>
                <w:color w:val="auto"/>
                <w:sz w:val="24"/>
                <w:szCs w:val="24"/>
                <w:lang w:val="en-US" w:eastAsia="zh-CN"/>
              </w:rPr>
              <w:t>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i</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i</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lang w:val="en-US" w:eastAsia="zh-CN"/>
              </w:rPr>
              <w:t>等效室外声源个数；</w:t>
            </w:r>
          </w:p>
          <w:p>
            <w:pPr>
              <w:spacing w:line="360" w:lineRule="auto"/>
              <w:ind w:firstLine="1200" w:firstLineChars="500"/>
              <w:rPr>
                <w:rFonts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vertAlign w:val="subscript"/>
                <w:lang w:val="en-US" w:eastAsia="zh-CN"/>
              </w:rPr>
              <w:t xml:space="preserve">j </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T</w:t>
            </w:r>
            <w:r>
              <w:rPr>
                <w:rFonts w:hint="eastAsia" w:ascii="Times New Roman" w:hAnsi="Times New Roman" w:eastAsia="宋体" w:cs="Times New Roman"/>
                <w:color w:val="auto"/>
                <w:sz w:val="24"/>
                <w:szCs w:val="24"/>
                <w:lang w:val="en-US" w:eastAsia="zh-CN"/>
              </w:rPr>
              <w:t>时间内</w:t>
            </w:r>
            <w:r>
              <w:rPr>
                <w:rFonts w:hint="default" w:ascii="Times New Roman" w:hAnsi="Times New Roman" w:eastAsia="宋体" w:cs="Times New Roman"/>
                <w:color w:val="auto"/>
                <w:sz w:val="24"/>
                <w:szCs w:val="24"/>
                <w:lang w:val="en-US" w:eastAsia="zh-CN"/>
              </w:rPr>
              <w:t>j</w:t>
            </w:r>
            <w:r>
              <w:rPr>
                <w:rFonts w:hint="eastAsia" w:ascii="Times New Roman" w:hAnsi="Times New Roman" w:eastAsia="宋体" w:cs="Times New Roman"/>
                <w:color w:val="auto"/>
                <w:sz w:val="24"/>
                <w:szCs w:val="24"/>
                <w:lang w:val="en-US" w:eastAsia="zh-CN"/>
              </w:rPr>
              <w:t>声源工作时间，</w:t>
            </w:r>
            <w:r>
              <w:rPr>
                <w:rFonts w:hint="default" w:ascii="Times New Roman" w:hAnsi="Times New Roman" w:eastAsia="宋体" w:cs="Times New Roman"/>
                <w:color w:val="auto"/>
                <w:sz w:val="24"/>
                <w:szCs w:val="24"/>
                <w:lang w:val="en-US" w:eastAsia="zh-CN"/>
              </w:rPr>
              <w:t>s</w:t>
            </w:r>
            <w:r>
              <w:rPr>
                <w:rFonts w:hint="eastAsia" w:ascii="Times New Roman" w:hAnsi="Times New Roman" w:eastAsia="宋体" w:cs="Times New Roman"/>
                <w:color w:val="auto"/>
                <w:sz w:val="24"/>
                <w:szCs w:val="24"/>
                <w:lang w:val="en-US" w:eastAsia="zh-CN"/>
              </w:rPr>
              <w:t>。</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(4)</w:t>
            </w:r>
            <w:r>
              <w:rPr>
                <w:rFonts w:hint="eastAsia" w:ascii="Times New Roman" w:hAnsi="Times New Roman" w:eastAsia="宋体" w:cs="Times New Roman"/>
                <w:color w:val="auto"/>
                <w:sz w:val="24"/>
                <w:szCs w:val="24"/>
                <w:lang w:val="en-US" w:eastAsia="zh-CN"/>
              </w:rPr>
              <w:t>噪声预测值计算</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预测点的贡献值和背景值按能量叠加方法计算得到的声级</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计算公式：</w:t>
            </w:r>
          </w:p>
          <w:p>
            <w:pPr>
              <w:spacing w:line="360" w:lineRule="auto"/>
              <w:ind w:firstLine="1680" w:firstLineChars="7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1907540" cy="304165"/>
                  <wp:effectExtent l="0" t="0" r="10160" b="635"/>
                  <wp:docPr id="20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15"/>
                          <pic:cNvPicPr>
                            <a:picLocks noChangeAspect="1"/>
                          </pic:cNvPicPr>
                        </pic:nvPicPr>
                        <pic:blipFill>
                          <a:blip r:embed="rId20"/>
                          <a:stretch>
                            <a:fillRect/>
                          </a:stretch>
                        </pic:blipFill>
                        <pic:spPr>
                          <a:xfrm>
                            <a:off x="0" y="0"/>
                            <a:ext cx="1907540" cy="304165"/>
                          </a:xfrm>
                          <a:prstGeom prst="rect">
                            <a:avLst/>
                          </a:prstGeom>
                          <a:noFill/>
                          <a:ln>
                            <a:noFill/>
                          </a:ln>
                        </pic:spPr>
                      </pic:pic>
                    </a:graphicData>
                  </a:graphic>
                </wp:inline>
              </w:drawing>
            </w:r>
            <w:r>
              <w:rPr>
                <w:rFonts w:hint="default" w:ascii="Times New Roman" w:hAnsi="Times New Roman" w:eastAsia="宋体" w:cs="Times New Roman"/>
                <w:color w:val="auto"/>
                <w:sz w:val="24"/>
                <w:szCs w:val="24"/>
                <w:highlight w:val="none"/>
              </w:rPr>
              <w:t xml:space="preserve">            (2)</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式中：</w:t>
            </w:r>
          </w:p>
          <w:p>
            <w:pPr>
              <w:spacing w:line="360" w:lineRule="auto"/>
              <w:ind w:firstLine="480"/>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Leq</w:t>
            </w:r>
            <w:r>
              <w:rPr>
                <w:rFonts w:hint="default" w:ascii="Times New Roman" w:hAnsi="Times New Roman" w:eastAsia="宋体" w:cs="Times New Roman"/>
                <w:color w:val="auto"/>
                <w:sz w:val="24"/>
                <w:szCs w:val="24"/>
              </w:rPr>
              <w:t>—预测点的噪声预测值，dB；</w:t>
            </w:r>
          </w:p>
          <w:p>
            <w:pPr>
              <w:spacing w:line="360" w:lineRule="auto"/>
              <w:ind w:firstLine="48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Leqg—建设项目声源在预测点产生的噪声贡献值，dB</w:t>
            </w:r>
            <w:r>
              <w:rPr>
                <w:rFonts w:hint="eastAsia" w:ascii="Times New Roman" w:hAnsi="Times New Roman" w:eastAsia="宋体" w:cs="Times New Roman"/>
                <w:color w:val="auto"/>
                <w:sz w:val="24"/>
                <w:szCs w:val="24"/>
                <w:lang w:eastAsia="zh-CN"/>
              </w:rPr>
              <w:t>；</w:t>
            </w:r>
          </w:p>
          <w:p>
            <w:pPr>
              <w:spacing w:line="360" w:lineRule="auto"/>
              <w:ind w:firstLine="48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Leq</w:t>
            </w:r>
            <w:r>
              <w:rPr>
                <w:rFonts w:hint="eastAsia" w:ascii="Times New Roman" w:hAnsi="Times New Roman" w:eastAsia="宋体" w:cs="Times New Roman"/>
                <w:color w:val="auto"/>
                <w:sz w:val="24"/>
                <w:szCs w:val="24"/>
                <w:lang w:val="en-US" w:eastAsia="zh-CN"/>
              </w:rPr>
              <w:t>b</w:t>
            </w:r>
            <w:r>
              <w:rPr>
                <w:rFonts w:hint="default" w:ascii="Times New Roman" w:hAnsi="Times New Roman" w:eastAsia="宋体" w:cs="Times New Roman"/>
                <w:color w:val="auto"/>
                <w:sz w:val="24"/>
                <w:szCs w:val="24"/>
              </w:rPr>
              <w:t>—预测点的背景噪声值，dB。</w:t>
            </w:r>
          </w:p>
          <w:p>
            <w:pPr>
              <w:snapToGrid w:val="0"/>
              <w:spacing w:line="360" w:lineRule="auto"/>
              <w:ind w:right="11"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(5)</w:t>
            </w:r>
            <w:r>
              <w:rPr>
                <w:rFonts w:hint="eastAsia" w:ascii="Times New Roman" w:hAnsi="Times New Roman" w:eastAsia="宋体"/>
                <w:color w:val="auto"/>
                <w:sz w:val="24"/>
                <w:szCs w:val="24"/>
              </w:rPr>
              <w:t>隔声量的确定</w:t>
            </w:r>
          </w:p>
          <w:p>
            <w:pPr>
              <w:snapToGrid w:val="0"/>
              <w:spacing w:line="360" w:lineRule="auto"/>
              <w:ind w:right="11" w:firstLine="480" w:firstLineChars="20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rPr>
              <w:t>项目主要噪声设备大多设置于各建构筑物内，设备噪声经</w:t>
            </w:r>
            <w:r>
              <w:rPr>
                <w:rFonts w:hint="eastAsia" w:ascii="Times New Roman" w:hAnsi="Times New Roman" w:eastAsia="宋体"/>
                <w:color w:val="auto"/>
                <w:sz w:val="24"/>
                <w:szCs w:val="24"/>
                <w:lang w:val="en-US" w:eastAsia="zh-CN"/>
              </w:rPr>
              <w:t>墙体隔声，设备基础减振后</w:t>
            </w:r>
            <w:r>
              <w:rPr>
                <w:rFonts w:hint="eastAsia"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项目主要生产厂房为砖混结构，隔声、减振按20</w:t>
            </w:r>
            <w:r>
              <w:rPr>
                <w:rFonts w:hint="eastAsia" w:ascii="Times New Roman" w:hAnsi="Times New Roman" w:eastAsia="宋体"/>
                <w:color w:val="auto"/>
                <w:sz w:val="24"/>
                <w:szCs w:val="24"/>
              </w:rPr>
              <w:t>dB(A)</w:t>
            </w:r>
            <w:r>
              <w:rPr>
                <w:rFonts w:hint="eastAsia" w:ascii="Times New Roman" w:hAnsi="Times New Roman" w:eastAsia="宋体"/>
                <w:color w:val="auto"/>
                <w:sz w:val="24"/>
                <w:szCs w:val="24"/>
                <w:lang w:val="en-US" w:eastAsia="zh-CN"/>
              </w:rPr>
              <w:t>进行设计。</w:t>
            </w:r>
          </w:p>
          <w:p>
            <w:pPr>
              <w:spacing w:line="360" w:lineRule="auto"/>
              <w:ind w:firstLine="480"/>
              <w:rPr>
                <w:rFonts w:ascii="Times New Roman" w:hAnsi="Times New Roman" w:eastAsia="宋体"/>
                <w:color w:val="auto"/>
                <w:sz w:val="24"/>
                <w:szCs w:val="24"/>
              </w:rPr>
            </w:pPr>
            <w:r>
              <w:rPr>
                <w:rFonts w:ascii="Times New Roman" w:hAnsi="Times New Roman" w:eastAsia="宋体"/>
                <w:color w:val="auto"/>
                <w:sz w:val="24"/>
                <w:szCs w:val="24"/>
              </w:rPr>
              <w:t>(</w:t>
            </w:r>
            <w:r>
              <w:rPr>
                <w:rFonts w:hint="eastAsia" w:ascii="Times New Roman" w:hAnsi="Times New Roman" w:eastAsia="宋体"/>
                <w:color w:val="auto"/>
                <w:sz w:val="24"/>
                <w:szCs w:val="24"/>
                <w:lang w:val="en-US" w:eastAsia="zh-CN"/>
              </w:rPr>
              <w:t>6</w:t>
            </w:r>
            <w:r>
              <w:rPr>
                <w:rFonts w:ascii="Times New Roman" w:hAnsi="Times New Roman" w:eastAsia="宋体"/>
                <w:color w:val="auto"/>
                <w:sz w:val="24"/>
                <w:szCs w:val="24"/>
              </w:rPr>
              <w:t>)</w:t>
            </w:r>
            <w:r>
              <w:rPr>
                <w:rFonts w:hint="eastAsia" w:ascii="Times New Roman" w:hAnsi="Times New Roman" w:eastAsia="宋体"/>
                <w:color w:val="auto"/>
                <w:sz w:val="24"/>
                <w:szCs w:val="24"/>
              </w:rPr>
              <w:t>预测结果</w:t>
            </w:r>
          </w:p>
          <w:p>
            <w:pPr>
              <w:spacing w:line="360" w:lineRule="auto"/>
              <w:ind w:firstLine="480"/>
              <w:rPr>
                <w:rFonts w:hint="default" w:ascii="Times New Roman" w:hAnsi="Times New Roman" w:eastAsia="宋体"/>
                <w:color w:val="auto"/>
                <w:sz w:val="24"/>
                <w:szCs w:val="24"/>
                <w:lang w:val="en-US" w:eastAsia="zh-CN"/>
              </w:rPr>
            </w:pPr>
            <w:r>
              <w:rPr>
                <w:rFonts w:hint="eastAsia" w:ascii="Times New Roman" w:hAnsi="Times New Roman" w:eastAsia="宋体"/>
                <w:color w:val="auto"/>
                <w:sz w:val="24"/>
                <w:szCs w:val="24"/>
                <w:lang w:val="zh-CN"/>
              </w:rPr>
              <w:t>①</w:t>
            </w:r>
            <w:r>
              <w:rPr>
                <w:rFonts w:hint="eastAsia" w:ascii="Times New Roman" w:hAnsi="Times New Roman" w:eastAsia="宋体"/>
                <w:color w:val="auto"/>
                <w:sz w:val="24"/>
                <w:szCs w:val="24"/>
                <w:lang w:val="en-US" w:eastAsia="zh-CN"/>
              </w:rPr>
              <w:t>厂界噪声预测结果</w:t>
            </w:r>
          </w:p>
          <w:p>
            <w:pPr>
              <w:spacing w:line="360" w:lineRule="auto"/>
              <w:ind w:firstLine="480"/>
              <w:rPr>
                <w:rFonts w:ascii="Times New Roman" w:hAnsi="Times New Roman" w:eastAsia="宋体"/>
                <w:color w:val="auto"/>
                <w:sz w:val="24"/>
                <w:szCs w:val="24"/>
                <w:lang w:val="zh-CN"/>
              </w:rPr>
            </w:pPr>
            <w:r>
              <w:rPr>
                <w:rFonts w:ascii="Times New Roman" w:hAnsi="Times New Roman" w:eastAsia="宋体"/>
                <w:color w:val="auto"/>
                <w:sz w:val="24"/>
                <w:szCs w:val="24"/>
                <w:lang w:val="zh-CN"/>
              </w:rPr>
              <w:t>利用上述模式计算本项目噪声源同时工作时，预测到厂界的噪声最大值及位置，具体预测结果见表</w:t>
            </w:r>
            <w:r>
              <w:rPr>
                <w:rFonts w:hint="eastAsia" w:ascii="Times New Roman" w:hAnsi="Times New Roman" w:eastAsia="宋体"/>
                <w:color w:val="auto"/>
                <w:sz w:val="24"/>
                <w:szCs w:val="24"/>
              </w:rPr>
              <w:t>4.</w:t>
            </w:r>
            <w:r>
              <w:rPr>
                <w:rFonts w:hint="eastAsia" w:ascii="Times New Roman" w:hAnsi="Times New Roman" w:eastAsia="宋体"/>
                <w:color w:val="auto"/>
                <w:sz w:val="24"/>
                <w:szCs w:val="24"/>
                <w:lang w:val="en-US" w:eastAsia="zh-CN"/>
              </w:rPr>
              <w:t>4-</w:t>
            </w:r>
            <w:r>
              <w:rPr>
                <w:rFonts w:hint="eastAsia"/>
                <w:color w:val="auto"/>
                <w:sz w:val="24"/>
                <w:szCs w:val="24"/>
                <w:lang w:val="en-US" w:eastAsia="zh-CN"/>
              </w:rPr>
              <w:t>2</w:t>
            </w:r>
            <w:r>
              <w:rPr>
                <w:rFonts w:ascii="Times New Roman" w:hAnsi="Times New Roman" w:eastAsia="宋体"/>
                <w:color w:val="auto"/>
                <w:sz w:val="24"/>
                <w:szCs w:val="24"/>
                <w:lang w:val="zh-CN"/>
              </w:rPr>
              <w:t>所示。</w:t>
            </w:r>
          </w:p>
          <w:p>
            <w:pPr>
              <w:pStyle w:val="33"/>
              <w:bidi w:val="0"/>
              <w:rPr>
                <w:color w:val="auto"/>
                <w:sz w:val="24"/>
                <w:szCs w:val="24"/>
              </w:rPr>
            </w:pPr>
            <w:r>
              <w:rPr>
                <w:color w:val="auto"/>
                <w:sz w:val="24"/>
                <w:szCs w:val="24"/>
              </w:rPr>
              <w:t>表4.</w:t>
            </w:r>
            <w:r>
              <w:rPr>
                <w:rFonts w:hint="eastAsia"/>
                <w:color w:val="auto"/>
                <w:sz w:val="24"/>
                <w:szCs w:val="24"/>
                <w:lang w:val="en-US" w:eastAsia="zh-CN"/>
              </w:rPr>
              <w:t>4</w:t>
            </w:r>
            <w:r>
              <w:rPr>
                <w:color w:val="auto"/>
                <w:sz w:val="24"/>
                <w:szCs w:val="24"/>
              </w:rPr>
              <w:t>-</w:t>
            </w:r>
            <w:r>
              <w:rPr>
                <w:rFonts w:hint="eastAsia"/>
                <w:color w:val="auto"/>
                <w:sz w:val="24"/>
                <w:szCs w:val="24"/>
                <w:lang w:val="en-US" w:eastAsia="zh-CN"/>
              </w:rPr>
              <w:t>2</w:t>
            </w:r>
            <w:r>
              <w:rPr>
                <w:color w:val="auto"/>
                <w:sz w:val="24"/>
                <w:szCs w:val="24"/>
              </w:rPr>
              <w:t xml:space="preserve"> 厂界噪声预测结果 单位：dB(A)</w:t>
            </w:r>
          </w:p>
          <w:p>
            <w:pPr>
              <w:keepNext w:val="0"/>
              <w:keepLines w:val="0"/>
              <w:pageBreakBefore w:val="0"/>
              <w:widowControl/>
              <w:kinsoku/>
              <w:wordWrap/>
              <w:overflowPunct/>
              <w:topLinePunct w:val="0"/>
              <w:autoSpaceDE/>
              <w:autoSpaceDN/>
              <w:bidi w:val="0"/>
              <w:adjustRightInd/>
              <w:snapToGrid/>
              <w:spacing w:before="157" w:beforeLines="50"/>
              <w:ind w:firstLine="480"/>
              <w:textAlignment w:val="auto"/>
              <w:rPr>
                <w:rFonts w:hint="eastAsia" w:ascii="Times New Roman" w:hAnsi="Times New Roman" w:eastAsia="宋体"/>
                <w:color w:val="auto"/>
                <w:sz w:val="24"/>
                <w:highlight w:val="yellow"/>
                <w:lang w:val="en-US" w:eastAsia="zh-CN"/>
              </w:rPr>
            </w:pPr>
            <w:r>
              <w:rPr>
                <w:rFonts w:ascii="Times New Roman" w:hAnsi="Times New Roman" w:eastAsia="宋体"/>
                <w:color w:val="auto"/>
                <w:sz w:val="24"/>
              </w:rPr>
              <w:t>厂界达标分析：本项目实行白班制，夜间不</w:t>
            </w:r>
            <w:r>
              <w:rPr>
                <w:rFonts w:hint="eastAsia" w:ascii="Times New Roman" w:hAnsi="Times New Roman" w:eastAsia="宋体"/>
                <w:color w:val="auto"/>
                <w:sz w:val="24"/>
                <w:lang w:val="en-US" w:eastAsia="zh-CN"/>
              </w:rPr>
              <w:t>生产</w:t>
            </w:r>
            <w:r>
              <w:rPr>
                <w:rFonts w:hint="eastAsia" w:ascii="Times New Roman" w:hAnsi="Times New Roman" w:eastAsia="宋体"/>
                <w:color w:val="auto"/>
                <w:sz w:val="24"/>
                <w:lang w:eastAsia="zh-CN"/>
              </w:rPr>
              <w:t>，</w:t>
            </w:r>
            <w:r>
              <w:rPr>
                <w:rFonts w:ascii="Times New Roman" w:hAnsi="Times New Roman" w:eastAsia="宋体"/>
                <w:color w:val="auto"/>
                <w:sz w:val="24"/>
              </w:rPr>
              <w:t>根据表</w:t>
            </w:r>
            <w:r>
              <w:rPr>
                <w:rFonts w:hint="eastAsia" w:ascii="Times New Roman" w:hAnsi="Times New Roman" w:eastAsia="宋体"/>
                <w:color w:val="auto"/>
                <w:sz w:val="24"/>
              </w:rPr>
              <w:t>4.</w:t>
            </w:r>
            <w:r>
              <w:rPr>
                <w:rFonts w:hint="eastAsia" w:ascii="Times New Roman" w:hAnsi="Times New Roman" w:eastAsia="宋体"/>
                <w:color w:val="auto"/>
                <w:sz w:val="24"/>
                <w:lang w:val="en-US" w:eastAsia="zh-CN"/>
              </w:rPr>
              <w:t>4-</w:t>
            </w:r>
            <w:r>
              <w:rPr>
                <w:rFonts w:hint="eastAsia"/>
                <w:color w:val="auto"/>
                <w:sz w:val="24"/>
                <w:lang w:val="en-US" w:eastAsia="zh-CN"/>
              </w:rPr>
              <w:t>2</w:t>
            </w:r>
            <w:r>
              <w:rPr>
                <w:rFonts w:ascii="Times New Roman" w:hAnsi="Times New Roman" w:eastAsia="宋体"/>
                <w:color w:val="auto"/>
                <w:sz w:val="24"/>
              </w:rPr>
              <w:t>预测结果，项目主要噪声源在采取有效的降噪措施前提下，项目</w:t>
            </w:r>
            <w:r>
              <w:rPr>
                <w:rFonts w:hint="eastAsia" w:ascii="Times New Roman" w:hAnsi="Times New Roman" w:eastAsia="宋体"/>
                <w:color w:val="auto"/>
                <w:sz w:val="24"/>
                <w:lang w:eastAsia="zh-CN"/>
              </w:rPr>
              <w:t>厂界</w:t>
            </w:r>
            <w:r>
              <w:rPr>
                <w:rFonts w:ascii="Times New Roman" w:hAnsi="Times New Roman" w:eastAsia="宋体"/>
                <w:color w:val="auto"/>
                <w:sz w:val="24"/>
              </w:rPr>
              <w:t>可满足《工业企业厂界环境噪声排放标准》(GB12348-2008)中</w:t>
            </w:r>
            <w:r>
              <w:rPr>
                <w:rFonts w:hint="eastAsia"/>
                <w:color w:val="auto"/>
                <w:sz w:val="24"/>
                <w:highlight w:val="none"/>
                <w:lang w:val="en-US" w:eastAsia="zh-CN"/>
              </w:rPr>
              <w:t>2</w:t>
            </w:r>
            <w:r>
              <w:rPr>
                <w:rFonts w:ascii="Times New Roman" w:hAnsi="Times New Roman" w:eastAsia="宋体"/>
                <w:color w:val="auto"/>
                <w:sz w:val="24"/>
                <w:highlight w:val="none"/>
              </w:rPr>
              <w:t>类标准</w:t>
            </w:r>
            <w:r>
              <w:rPr>
                <w:rFonts w:hint="eastAsia" w:ascii="Times New Roman" w:hAnsi="Times New Roman" w:eastAsia="宋体"/>
                <w:color w:val="auto"/>
                <w:sz w:val="24"/>
                <w:highlight w:val="none"/>
                <w:lang w:eastAsia="zh-CN"/>
              </w:rPr>
              <w:t>（昼间≤</w:t>
            </w:r>
            <w:r>
              <w:rPr>
                <w:rFonts w:hint="eastAsia"/>
                <w:color w:val="auto"/>
                <w:sz w:val="24"/>
                <w:highlight w:val="none"/>
                <w:lang w:val="en-US" w:eastAsia="zh-CN"/>
              </w:rPr>
              <w:t>60</w:t>
            </w:r>
            <w:r>
              <w:rPr>
                <w:rFonts w:hint="eastAsia" w:ascii="Times New Roman" w:hAnsi="Times New Roman" w:eastAsia="宋体"/>
                <w:color w:val="auto"/>
                <w:sz w:val="24"/>
                <w:highlight w:val="none"/>
                <w:lang w:val="en-US" w:eastAsia="zh-CN"/>
              </w:rPr>
              <w:t>dB（A），夜间不生产</w:t>
            </w:r>
            <w:r>
              <w:rPr>
                <w:rFonts w:hint="eastAsia" w:ascii="Times New Roman" w:hAnsi="Times New Roman" w:eastAsia="宋体"/>
                <w:color w:val="auto"/>
                <w:sz w:val="24"/>
                <w:highlight w:val="none"/>
                <w:lang w:eastAsia="zh-CN"/>
              </w:rPr>
              <w:t>）。</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②敏感点噪声预测结果分析</w:t>
            </w:r>
          </w:p>
          <w:p>
            <w:pPr>
              <w:adjustRightInd w:val="0"/>
              <w:snapToGrid w:val="0"/>
              <w:spacing w:line="360" w:lineRule="auto"/>
              <w:ind w:firstLine="480" w:firstLineChars="200"/>
              <w:rPr>
                <w:rFonts w:hint="eastAsia" w:ascii="Times New Roman" w:hAnsi="Times New Roman" w:eastAsia="宋体" w:cs="Times New Roman"/>
                <w:bCs/>
                <w:color w:val="auto"/>
                <w:sz w:val="24"/>
                <w:lang w:val="zh-CN"/>
              </w:rPr>
            </w:pPr>
            <w:r>
              <w:rPr>
                <w:rFonts w:hint="eastAsia" w:ascii="Times New Roman" w:hAnsi="Times New Roman" w:eastAsia="宋体" w:cs="Times New Roman"/>
                <w:bCs/>
                <w:color w:val="auto"/>
                <w:sz w:val="24"/>
                <w:lang w:val="zh-CN"/>
              </w:rPr>
              <w:t>根据现场勘查，项目周边50m范围内无声环境保护目标。</w:t>
            </w:r>
          </w:p>
          <w:p>
            <w:pPr>
              <w:pStyle w:val="4"/>
              <w:bidi w:val="0"/>
              <w:rPr>
                <w:color w:val="auto"/>
              </w:rPr>
            </w:pPr>
            <w:r>
              <w:rPr>
                <w:color w:val="auto"/>
              </w:rPr>
              <w:t>4.</w:t>
            </w:r>
            <w:r>
              <w:rPr>
                <w:rFonts w:hint="eastAsia"/>
                <w:color w:val="auto"/>
                <w:lang w:val="en-US" w:eastAsia="zh-CN"/>
              </w:rPr>
              <w:t>4</w:t>
            </w:r>
            <w:r>
              <w:rPr>
                <w:color w:val="auto"/>
              </w:rPr>
              <w:t>.3 运营期噪声</w:t>
            </w:r>
            <w:r>
              <w:rPr>
                <w:rFonts w:hint="eastAsia"/>
                <w:color w:val="auto"/>
                <w:lang w:val="en-US" w:eastAsia="zh-CN"/>
              </w:rPr>
              <w:t>控制</w:t>
            </w:r>
            <w:r>
              <w:rPr>
                <w:color w:val="auto"/>
              </w:rPr>
              <w:t>措施</w:t>
            </w:r>
          </w:p>
          <w:p>
            <w:pPr>
              <w:bidi w:val="0"/>
              <w:rPr>
                <w:color w:val="auto"/>
              </w:rPr>
            </w:pPr>
            <w:r>
              <w:rPr>
                <w:rFonts w:hint="eastAsia"/>
                <w:color w:val="auto"/>
                <w:lang w:val="zh-CN"/>
              </w:rPr>
              <w:t>（</w:t>
            </w:r>
            <w:r>
              <w:rPr>
                <w:rFonts w:hint="eastAsia"/>
                <w:color w:val="auto"/>
                <w:lang w:val="en-US" w:eastAsia="zh-CN"/>
              </w:rPr>
              <w:t>1</w:t>
            </w:r>
            <w:r>
              <w:rPr>
                <w:rFonts w:hint="eastAsia"/>
                <w:color w:val="auto"/>
                <w:lang w:val="zh-CN"/>
              </w:rPr>
              <w:t>）噪声源控制措施</w:t>
            </w:r>
          </w:p>
          <w:p>
            <w:pPr>
              <w:bidi w:val="0"/>
              <w:rPr>
                <w:color w:val="auto"/>
              </w:rPr>
            </w:pPr>
            <w:r>
              <w:rPr>
                <w:rFonts w:hint="eastAsia"/>
                <w:color w:val="auto"/>
              </w:rPr>
              <w:t>①</w:t>
            </w:r>
            <w:r>
              <w:rPr>
                <w:color w:val="auto"/>
              </w:rPr>
              <w:t>项目选用低噪声生产设备，</w:t>
            </w:r>
            <w:r>
              <w:rPr>
                <w:rFonts w:hint="eastAsia"/>
                <w:color w:val="auto"/>
              </w:rPr>
              <w:t>采用</w:t>
            </w:r>
            <w:r>
              <w:rPr>
                <w:color w:val="auto"/>
              </w:rPr>
              <w:t>低噪声</w:t>
            </w:r>
            <w:r>
              <w:rPr>
                <w:rFonts w:hint="eastAsia"/>
                <w:color w:val="auto"/>
              </w:rPr>
              <w:t>生产</w:t>
            </w:r>
            <w:r>
              <w:rPr>
                <w:color w:val="auto"/>
              </w:rPr>
              <w:t>工艺</w:t>
            </w:r>
            <w:r>
              <w:rPr>
                <w:rFonts w:hint="eastAsia"/>
                <w:color w:val="auto"/>
                <w:lang w:val="en-US" w:eastAsia="zh-CN"/>
              </w:rPr>
              <w:t>；夜间不运行；</w:t>
            </w:r>
          </w:p>
          <w:p>
            <w:pPr>
              <w:bidi w:val="0"/>
              <w:rPr>
                <w:rFonts w:hint="eastAsia"/>
                <w:color w:val="auto"/>
                <w:lang w:eastAsia="zh-CN"/>
              </w:rPr>
            </w:pPr>
            <w:r>
              <w:rPr>
                <w:rFonts w:hint="eastAsia"/>
                <w:color w:val="auto"/>
              </w:rPr>
              <w:t>②</w:t>
            </w:r>
            <w:r>
              <w:rPr>
                <w:color w:val="auto"/>
              </w:rPr>
              <w:t>采取声学控制措施，对</w:t>
            </w:r>
            <w:r>
              <w:rPr>
                <w:rFonts w:hint="eastAsia"/>
                <w:color w:val="auto"/>
              </w:rPr>
              <w:t>项目</w:t>
            </w:r>
            <w:r>
              <w:rPr>
                <w:color w:val="auto"/>
              </w:rPr>
              <w:t>高噪声设备</w:t>
            </w:r>
            <w:r>
              <w:rPr>
                <w:rFonts w:hint="eastAsia"/>
                <w:color w:val="auto"/>
              </w:rPr>
              <w:t>基础设置减振垫；</w:t>
            </w:r>
            <w:r>
              <w:rPr>
                <w:rFonts w:hint="eastAsia"/>
                <w:color w:val="auto"/>
                <w:lang w:eastAsia="zh-CN"/>
              </w:rPr>
              <w:t>对水泵、风机配套消声元件、软接头等降噪措施，必要时可采取密闭或安装隔音罩进行降噪；</w:t>
            </w:r>
          </w:p>
          <w:p>
            <w:pPr>
              <w:bidi w:val="0"/>
              <w:rPr>
                <w:color w:val="auto"/>
              </w:rPr>
            </w:pPr>
            <w:r>
              <w:rPr>
                <w:rFonts w:hint="eastAsia"/>
                <w:color w:val="auto"/>
              </w:rPr>
              <w:t>③</w:t>
            </w:r>
            <w:r>
              <w:rPr>
                <w:color w:val="auto"/>
              </w:rPr>
              <w:t>加强对设备的管理和维护，</w:t>
            </w:r>
            <w:r>
              <w:rPr>
                <w:rFonts w:hint="eastAsia"/>
                <w:color w:val="auto"/>
              </w:rPr>
              <w:t>避免设备在异常情</w:t>
            </w:r>
            <w:r>
              <w:rPr>
                <w:rFonts w:hint="eastAsia"/>
                <w:color w:val="auto"/>
                <w:lang w:eastAsia="zh-CN"/>
              </w:rPr>
              <w:t>况下</w:t>
            </w:r>
            <w:r>
              <w:rPr>
                <w:rFonts w:hint="eastAsia"/>
                <w:color w:val="auto"/>
              </w:rPr>
              <w:t>运行；</w:t>
            </w:r>
          </w:p>
          <w:p>
            <w:pPr>
              <w:bidi w:val="0"/>
              <w:rPr>
                <w:rFonts w:hint="eastAsia"/>
                <w:color w:val="auto"/>
                <w:lang w:eastAsia="zh-CN"/>
              </w:rPr>
            </w:pPr>
            <w:r>
              <w:rPr>
                <w:rFonts w:hint="eastAsia"/>
                <w:color w:val="auto"/>
              </w:rPr>
              <w:t>④</w:t>
            </w:r>
            <w:r>
              <w:rPr>
                <w:color w:val="auto"/>
              </w:rPr>
              <w:t>优先选用低噪声车辆</w:t>
            </w:r>
            <w:r>
              <w:rPr>
                <w:rFonts w:hint="eastAsia"/>
                <w:color w:val="auto"/>
              </w:rPr>
              <w:t>，</w:t>
            </w:r>
            <w:r>
              <w:rPr>
                <w:color w:val="auto"/>
              </w:rPr>
              <w:t>车辆运输物料</w:t>
            </w:r>
            <w:r>
              <w:rPr>
                <w:rFonts w:hint="eastAsia"/>
                <w:color w:val="auto"/>
              </w:rPr>
              <w:t>时</w:t>
            </w:r>
            <w:r>
              <w:rPr>
                <w:color w:val="auto"/>
              </w:rPr>
              <w:t>，减小车速，禁止或少鸣喇叭</w:t>
            </w:r>
            <w:r>
              <w:rPr>
                <w:rFonts w:hint="eastAsia"/>
                <w:color w:val="auto"/>
                <w:lang w:eastAsia="zh-CN"/>
              </w:rPr>
              <w:t>。</w:t>
            </w:r>
          </w:p>
          <w:p>
            <w:pPr>
              <w:bidi w:val="0"/>
              <w:rPr>
                <w:rFonts w:hint="eastAsia"/>
                <w:color w:val="auto"/>
                <w:lang w:eastAsia="zh-CN"/>
              </w:rPr>
            </w:pPr>
            <w:r>
              <w:rPr>
                <w:rFonts w:hint="eastAsia"/>
                <w:color w:val="auto"/>
                <w:lang w:eastAsia="zh-CN"/>
              </w:rPr>
              <w:t>⑤</w:t>
            </w:r>
            <w:r>
              <w:rPr>
                <w:rFonts w:hint="eastAsia"/>
                <w:color w:val="auto"/>
              </w:rPr>
              <w:t>合理规划平面布置，将高噪声设备设置</w:t>
            </w:r>
            <w:r>
              <w:rPr>
                <w:rFonts w:hint="eastAsia"/>
                <w:color w:val="auto"/>
                <w:lang w:eastAsia="zh-CN"/>
              </w:rPr>
              <w:t>厂房内</w:t>
            </w:r>
            <w:r>
              <w:rPr>
                <w:rFonts w:hint="eastAsia"/>
                <w:color w:val="auto"/>
              </w:rPr>
              <w:t>设备运转期间，</w:t>
            </w:r>
            <w:r>
              <w:rPr>
                <w:rFonts w:hint="eastAsia"/>
                <w:color w:val="auto"/>
                <w:lang w:eastAsia="zh-CN"/>
              </w:rPr>
              <w:t>尽量</w:t>
            </w:r>
            <w:r>
              <w:rPr>
                <w:rFonts w:hint="eastAsia"/>
                <w:color w:val="auto"/>
              </w:rPr>
              <w:t>关闭车间门窗，通过车间墙体等进行阻隔，降低噪声源强</w:t>
            </w:r>
            <w:r>
              <w:rPr>
                <w:rFonts w:hint="eastAsia"/>
                <w:color w:val="auto"/>
                <w:lang w:eastAsia="zh-CN"/>
              </w:rPr>
              <w:t>；</w:t>
            </w:r>
          </w:p>
          <w:p>
            <w:pPr>
              <w:bidi w:val="0"/>
              <w:rPr>
                <w:rFonts w:hint="eastAsia"/>
                <w:color w:val="auto"/>
              </w:rPr>
            </w:pPr>
            <w:r>
              <w:rPr>
                <w:color w:val="auto"/>
              </w:rPr>
              <w:t>通过以上降噪措施，有效降低设备噪声对厂界的影响程度，确保</w:t>
            </w:r>
            <w:r>
              <w:rPr>
                <w:rFonts w:hint="eastAsia"/>
                <w:color w:val="auto"/>
              </w:rPr>
              <w:t>厂</w:t>
            </w:r>
            <w:r>
              <w:rPr>
                <w:color w:val="auto"/>
              </w:rPr>
              <w:t>界噪声符合《工业企业厂界环境噪声排放标准》</w:t>
            </w:r>
            <w:r>
              <w:rPr>
                <w:rFonts w:hint="eastAsia"/>
                <w:color w:val="auto"/>
              </w:rPr>
              <w:t>(</w:t>
            </w:r>
            <w:r>
              <w:rPr>
                <w:color w:val="auto"/>
              </w:rPr>
              <w:t>GB12348-2008</w:t>
            </w:r>
            <w:r>
              <w:rPr>
                <w:rFonts w:hint="eastAsia"/>
                <w:color w:val="auto"/>
              </w:rPr>
              <w:t>)</w:t>
            </w:r>
            <w:r>
              <w:rPr>
                <w:color w:val="auto"/>
              </w:rPr>
              <w:t>中的</w:t>
            </w:r>
            <w:r>
              <w:rPr>
                <w:rFonts w:hint="eastAsia"/>
                <w:color w:val="auto"/>
                <w:lang w:val="en-US" w:eastAsia="zh-CN"/>
              </w:rPr>
              <w:t>2</w:t>
            </w:r>
            <w:r>
              <w:rPr>
                <w:rFonts w:hint="eastAsia"/>
                <w:color w:val="auto"/>
              </w:rPr>
              <w:t>类</w:t>
            </w:r>
            <w:r>
              <w:rPr>
                <w:color w:val="auto"/>
              </w:rPr>
              <w:t>标准要求，措施可行。</w:t>
            </w:r>
          </w:p>
          <w:p>
            <w:pPr>
              <w:pStyle w:val="4"/>
              <w:bidi w:val="0"/>
              <w:rPr>
                <w:color w:val="auto"/>
              </w:rPr>
            </w:pPr>
            <w:r>
              <w:rPr>
                <w:color w:val="auto"/>
              </w:rPr>
              <w:t>4.</w:t>
            </w:r>
            <w:r>
              <w:rPr>
                <w:rFonts w:hint="eastAsia"/>
                <w:color w:val="auto"/>
                <w:lang w:val="en-US" w:eastAsia="zh-CN"/>
              </w:rPr>
              <w:t>4</w:t>
            </w:r>
            <w:r>
              <w:rPr>
                <w:color w:val="auto"/>
              </w:rPr>
              <w:t>.4 自行监测计划</w:t>
            </w:r>
          </w:p>
          <w:p>
            <w:pPr>
              <w:bidi w:val="0"/>
              <w:rPr>
                <w:rFonts w:hint="default"/>
                <w:color w:val="auto"/>
                <w:lang w:val="en-US" w:eastAsia="zh-CN"/>
              </w:rPr>
            </w:pPr>
            <w:r>
              <w:rPr>
                <w:rFonts w:hint="eastAsia"/>
                <w:color w:val="auto"/>
                <w:lang w:val="en-US" w:eastAsia="zh-CN"/>
              </w:rPr>
              <w:t>根据《排污单位自行监测技术指南 总则》(HJ 819-2017)、</w:t>
            </w:r>
            <w:r>
              <w:rPr>
                <w:rFonts w:hint="default"/>
                <w:color w:val="auto"/>
              </w:rPr>
              <w:t xml:space="preserve">《排污单位自行监测技术指南 </w:t>
            </w:r>
            <w:r>
              <w:rPr>
                <w:rFonts w:hint="eastAsia"/>
                <w:color w:val="auto"/>
                <w:lang w:eastAsia="zh-CN"/>
              </w:rPr>
              <w:t>水泥工业</w:t>
            </w:r>
            <w:r>
              <w:rPr>
                <w:rFonts w:hint="default"/>
                <w:color w:val="auto"/>
              </w:rPr>
              <w:t>》(HJ</w:t>
            </w:r>
            <w:r>
              <w:rPr>
                <w:rFonts w:hint="eastAsia"/>
                <w:color w:val="auto"/>
                <w:lang w:val="en-US" w:eastAsia="zh-CN"/>
              </w:rPr>
              <w:t>848-2017</w:t>
            </w:r>
            <w:r>
              <w:rPr>
                <w:rFonts w:hint="default"/>
                <w:color w:val="auto"/>
              </w:rPr>
              <w:t>)</w:t>
            </w:r>
            <w:r>
              <w:rPr>
                <w:rFonts w:hint="eastAsia"/>
                <w:color w:val="auto"/>
              </w:rPr>
              <w:t>等要求，</w:t>
            </w:r>
            <w:r>
              <w:rPr>
                <w:rFonts w:hint="eastAsia"/>
                <w:color w:val="auto"/>
                <w:lang w:eastAsia="zh-CN"/>
              </w:rPr>
              <w:t>提出项目</w:t>
            </w:r>
            <w:r>
              <w:rPr>
                <w:rFonts w:hint="eastAsia"/>
                <w:color w:val="auto"/>
              </w:rPr>
              <w:t>运营期</w:t>
            </w:r>
            <w:r>
              <w:rPr>
                <w:rFonts w:hint="eastAsia"/>
                <w:color w:val="auto"/>
                <w:lang w:eastAsia="zh-CN"/>
              </w:rPr>
              <w:t>噪声自行监测计划，具体详见表</w:t>
            </w:r>
            <w:r>
              <w:rPr>
                <w:rFonts w:hint="eastAsia"/>
                <w:color w:val="auto"/>
                <w:lang w:val="en-US" w:eastAsia="zh-CN"/>
              </w:rPr>
              <w:t>4.4-3。</w:t>
            </w:r>
          </w:p>
          <w:p>
            <w:pPr>
              <w:pStyle w:val="33"/>
              <w:bidi w:val="0"/>
              <w:rPr>
                <w:rFonts w:hint="default" w:ascii="Times New Roman" w:hAnsi="Times New Roman" w:eastAsia="宋体" w:cs="Times New Roman"/>
                <w:b/>
                <w:bCs/>
                <w:color w:val="auto"/>
                <w:kern w:val="2"/>
                <w:sz w:val="24"/>
                <w:szCs w:val="24"/>
                <w:highlight w:val="none"/>
                <w:lang w:val="en-US" w:eastAsia="zh-CN"/>
              </w:rPr>
            </w:pPr>
            <w:r>
              <w:rPr>
                <w:rFonts w:hint="default"/>
                <w:color w:val="auto"/>
                <w:sz w:val="24"/>
                <w:szCs w:val="24"/>
                <w:lang w:eastAsia="zh-CN"/>
              </w:rPr>
              <w:t>表</w:t>
            </w:r>
            <w:r>
              <w:rPr>
                <w:rFonts w:hint="default"/>
                <w:color w:val="auto"/>
                <w:sz w:val="24"/>
                <w:szCs w:val="24"/>
                <w:lang w:val="en-US" w:eastAsia="zh-CN"/>
              </w:rPr>
              <w:t>4.</w:t>
            </w:r>
            <w:r>
              <w:rPr>
                <w:rFonts w:hint="eastAsia"/>
                <w:color w:val="auto"/>
                <w:sz w:val="24"/>
                <w:szCs w:val="24"/>
                <w:lang w:val="en-US" w:eastAsia="zh-CN"/>
              </w:rPr>
              <w:t xml:space="preserve">4-3 </w:t>
            </w:r>
            <w:r>
              <w:rPr>
                <w:rFonts w:hint="default"/>
                <w:color w:val="auto"/>
                <w:sz w:val="24"/>
                <w:szCs w:val="24"/>
                <w:lang w:val="en-US" w:eastAsia="zh-CN"/>
              </w:rPr>
              <w:t>项目</w:t>
            </w:r>
            <w:r>
              <w:rPr>
                <w:rFonts w:hint="eastAsia"/>
                <w:color w:val="auto"/>
                <w:sz w:val="24"/>
                <w:szCs w:val="24"/>
                <w:lang w:val="en-US" w:eastAsia="zh-CN"/>
              </w:rPr>
              <w:t>噪声</w:t>
            </w:r>
            <w:r>
              <w:rPr>
                <w:rFonts w:hint="default"/>
                <w:color w:val="auto"/>
                <w:sz w:val="24"/>
                <w:szCs w:val="24"/>
              </w:rPr>
              <w:t>自行监测计划</w:t>
            </w:r>
          </w:p>
          <w:tbl>
            <w:tblPr>
              <w:tblStyle w:val="25"/>
              <w:tblW w:w="7915"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1"/>
              <w:gridCol w:w="2393"/>
              <w:gridCol w:w="2021"/>
              <w:gridCol w:w="27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01" w:type="dxa"/>
                  <w:tcBorders>
                    <w:tl2br w:val="nil"/>
                    <w:tr2bl w:val="nil"/>
                  </w:tcBorders>
                  <w:vAlign w:val="center"/>
                </w:tcPr>
                <w:p>
                  <w:pPr>
                    <w:pStyle w:val="28"/>
                    <w:bidi w:val="0"/>
                    <w:rPr>
                      <w:rFonts w:hint="default"/>
                      <w:color w:val="auto"/>
                      <w:lang w:eastAsia="zh-CN"/>
                    </w:rPr>
                  </w:pPr>
                  <w:r>
                    <w:rPr>
                      <w:rFonts w:hint="default"/>
                      <w:color w:val="auto"/>
                      <w:lang w:eastAsia="zh-CN"/>
                    </w:rPr>
                    <w:t>序号</w:t>
                  </w:r>
                </w:p>
              </w:tc>
              <w:tc>
                <w:tcPr>
                  <w:tcW w:w="2393" w:type="dxa"/>
                  <w:tcBorders>
                    <w:tl2br w:val="nil"/>
                    <w:tr2bl w:val="nil"/>
                  </w:tcBorders>
                  <w:vAlign w:val="center"/>
                </w:tcPr>
                <w:p>
                  <w:pPr>
                    <w:pStyle w:val="28"/>
                    <w:bidi w:val="0"/>
                    <w:rPr>
                      <w:rFonts w:hint="default"/>
                      <w:color w:val="auto"/>
                      <w:lang w:eastAsia="zh-CN"/>
                    </w:rPr>
                  </w:pPr>
                  <w:r>
                    <w:rPr>
                      <w:rFonts w:hint="default"/>
                      <w:color w:val="auto"/>
                      <w:lang w:eastAsia="zh-CN"/>
                    </w:rPr>
                    <w:t>监测点位</w:t>
                  </w:r>
                </w:p>
              </w:tc>
              <w:tc>
                <w:tcPr>
                  <w:tcW w:w="2021" w:type="dxa"/>
                  <w:tcBorders>
                    <w:tl2br w:val="nil"/>
                    <w:tr2bl w:val="nil"/>
                  </w:tcBorders>
                  <w:vAlign w:val="center"/>
                </w:tcPr>
                <w:p>
                  <w:pPr>
                    <w:pStyle w:val="28"/>
                    <w:bidi w:val="0"/>
                    <w:rPr>
                      <w:rFonts w:hint="default"/>
                      <w:color w:val="auto"/>
                      <w:lang w:eastAsia="zh-CN"/>
                    </w:rPr>
                  </w:pPr>
                  <w:r>
                    <w:rPr>
                      <w:rFonts w:hint="default"/>
                      <w:color w:val="auto"/>
                      <w:lang w:eastAsia="zh-CN"/>
                    </w:rPr>
                    <w:t>监测因子</w:t>
                  </w:r>
                </w:p>
              </w:tc>
              <w:tc>
                <w:tcPr>
                  <w:tcW w:w="2700" w:type="dxa"/>
                  <w:tcBorders>
                    <w:tl2br w:val="nil"/>
                    <w:tr2bl w:val="nil"/>
                  </w:tcBorders>
                  <w:vAlign w:val="center"/>
                </w:tcPr>
                <w:p>
                  <w:pPr>
                    <w:pStyle w:val="28"/>
                    <w:bidi w:val="0"/>
                    <w:rPr>
                      <w:rFonts w:hint="default"/>
                      <w:color w:val="auto"/>
                      <w:lang w:eastAsia="zh-CN"/>
                    </w:rPr>
                  </w:pPr>
                  <w:r>
                    <w:rPr>
                      <w:rFonts w:hint="eastAsia"/>
                      <w:color w:val="auto"/>
                      <w:lang w:eastAsia="zh-CN"/>
                    </w:rPr>
                    <w:t>监测</w:t>
                  </w:r>
                  <w:r>
                    <w:rPr>
                      <w:rFonts w:hint="default"/>
                      <w:color w:val="auto"/>
                      <w:lang w:eastAsia="zh-CN"/>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trPr>
              <w:tc>
                <w:tcPr>
                  <w:tcW w:w="801" w:type="dxa"/>
                  <w:tcBorders>
                    <w:tl2br w:val="nil"/>
                    <w:tr2bl w:val="nil"/>
                  </w:tcBorders>
                  <w:vAlign w:val="center"/>
                </w:tcPr>
                <w:p>
                  <w:pPr>
                    <w:pStyle w:val="28"/>
                    <w:bidi w:val="0"/>
                    <w:rPr>
                      <w:rFonts w:hint="default"/>
                      <w:color w:val="auto"/>
                      <w:lang w:val="en-US" w:eastAsia="zh-CN"/>
                    </w:rPr>
                  </w:pPr>
                  <w:r>
                    <w:rPr>
                      <w:rFonts w:hint="default"/>
                      <w:color w:val="auto"/>
                      <w:lang w:val="en-US" w:eastAsia="zh-CN"/>
                    </w:rPr>
                    <w:t>1</w:t>
                  </w:r>
                </w:p>
              </w:tc>
              <w:tc>
                <w:tcPr>
                  <w:tcW w:w="2393" w:type="dxa"/>
                  <w:tcBorders>
                    <w:tl2br w:val="nil"/>
                    <w:tr2bl w:val="nil"/>
                  </w:tcBorders>
                  <w:vAlign w:val="center"/>
                </w:tcPr>
                <w:p>
                  <w:pPr>
                    <w:pStyle w:val="28"/>
                    <w:bidi w:val="0"/>
                    <w:rPr>
                      <w:rFonts w:hint="default"/>
                      <w:color w:val="auto"/>
                      <w:lang w:val="en-US" w:eastAsia="zh-CN"/>
                    </w:rPr>
                  </w:pPr>
                  <w:r>
                    <w:rPr>
                      <w:rFonts w:hint="eastAsia"/>
                      <w:color w:val="auto"/>
                      <w:lang w:val="en-US" w:eastAsia="zh-CN"/>
                    </w:rPr>
                    <w:t>厂界四周</w:t>
                  </w:r>
                </w:p>
              </w:tc>
              <w:tc>
                <w:tcPr>
                  <w:tcW w:w="2021" w:type="dxa"/>
                  <w:tcBorders>
                    <w:tl2br w:val="nil"/>
                    <w:tr2bl w:val="nil"/>
                  </w:tcBorders>
                  <w:vAlign w:val="center"/>
                </w:tcPr>
                <w:p>
                  <w:pPr>
                    <w:pStyle w:val="28"/>
                    <w:bidi w:val="0"/>
                    <w:rPr>
                      <w:rFonts w:hint="default"/>
                      <w:color w:val="auto"/>
                      <w:lang w:val="en-US" w:eastAsia="zh-CN"/>
                    </w:rPr>
                  </w:pPr>
                  <w:r>
                    <w:rPr>
                      <w:rFonts w:hint="eastAsia"/>
                      <w:color w:val="auto"/>
                      <w:lang w:eastAsia="zh-CN"/>
                    </w:rPr>
                    <w:t>等效</w:t>
                  </w:r>
                  <w:r>
                    <w:rPr>
                      <w:rFonts w:hint="eastAsia"/>
                      <w:color w:val="auto"/>
                      <w:lang w:val="en-US" w:eastAsia="zh-CN"/>
                    </w:rPr>
                    <w:t>A声级</w:t>
                  </w:r>
                </w:p>
              </w:tc>
              <w:tc>
                <w:tcPr>
                  <w:tcW w:w="2700" w:type="dxa"/>
                  <w:tcBorders>
                    <w:tl2br w:val="nil"/>
                    <w:tr2bl w:val="nil"/>
                  </w:tcBorders>
                  <w:vAlign w:val="center"/>
                </w:tcPr>
                <w:p>
                  <w:pPr>
                    <w:pStyle w:val="28"/>
                    <w:bidi w:val="0"/>
                    <w:rPr>
                      <w:rFonts w:hint="default"/>
                      <w:color w:val="auto"/>
                      <w:lang w:val="en-US" w:eastAsia="zh-CN"/>
                    </w:rPr>
                  </w:pPr>
                  <w:r>
                    <w:rPr>
                      <w:rFonts w:hint="default"/>
                      <w:color w:val="auto"/>
                      <w:lang w:val="en-US" w:eastAsia="zh-CN"/>
                    </w:rPr>
                    <w:t>1天/季度、1次/天</w:t>
                  </w:r>
                  <w:r>
                    <w:rPr>
                      <w:rFonts w:hint="eastAsia"/>
                      <w:color w:val="auto"/>
                      <w:lang w:val="en-US" w:eastAsia="zh-CN"/>
                    </w:rPr>
                    <w:t>（</w:t>
                  </w:r>
                  <w:r>
                    <w:rPr>
                      <w:rFonts w:hint="default"/>
                      <w:color w:val="auto"/>
                      <w:lang w:val="en-US" w:eastAsia="zh-CN"/>
                    </w:rPr>
                    <w:t>昼间</w:t>
                  </w:r>
                  <w:r>
                    <w:rPr>
                      <w:rFonts w:hint="eastAsia"/>
                      <w:color w:val="auto"/>
                      <w:lang w:val="en-US" w:eastAsia="zh-CN"/>
                    </w:rPr>
                    <w:t>）</w:t>
                  </w:r>
                </w:p>
              </w:tc>
            </w:tr>
          </w:tbl>
          <w:p>
            <w:pPr>
              <w:pStyle w:val="3"/>
              <w:bidi w:val="0"/>
              <w:rPr>
                <w:rFonts w:hint="default"/>
                <w:color w:val="auto"/>
              </w:rPr>
            </w:pPr>
            <w:r>
              <w:rPr>
                <w:rFonts w:hint="default"/>
                <w:color w:val="auto"/>
              </w:rPr>
              <w:t>4.</w:t>
            </w:r>
            <w:r>
              <w:rPr>
                <w:rFonts w:hint="eastAsia"/>
                <w:color w:val="auto"/>
                <w:lang w:val="en-US" w:eastAsia="zh-CN"/>
              </w:rPr>
              <w:t>5</w:t>
            </w:r>
            <w:r>
              <w:rPr>
                <w:rFonts w:hint="default"/>
                <w:color w:val="auto"/>
              </w:rPr>
              <w:t>运营期固体废物影响分析和污染防治措施</w:t>
            </w:r>
          </w:p>
          <w:p>
            <w:pPr>
              <w:pStyle w:val="4"/>
              <w:bidi w:val="0"/>
              <w:rPr>
                <w:rFonts w:hint="default"/>
                <w:color w:val="auto"/>
              </w:rPr>
            </w:pPr>
            <w:r>
              <w:rPr>
                <w:rFonts w:hint="default"/>
                <w:color w:val="auto"/>
              </w:rPr>
              <w:t>4.</w:t>
            </w:r>
            <w:r>
              <w:rPr>
                <w:rFonts w:hint="eastAsia"/>
                <w:color w:val="auto"/>
                <w:lang w:val="en-US" w:eastAsia="zh-CN"/>
              </w:rPr>
              <w:t>5</w:t>
            </w:r>
            <w:r>
              <w:rPr>
                <w:rFonts w:hint="default"/>
                <w:color w:val="auto"/>
              </w:rPr>
              <w:t>.1 运营期固废物源强核算</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default"/>
                <w:b/>
                <w:bCs/>
                <w:color w:val="auto"/>
                <w:lang w:eastAsia="zh-CN"/>
              </w:rPr>
              <w:t>一般工业固废</w:t>
            </w:r>
          </w:p>
          <w:p>
            <w:pPr>
              <w:bidi w:val="0"/>
              <w:rPr>
                <w:rFonts w:hint="eastAsia"/>
                <w:color w:val="auto"/>
                <w:lang w:eastAsia="zh-CN"/>
              </w:rPr>
            </w:pPr>
            <w:r>
              <w:rPr>
                <w:rFonts w:hint="eastAsia"/>
                <w:color w:val="auto"/>
                <w:lang w:eastAsia="zh-CN"/>
              </w:rPr>
              <w:t>①废混凝土</w:t>
            </w:r>
          </w:p>
          <w:p>
            <w:pPr>
              <w:bidi w:val="0"/>
              <w:rPr>
                <w:rFonts w:hint="eastAsia"/>
                <w:color w:val="auto"/>
              </w:rPr>
            </w:pPr>
            <w:r>
              <w:rPr>
                <w:rFonts w:hint="eastAsia"/>
                <w:color w:val="auto"/>
                <w:lang w:eastAsia="zh-CN"/>
              </w:rPr>
              <w:t>项目模具清理、浇灌布料、搅拌过程中将</w:t>
            </w:r>
            <w:r>
              <w:rPr>
                <w:rFonts w:hint="eastAsia"/>
                <w:color w:val="auto"/>
              </w:rPr>
              <w:t>产生少量</w:t>
            </w:r>
            <w:r>
              <w:rPr>
                <w:rFonts w:hint="eastAsia"/>
                <w:color w:val="auto"/>
                <w:lang w:eastAsia="zh-CN"/>
              </w:rPr>
              <w:t>废</w:t>
            </w:r>
            <w:r>
              <w:rPr>
                <w:rFonts w:hint="eastAsia"/>
                <w:color w:val="auto"/>
              </w:rPr>
              <w:t>混凝土，</w:t>
            </w:r>
            <w:r>
              <w:rPr>
                <w:rFonts w:hint="eastAsia"/>
                <w:color w:val="auto"/>
                <w:lang w:val="en-US" w:eastAsia="zh-CN"/>
              </w:rPr>
              <w:t>根据建设单位提供资料，</w:t>
            </w:r>
            <w:r>
              <w:rPr>
                <w:rFonts w:hint="eastAsia"/>
                <w:color w:val="auto"/>
              </w:rPr>
              <w:t>产生量约为</w:t>
            </w:r>
            <w:r>
              <w:rPr>
                <w:rFonts w:hint="eastAsia"/>
                <w:color w:val="auto"/>
                <w:lang w:eastAsia="zh-CN"/>
              </w:rPr>
              <w:t>预拌混凝土量的</w:t>
            </w:r>
            <w:r>
              <w:rPr>
                <w:rFonts w:hint="eastAsia"/>
                <w:color w:val="auto"/>
                <w:lang w:val="en-US" w:eastAsia="zh-CN"/>
              </w:rPr>
              <w:t>0.5%，项目</w:t>
            </w:r>
            <w:r>
              <w:rPr>
                <w:rFonts w:hint="eastAsia"/>
                <w:color w:val="auto"/>
                <w:lang w:eastAsia="zh-CN"/>
              </w:rPr>
              <w:t>预</w:t>
            </w:r>
            <w:r>
              <w:rPr>
                <w:rFonts w:hint="eastAsia"/>
                <w:color w:val="auto"/>
                <w:lang w:val="en-US" w:eastAsia="zh-CN"/>
              </w:rPr>
              <w:t>拌混凝土量约为230万t/a（含外售商砼和预制砼结构件用量），则项目废混凝土产生量约为11500/a，经及时收集后回用于生产</w:t>
            </w:r>
            <w:r>
              <w:rPr>
                <w:rFonts w:hint="eastAsia"/>
                <w:color w:val="auto"/>
              </w:rPr>
              <w:t>。对照《固体废物分类与代码目录》（公告2024年第4号），废混凝土一般工业固废代码为</w:t>
            </w:r>
            <w:r>
              <w:rPr>
                <w:rFonts w:hint="eastAsia"/>
                <w:color w:val="auto"/>
                <w:lang w:val="en-US" w:eastAsia="zh-CN"/>
              </w:rPr>
              <w:t>900-099-S17</w:t>
            </w:r>
            <w:r>
              <w:rPr>
                <w:rFonts w:hint="eastAsia"/>
                <w:color w:val="auto"/>
              </w:rPr>
              <w:t>。</w:t>
            </w:r>
          </w:p>
          <w:p>
            <w:pPr>
              <w:bidi w:val="0"/>
              <w:rPr>
                <w:rFonts w:hint="eastAsia"/>
                <w:color w:val="auto"/>
                <w:lang w:val="en-US" w:eastAsia="zh-CN"/>
              </w:rPr>
            </w:pPr>
            <w:r>
              <w:rPr>
                <w:rFonts w:hint="eastAsia"/>
                <w:color w:val="auto"/>
                <w:lang w:val="en-US" w:eastAsia="zh-CN"/>
              </w:rPr>
              <w:t>②废钢材</w:t>
            </w:r>
          </w:p>
          <w:p>
            <w:pPr>
              <w:bidi w:val="0"/>
              <w:rPr>
                <w:rFonts w:hint="eastAsia"/>
                <w:color w:val="auto"/>
              </w:rPr>
            </w:pPr>
            <w:r>
              <w:rPr>
                <w:rFonts w:hint="eastAsia"/>
                <w:color w:val="auto"/>
              </w:rPr>
              <w:t>项目</w:t>
            </w:r>
            <w:r>
              <w:rPr>
                <w:rFonts w:hint="eastAsia"/>
                <w:color w:val="auto"/>
                <w:lang w:eastAsia="zh-CN"/>
              </w:rPr>
              <w:t>钢筋笼制作、开模放张的切断切割过程会产生废钢材，</w:t>
            </w:r>
            <w:r>
              <w:rPr>
                <w:rFonts w:hint="eastAsia"/>
                <w:color w:val="auto"/>
              </w:rPr>
              <w:t>产生率约为钢材的</w:t>
            </w:r>
            <w:r>
              <w:rPr>
                <w:rFonts w:hint="eastAsia"/>
                <w:color w:val="auto"/>
                <w:lang w:val="en-US" w:eastAsia="zh-CN"/>
              </w:rPr>
              <w:t>0.5</w:t>
            </w:r>
            <w:r>
              <w:rPr>
                <w:rFonts w:hint="eastAsia"/>
                <w:color w:val="auto"/>
              </w:rPr>
              <w:t>%，项目钢材（</w:t>
            </w:r>
            <w:r>
              <w:rPr>
                <w:rFonts w:hint="eastAsia"/>
                <w:color w:val="auto"/>
                <w:lang w:eastAsia="zh-CN"/>
              </w:rPr>
              <w:t>钢棒、</w:t>
            </w:r>
            <w:r>
              <w:rPr>
                <w:rFonts w:hint="eastAsia"/>
                <w:color w:val="auto"/>
                <w:lang w:val="en-US" w:eastAsia="zh-CN"/>
              </w:rPr>
              <w:t>钢筋</w:t>
            </w:r>
            <w:r>
              <w:rPr>
                <w:rFonts w:hint="eastAsia"/>
                <w:color w:val="auto"/>
                <w:lang w:eastAsia="zh-CN"/>
              </w:rPr>
              <w:t>、</w:t>
            </w:r>
            <w:r>
              <w:rPr>
                <w:rFonts w:hint="eastAsia"/>
                <w:color w:val="auto"/>
                <w:lang w:val="en-US" w:eastAsia="zh-CN"/>
              </w:rPr>
              <w:t>螺旋筋</w:t>
            </w:r>
            <w:r>
              <w:rPr>
                <w:rFonts w:hint="eastAsia"/>
                <w:color w:val="auto"/>
              </w:rPr>
              <w:t>）总用量约为</w:t>
            </w:r>
            <w:r>
              <w:rPr>
                <w:rFonts w:hint="eastAsia"/>
                <w:color w:val="auto"/>
                <w:lang w:val="en-US" w:eastAsia="zh-CN"/>
              </w:rPr>
              <w:t>7万</w:t>
            </w:r>
            <w:r>
              <w:rPr>
                <w:rFonts w:hint="eastAsia"/>
                <w:color w:val="auto"/>
              </w:rPr>
              <w:t>t/a，则</w:t>
            </w:r>
            <w:r>
              <w:rPr>
                <w:rFonts w:hint="eastAsia"/>
                <w:color w:val="auto"/>
                <w:lang w:eastAsia="zh-CN"/>
              </w:rPr>
              <w:t>钢材边角料</w:t>
            </w:r>
            <w:r>
              <w:rPr>
                <w:rFonts w:hint="eastAsia"/>
                <w:color w:val="auto"/>
              </w:rPr>
              <w:t>产生量约为</w:t>
            </w:r>
            <w:r>
              <w:rPr>
                <w:rFonts w:hint="eastAsia"/>
                <w:color w:val="auto"/>
                <w:lang w:val="en-US" w:eastAsia="zh-CN"/>
              </w:rPr>
              <w:t>350</w:t>
            </w:r>
            <w:r>
              <w:rPr>
                <w:rFonts w:hint="eastAsia"/>
                <w:color w:val="auto"/>
              </w:rPr>
              <w:t>t/a，经收集后在一般固废暂存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。对照《固体废物分类与代码目录》（公告2024年第4号），钢材边角料一般工业固废代码为</w:t>
            </w:r>
            <w:r>
              <w:rPr>
                <w:rFonts w:hint="eastAsia"/>
                <w:color w:val="auto"/>
                <w:lang w:val="en-US" w:eastAsia="zh-CN"/>
              </w:rPr>
              <w:t>900-001-S17</w:t>
            </w:r>
            <w:r>
              <w:rPr>
                <w:rFonts w:hint="eastAsia"/>
                <w:color w:val="auto"/>
              </w:rPr>
              <w:t>。</w:t>
            </w:r>
          </w:p>
          <w:p>
            <w:pPr>
              <w:bidi w:val="0"/>
              <w:rPr>
                <w:rFonts w:hint="eastAsia"/>
                <w:color w:val="auto"/>
                <w:lang w:val="en-US" w:eastAsia="zh-CN"/>
              </w:rPr>
            </w:pPr>
            <w:r>
              <w:rPr>
                <w:rFonts w:hint="eastAsia"/>
                <w:color w:val="auto"/>
                <w:lang w:val="en-US" w:eastAsia="zh-CN"/>
              </w:rPr>
              <w:t>③焊渣</w:t>
            </w:r>
          </w:p>
          <w:p>
            <w:pPr>
              <w:bidi w:val="0"/>
              <w:rPr>
                <w:rFonts w:hint="eastAsia" w:ascii="Times New Roman" w:hAnsi="Times New Roman" w:eastAsia="宋体" w:cs="Times New Roman"/>
                <w:color w:val="auto"/>
                <w:spacing w:val="0"/>
                <w:szCs w:val="24"/>
                <w:highlight w:val="green"/>
                <w:lang w:val="en-US" w:eastAsia="zh-CN"/>
              </w:rPr>
            </w:pPr>
            <w:r>
              <w:rPr>
                <w:rFonts w:hint="eastAsia"/>
                <w:color w:val="auto"/>
                <w:lang w:val="en-US" w:eastAsia="zh-CN"/>
              </w:rPr>
              <w:t>项目钢筋笼制作焊接使用无铅焊条，焊接过程将产生少量的焊渣，根据《机加工行业环境影响评价中常见污染物源强估算及污染治理》（许海萍等，《湖北大学学报（自然科学版），2010年9月第32卷第3期》），焊渣=焊条使用量×（1/11+4%）。项目无铅焊条用量约0.12t/a，则项目焊渣的产生量为0.0157t/a，经收集后在一般固废暂存间内分类暂存，交由合规物资回收单位回收利用。对照《固体废物分类与代码目录》（公告2024年第4号），焊渣一般工业固废代码为900-099-S59。</w:t>
            </w:r>
          </w:p>
          <w:p>
            <w:pPr>
              <w:shd w:val="clear" w:fill="FFFFFF" w:themeFill="background1"/>
              <w:bidi w:val="0"/>
              <w:rPr>
                <w:rFonts w:hint="eastAsia"/>
                <w:color w:val="auto"/>
                <w:highlight w:val="none"/>
                <w:lang w:val="en-US" w:eastAsia="zh-CN"/>
              </w:rPr>
            </w:pPr>
            <w:r>
              <w:rPr>
                <w:rFonts w:hint="eastAsia"/>
                <w:color w:val="auto"/>
                <w:highlight w:val="none"/>
                <w:lang w:val="en-US" w:eastAsia="zh-CN"/>
              </w:rPr>
              <w:t>④不合格品</w:t>
            </w:r>
          </w:p>
          <w:p>
            <w:pPr>
              <w:shd w:val="clear" w:fill="FFFFFF" w:themeFill="background1"/>
              <w:bidi w:val="0"/>
              <w:rPr>
                <w:rFonts w:hint="eastAsia" w:ascii="Times New Roman" w:hAnsi="Times New Roman" w:eastAsia="宋体" w:cs="Times New Roman"/>
                <w:color w:val="auto"/>
                <w:spacing w:val="0"/>
                <w:szCs w:val="24"/>
                <w:highlight w:val="none"/>
                <w:lang w:val="en-US" w:eastAsia="zh-CN"/>
              </w:rPr>
            </w:pPr>
            <w:r>
              <w:rPr>
                <w:rFonts w:hint="eastAsia"/>
                <w:color w:val="auto"/>
                <w:highlight w:val="none"/>
                <w:lang w:val="en-US" w:eastAsia="zh-CN"/>
              </w:rPr>
              <w:t>项目产品实验检验将产生一定量的不合格品，根据物料平衡，不合格品产生量约为13090.805t/a，约占总产品的0.5%，经收集后在一般固废暂存间内分类暂存，交由合规物资回收单位回收利用。对照《固体废物分类与代码目录》（公告2024年第4号），不合格品一般工业固废代码为900-099-S17。</w:t>
            </w:r>
          </w:p>
          <w:p>
            <w:pPr>
              <w:bidi w:val="0"/>
              <w:rPr>
                <w:rFonts w:hint="eastAsia"/>
                <w:color w:val="auto"/>
                <w:lang w:val="en-US" w:eastAsia="zh-CN"/>
              </w:rPr>
            </w:pPr>
            <w:r>
              <w:rPr>
                <w:rFonts w:hint="eastAsia"/>
                <w:color w:val="auto"/>
                <w:lang w:val="en-US" w:eastAsia="zh-CN"/>
              </w:rPr>
              <w:t>⑤废包装材料</w:t>
            </w:r>
          </w:p>
          <w:p>
            <w:pPr>
              <w:bidi w:val="0"/>
              <w:rPr>
                <w:rFonts w:hint="eastAsia"/>
                <w:color w:val="auto"/>
                <w:lang w:val="en-US" w:eastAsia="zh-CN"/>
              </w:rPr>
            </w:pPr>
            <w:r>
              <w:rPr>
                <w:rFonts w:hint="eastAsia"/>
                <w:color w:val="auto"/>
                <w:lang w:val="en-US" w:eastAsia="zh-CN"/>
              </w:rPr>
              <w:t>项目一般原辅材料（钢材、外加剂等）使用，会产生废包装材料，主要为纸箱、塑料袋、塑料桶等，根据建设单位提供资料，废包装材料产生量约为3t/a，属于一般工业固废，</w:t>
            </w:r>
            <w:r>
              <w:rPr>
                <w:rFonts w:hint="eastAsia"/>
                <w:color w:val="auto"/>
              </w:rPr>
              <w:t>经收集后在一般固废暂存</w:t>
            </w:r>
            <w:r>
              <w:rPr>
                <w:rFonts w:hint="eastAsia"/>
                <w:color w:val="auto"/>
                <w:lang w:val="en-US" w:eastAsia="zh-CN"/>
              </w:rPr>
              <w:t>间</w:t>
            </w:r>
            <w:r>
              <w:rPr>
                <w:rFonts w:hint="eastAsia"/>
                <w:color w:val="auto"/>
              </w:rPr>
              <w:t>内暂存，</w:t>
            </w:r>
            <w:r>
              <w:rPr>
                <w:rFonts w:hint="eastAsia"/>
                <w:color w:val="auto"/>
                <w:lang w:val="en-US" w:eastAsia="zh-CN"/>
              </w:rPr>
              <w:t>交由合规物资回收单位回收利用</w:t>
            </w:r>
            <w:r>
              <w:rPr>
                <w:rFonts w:hint="eastAsia"/>
                <w:color w:val="auto"/>
              </w:rPr>
              <w:t>。</w:t>
            </w:r>
            <w:r>
              <w:rPr>
                <w:rFonts w:hint="eastAsia"/>
                <w:color w:val="auto"/>
                <w:lang w:val="en-US" w:eastAsia="zh-CN"/>
              </w:rPr>
              <w:t>对照《固体废物分类与代码目录》（公告2024年第4号），废样一般工业固废代码为900-003-S17。</w:t>
            </w:r>
          </w:p>
          <w:p>
            <w:pPr>
              <w:bidi w:val="0"/>
              <w:rPr>
                <w:rFonts w:hint="eastAsia"/>
                <w:color w:val="auto"/>
                <w:lang w:val="en-US" w:eastAsia="zh-CN"/>
              </w:rPr>
            </w:pPr>
            <w:r>
              <w:rPr>
                <w:rFonts w:hint="eastAsia"/>
                <w:color w:val="auto"/>
                <w:lang w:val="en-US" w:eastAsia="zh-CN"/>
              </w:rPr>
              <w:t>⑥工艺收集尘</w:t>
            </w:r>
          </w:p>
          <w:p>
            <w:pPr>
              <w:bidi w:val="0"/>
              <w:rPr>
                <w:rFonts w:hint="eastAsia"/>
                <w:color w:val="auto"/>
              </w:rPr>
            </w:pPr>
            <w:r>
              <w:rPr>
                <w:rFonts w:hint="eastAsia"/>
                <w:color w:val="auto"/>
              </w:rPr>
              <w:t>项目</w:t>
            </w:r>
            <w:r>
              <w:rPr>
                <w:rFonts w:hint="eastAsia"/>
                <w:color w:val="auto"/>
                <w:lang w:eastAsia="zh-CN"/>
              </w:rPr>
              <w:t>粉料仓</w:t>
            </w:r>
            <w:r>
              <w:rPr>
                <w:rFonts w:hint="eastAsia"/>
                <w:color w:val="auto"/>
              </w:rPr>
              <w:t>呼吸尘配套袋式除尘器</w:t>
            </w:r>
            <w:r>
              <w:rPr>
                <w:rFonts w:hint="eastAsia"/>
                <w:color w:val="auto"/>
                <w:lang w:val="en-US" w:eastAsia="zh-CN"/>
              </w:rPr>
              <w:t>、建筑垃圾回收利用生产线安装布袋除尘器</w:t>
            </w:r>
            <w:r>
              <w:rPr>
                <w:rFonts w:hint="eastAsia"/>
                <w:color w:val="auto"/>
              </w:rPr>
              <w:t>进行收集除尘</w:t>
            </w:r>
            <w:r>
              <w:rPr>
                <w:rFonts w:hint="eastAsia"/>
                <w:color w:val="auto"/>
                <w:lang w:eastAsia="zh-CN"/>
              </w:rPr>
              <w:t>，</w:t>
            </w:r>
            <w:r>
              <w:rPr>
                <w:rFonts w:hint="eastAsia"/>
                <w:color w:val="auto"/>
              </w:rPr>
              <w:t>根据</w:t>
            </w:r>
            <w:r>
              <w:rPr>
                <w:rFonts w:hint="eastAsia"/>
                <w:color w:val="auto"/>
                <w:lang w:val="en-US" w:eastAsia="zh-CN"/>
              </w:rPr>
              <w:t>前文</w:t>
            </w:r>
            <w:r>
              <w:rPr>
                <w:rFonts w:hint="eastAsia"/>
                <w:color w:val="auto"/>
              </w:rPr>
              <w:t>工程分析，</w:t>
            </w:r>
            <w:r>
              <w:rPr>
                <w:rFonts w:hint="eastAsia"/>
                <w:color w:val="auto"/>
                <w:lang w:eastAsia="zh-CN"/>
              </w:rPr>
              <w:t>粉料仓</w:t>
            </w:r>
            <w:r>
              <w:rPr>
                <w:rFonts w:hint="eastAsia"/>
                <w:color w:val="auto"/>
              </w:rPr>
              <w:t>呼吸尘</w:t>
            </w:r>
            <w:r>
              <w:rPr>
                <w:rFonts w:hint="eastAsia"/>
                <w:color w:val="auto"/>
                <w:lang w:val="en-US" w:eastAsia="zh-CN"/>
              </w:rPr>
              <w:t>与建筑垃圾回收利用生产线收集到的有组织</w:t>
            </w:r>
            <w:r>
              <w:rPr>
                <w:rFonts w:hint="eastAsia"/>
                <w:color w:val="auto"/>
              </w:rPr>
              <w:t>粉尘量</w:t>
            </w:r>
            <w:r>
              <w:rPr>
                <w:rFonts w:hint="eastAsia"/>
                <w:color w:val="auto"/>
                <w:lang w:val="en-US" w:eastAsia="zh-CN"/>
              </w:rPr>
              <w:t>合计</w:t>
            </w:r>
            <w:r>
              <w:rPr>
                <w:rFonts w:hint="eastAsia"/>
                <w:color w:val="auto"/>
              </w:rPr>
              <w:t>约为</w:t>
            </w:r>
            <w:r>
              <w:rPr>
                <w:rFonts w:hint="eastAsia"/>
                <w:color w:val="auto"/>
                <w:lang w:val="en-US" w:eastAsia="zh-CN"/>
              </w:rPr>
              <w:t>136.694</w:t>
            </w:r>
            <w:r>
              <w:rPr>
                <w:rFonts w:hint="eastAsia"/>
                <w:color w:val="auto"/>
              </w:rPr>
              <w:t>t/a，经收集后全部回用于生产。对照《固体废物分类与代码目录》（公告2024年第4号），</w:t>
            </w:r>
            <w:r>
              <w:rPr>
                <w:rFonts w:hint="eastAsia"/>
                <w:color w:val="auto"/>
                <w:lang w:val="en-US" w:eastAsia="zh-CN"/>
              </w:rPr>
              <w:t>工艺收集尘</w:t>
            </w:r>
            <w:r>
              <w:rPr>
                <w:rFonts w:hint="eastAsia"/>
                <w:color w:val="auto"/>
              </w:rPr>
              <w:t>一般工业固废代码为</w:t>
            </w:r>
            <w:r>
              <w:rPr>
                <w:rFonts w:hint="eastAsia"/>
                <w:color w:val="auto"/>
                <w:lang w:val="en-US" w:eastAsia="zh-CN"/>
              </w:rPr>
              <w:t>900-099-S17</w:t>
            </w:r>
            <w:r>
              <w:rPr>
                <w:rFonts w:hint="eastAsia"/>
                <w:color w:val="auto"/>
              </w:rPr>
              <w:t>。</w:t>
            </w:r>
          </w:p>
          <w:p>
            <w:pPr>
              <w:bidi w:val="0"/>
              <w:rPr>
                <w:rFonts w:hint="eastAsia"/>
                <w:color w:val="auto"/>
                <w:lang w:eastAsia="zh-CN"/>
              </w:rPr>
            </w:pPr>
            <w:r>
              <w:rPr>
                <w:rFonts w:hint="eastAsia"/>
                <w:color w:val="auto"/>
                <w:lang w:val="en-US" w:eastAsia="zh-CN"/>
              </w:rPr>
              <w:t>⑦</w:t>
            </w:r>
            <w:r>
              <w:rPr>
                <w:rFonts w:hint="eastAsia"/>
                <w:color w:val="auto"/>
                <w:lang w:eastAsia="zh-CN"/>
              </w:rPr>
              <w:t>废水处理沉渣</w:t>
            </w:r>
          </w:p>
          <w:p>
            <w:pPr>
              <w:bidi w:val="0"/>
              <w:rPr>
                <w:rFonts w:hint="eastAsia"/>
                <w:color w:val="auto"/>
              </w:rPr>
            </w:pPr>
            <w:r>
              <w:rPr>
                <w:rFonts w:hint="eastAsia"/>
                <w:color w:val="auto"/>
              </w:rPr>
              <w:t>根据前文分析，沉渣是项目生产废水（</w:t>
            </w:r>
            <w:r>
              <w:rPr>
                <w:rFonts w:hint="eastAsia"/>
                <w:color w:val="auto"/>
                <w:lang w:eastAsia="zh-CN"/>
              </w:rPr>
              <w:t>设备清洗废水、地面冲洗废水、</w:t>
            </w:r>
            <w:r>
              <w:rPr>
                <w:rFonts w:hint="eastAsia"/>
                <w:color w:val="auto"/>
              </w:rPr>
              <w:t>洗车废水</w:t>
            </w:r>
            <w:r>
              <w:rPr>
                <w:rFonts w:hint="eastAsia"/>
                <w:color w:val="auto"/>
                <w:lang w:eastAsia="zh-CN"/>
              </w:rPr>
              <w:t>、试验清洗废水</w:t>
            </w:r>
            <w:r>
              <w:rPr>
                <w:rFonts w:hint="eastAsia"/>
                <w:color w:val="auto"/>
              </w:rPr>
              <w:t>）</w:t>
            </w:r>
            <w:r>
              <w:rPr>
                <w:rFonts w:hint="eastAsia"/>
                <w:color w:val="auto"/>
                <w:lang w:eastAsia="zh-CN"/>
              </w:rPr>
              <w:t>、</w:t>
            </w:r>
            <w:r>
              <w:rPr>
                <w:rFonts w:hint="eastAsia"/>
                <w:color w:val="auto"/>
                <w:lang w:val="en-US" w:eastAsia="zh-CN"/>
              </w:rPr>
              <w:t>洗砂废水</w:t>
            </w:r>
            <w:r>
              <w:rPr>
                <w:rFonts w:hint="eastAsia"/>
                <w:color w:val="auto"/>
              </w:rPr>
              <w:t>及收集</w:t>
            </w:r>
            <w:r>
              <w:rPr>
                <w:rFonts w:hint="eastAsia"/>
                <w:color w:val="auto"/>
                <w:lang w:eastAsia="zh-CN"/>
              </w:rPr>
              <w:t>初期</w:t>
            </w:r>
            <w:r>
              <w:rPr>
                <w:rFonts w:hint="eastAsia"/>
                <w:color w:val="auto"/>
              </w:rPr>
              <w:t>雨水经沉淀</w:t>
            </w:r>
            <w:r>
              <w:rPr>
                <w:rFonts w:hint="eastAsia"/>
                <w:color w:val="auto"/>
                <w:lang w:eastAsia="zh-CN"/>
              </w:rPr>
              <w:t>处理</w:t>
            </w:r>
            <w:r>
              <w:rPr>
                <w:rFonts w:hint="eastAsia"/>
                <w:color w:val="auto"/>
              </w:rPr>
              <w:t>产生的沉渣，主要成分为泥砂、水泥、碎石等，不含有毒有害物质，无腐蚀性、反应性。</w:t>
            </w:r>
            <w:r>
              <w:rPr>
                <w:rFonts w:hint="eastAsia"/>
                <w:color w:val="auto"/>
                <w:lang w:val="en-US" w:eastAsia="zh-CN"/>
              </w:rPr>
              <w:t>根据建设单位提供资料，项目生产废水和收集初期雨水主要污染物为SS，浓度大约2000mg/L，废水及初期雨水（按120d/a降雨计）总量约为36784.14t/a，斜坡沉淀池对SS的处理效率可达90%，沉渣经压滤后含水率约为60%，则项目沉渣产生量约为165.53t/a，经</w:t>
            </w:r>
            <w:r>
              <w:rPr>
                <w:rFonts w:hint="eastAsia" w:ascii="Times New Roman" w:hAnsi="Times New Roman" w:eastAsia="宋体" w:cs="Times New Roman"/>
                <w:color w:val="auto"/>
                <w:lang w:val="en-US" w:eastAsia="zh-CN"/>
              </w:rPr>
              <w:t>砂石分离机、压滤机分别处理后，</w:t>
            </w:r>
            <w:r>
              <w:rPr>
                <w:rFonts w:hint="eastAsia"/>
                <w:color w:val="auto"/>
                <w:lang w:val="en-US" w:eastAsia="zh-CN"/>
              </w:rPr>
              <w:t>回用于生产。</w:t>
            </w:r>
            <w:r>
              <w:rPr>
                <w:rFonts w:hint="eastAsia"/>
                <w:color w:val="auto"/>
              </w:rPr>
              <w:t>对照《固体废物分类与代码目录》（公告2024年第4号），废水处理设施沉渣一般工业固废代码为</w:t>
            </w:r>
            <w:r>
              <w:rPr>
                <w:rFonts w:hint="eastAsia"/>
                <w:color w:val="auto"/>
                <w:lang w:val="en-US" w:eastAsia="zh-CN"/>
              </w:rPr>
              <w:t>900-099-S17</w:t>
            </w:r>
            <w:r>
              <w:rPr>
                <w:rFonts w:hint="eastAsia"/>
                <w:color w:val="auto"/>
              </w:rPr>
              <w:t>。</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⑧洗砂废水处理渣</w:t>
            </w:r>
          </w:p>
          <w:p>
            <w:pPr>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根据前文工程分析，洗砂废水处理渣主要是建筑垃圾回收利用生产线将</w:t>
            </w:r>
            <w:r>
              <w:rPr>
                <w:rFonts w:hint="eastAsia" w:cs="Times New Roman"/>
                <w:color w:val="auto"/>
                <w:lang w:val="en-US" w:eastAsia="zh-CN"/>
              </w:rPr>
              <w:t>石方料</w:t>
            </w:r>
            <w:r>
              <w:rPr>
                <w:rFonts w:hint="eastAsia" w:ascii="Times New Roman" w:hAnsi="Times New Roman" w:eastAsia="宋体" w:cs="Times New Roman"/>
                <w:color w:val="auto"/>
                <w:lang w:val="en-US" w:eastAsia="zh-CN"/>
              </w:rPr>
              <w:t>破碎后洗砂工序产生的废水，通过在污水罐中沉积和加药絮凝之后，压滤机压制形成。主要成分为碎石粉末，不含有毒有害物质，无腐蚀性、反应性。洗砂废水中SS的浓度一般为3000mg/L，洗砂废水量为13.68万t/a，加药絮凝对于洗砂这类高浓度ss废水的处理效率一般为</w:t>
            </w:r>
            <w:r>
              <w:rPr>
                <w:rFonts w:hint="eastAsia" w:cs="Times New Roman"/>
                <w:color w:val="auto"/>
                <w:lang w:val="en-US" w:eastAsia="zh-CN"/>
              </w:rPr>
              <w:t>96.2</w:t>
            </w:r>
            <w:r>
              <w:rPr>
                <w:rFonts w:hint="eastAsia" w:ascii="Times New Roman" w:hAnsi="Times New Roman" w:eastAsia="宋体" w:cs="Times New Roman"/>
                <w:color w:val="auto"/>
                <w:lang w:val="en-US" w:eastAsia="zh-CN"/>
              </w:rPr>
              <w:t>%</w:t>
            </w:r>
            <w:r>
              <w:rPr>
                <w:rFonts w:hint="eastAsia" w:cs="Times New Roman"/>
                <w:color w:val="auto"/>
                <w:lang w:val="en-US" w:eastAsia="zh-CN"/>
              </w:rPr>
              <w:t>-97.5</w:t>
            </w:r>
            <w:r>
              <w:rPr>
                <w:rFonts w:hint="eastAsia" w:ascii="Times New Roman" w:hAnsi="Times New Roman" w:eastAsia="宋体" w:cs="Times New Roman"/>
                <w:color w:val="auto"/>
                <w:lang w:val="en-US" w:eastAsia="zh-CN"/>
              </w:rPr>
              <w:t>%</w:t>
            </w:r>
            <w:r>
              <w:rPr>
                <w:rFonts w:hint="eastAsia" w:cs="Times New Roman"/>
                <w:color w:val="auto"/>
                <w:lang w:val="en-US" w:eastAsia="zh-CN"/>
              </w:rPr>
              <w:t>（本文取96.8%）</w:t>
            </w:r>
            <w:r>
              <w:rPr>
                <w:rFonts w:hint="eastAsia" w:ascii="Times New Roman" w:hAnsi="Times New Roman" w:eastAsia="宋体" w:cs="Times New Roman"/>
                <w:color w:val="auto"/>
                <w:lang w:val="en-US" w:eastAsia="zh-CN"/>
              </w:rPr>
              <w:t>，处理渣沉渣经压滤后含水率约为60%，则项目沉渣产生量约为</w:t>
            </w:r>
            <w:r>
              <w:rPr>
                <w:rFonts w:hint="eastAsia" w:cs="Times New Roman"/>
                <w:color w:val="auto"/>
                <w:lang w:val="en-US" w:eastAsia="zh-CN"/>
              </w:rPr>
              <w:t>1026</w:t>
            </w:r>
            <w:r>
              <w:rPr>
                <w:rFonts w:hint="eastAsia" w:ascii="Times New Roman" w:hAnsi="Times New Roman" w:eastAsia="宋体" w:cs="Times New Roman"/>
                <w:color w:val="auto"/>
                <w:lang w:val="en-US" w:eastAsia="zh-CN"/>
              </w:rPr>
              <w:t>t/a，经收集后及时回用于生产。对照《固体废物分类与代码目录》（公告2024年第4号），废水处理设施沉渣一般工业固废代码为900-099-S17</w:t>
            </w:r>
          </w:p>
          <w:p>
            <w:pPr>
              <w:bidi w:val="0"/>
              <w:rPr>
                <w:rFonts w:hint="eastAsia"/>
                <w:color w:val="auto"/>
                <w:lang w:val="en-US" w:eastAsia="zh-CN"/>
              </w:rPr>
            </w:pPr>
            <w:r>
              <w:rPr>
                <w:rFonts w:hint="eastAsia"/>
                <w:color w:val="auto"/>
                <w:lang w:val="en-US" w:eastAsia="zh-CN"/>
              </w:rPr>
              <w:t>⑨化粪池及一体化污水处理设施污泥</w:t>
            </w:r>
          </w:p>
          <w:p>
            <w:pPr>
              <w:spacing w:line="360" w:lineRule="auto"/>
              <w:ind w:firstLine="480" w:firstLineChars="200"/>
              <w:rPr>
                <w:color w:val="auto"/>
                <w:sz w:val="24"/>
              </w:rPr>
            </w:pPr>
            <w:r>
              <w:rPr>
                <w:rFonts w:hint="eastAsia"/>
                <w:color w:val="auto"/>
                <w:sz w:val="24"/>
              </w:rPr>
              <w:t>项目自建污水处理设备产生污泥，根据项目生活污水产排情况，污水污泥产生量以每万吨水产生3吨污泥计算，本项目污水处理设备产生污泥量约为</w:t>
            </w:r>
            <w:r>
              <w:rPr>
                <w:rFonts w:hint="eastAsia"/>
                <w:color w:val="auto"/>
                <w:sz w:val="24"/>
                <w:lang w:val="en-US" w:eastAsia="zh-CN"/>
              </w:rPr>
              <w:t>0.4455</w:t>
            </w:r>
            <w:r>
              <w:rPr>
                <w:color w:val="auto"/>
                <w:sz w:val="24"/>
              </w:rPr>
              <w:t>t/a</w:t>
            </w:r>
            <w:r>
              <w:rPr>
                <w:rFonts w:hint="eastAsia"/>
                <w:color w:val="auto"/>
                <w:sz w:val="24"/>
              </w:rPr>
              <w:t>，污泥</w:t>
            </w:r>
            <w:r>
              <w:rPr>
                <w:rFonts w:hint="eastAsia"/>
                <w:color w:val="auto"/>
                <w:sz w:val="24"/>
                <w:lang w:val="en-US" w:eastAsia="zh-CN"/>
              </w:rPr>
              <w:t>经压滤处理</w:t>
            </w:r>
            <w:r>
              <w:rPr>
                <w:rFonts w:hint="eastAsia"/>
                <w:color w:val="auto"/>
                <w:sz w:val="24"/>
              </w:rPr>
              <w:t>后，暂存于一般固体废物贮存，外售</w:t>
            </w:r>
            <w:r>
              <w:rPr>
                <w:rFonts w:hint="eastAsia"/>
                <w:color w:val="auto"/>
                <w:sz w:val="24"/>
                <w:lang w:val="en-US" w:eastAsia="zh-CN"/>
              </w:rPr>
              <w:t>综合利用</w:t>
            </w:r>
            <w:r>
              <w:rPr>
                <w:rFonts w:hint="eastAsia"/>
                <w:color w:val="auto"/>
                <w:sz w:val="24"/>
              </w:rPr>
              <w:t>。</w:t>
            </w:r>
          </w:p>
          <w:p>
            <w:pPr>
              <w:bidi w:val="0"/>
              <w:rPr>
                <w:rFonts w:hint="default"/>
                <w:b/>
                <w:bCs/>
                <w:color w:val="auto"/>
                <w:lang w:eastAsia="zh-CN"/>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default"/>
                <w:b/>
                <w:bCs/>
                <w:color w:val="auto"/>
                <w:lang w:eastAsia="zh-CN"/>
              </w:rPr>
              <w:t>危险废物</w:t>
            </w:r>
          </w:p>
          <w:p>
            <w:pPr>
              <w:bidi w:val="0"/>
              <w:rPr>
                <w:rFonts w:hint="eastAsia"/>
                <w:color w:val="auto"/>
                <w:lang w:val="en-US" w:eastAsia="zh-CN"/>
              </w:rPr>
            </w:pPr>
            <w:r>
              <w:rPr>
                <w:rFonts w:hint="eastAsia"/>
                <w:color w:val="auto"/>
                <w:lang w:val="en-US" w:eastAsia="zh-CN"/>
              </w:rPr>
              <w:t>①废机油、废油桶、含油废抹布及手套</w:t>
            </w:r>
          </w:p>
          <w:p>
            <w:pPr>
              <w:bidi w:val="0"/>
              <w:rPr>
                <w:rFonts w:hint="default"/>
                <w:color w:val="auto"/>
                <w:lang w:val="en-US" w:eastAsia="zh-CN"/>
              </w:rPr>
            </w:pPr>
            <w:r>
              <w:rPr>
                <w:rFonts w:hint="eastAsia"/>
                <w:color w:val="auto"/>
                <w:lang w:val="en-US" w:eastAsia="zh-CN"/>
              </w:rPr>
              <w:t>项目生产过程中产生的危险废物主要机械设备日常维护保养过程中产生的废机油、废油桶。</w:t>
            </w:r>
          </w:p>
          <w:p>
            <w:pPr>
              <w:bidi w:val="0"/>
              <w:rPr>
                <w:rFonts w:hint="eastAsia"/>
                <w:color w:val="auto"/>
              </w:rPr>
            </w:pPr>
            <w:r>
              <w:rPr>
                <w:rFonts w:hint="eastAsia"/>
                <w:color w:val="auto"/>
                <w:lang w:val="en-US" w:eastAsia="zh-CN"/>
              </w:rPr>
              <w:t>根据建设单位提供资料，项目</w:t>
            </w:r>
            <w:r>
              <w:rPr>
                <w:rFonts w:hint="eastAsia"/>
                <w:color w:val="auto"/>
              </w:rPr>
              <w:t>废机油产生量</w:t>
            </w:r>
            <w:r>
              <w:rPr>
                <w:rFonts w:hint="eastAsia"/>
                <w:color w:val="auto"/>
                <w:lang w:val="en-US" w:eastAsia="zh-CN"/>
              </w:rPr>
              <w:t>约</w:t>
            </w:r>
            <w:r>
              <w:rPr>
                <w:rFonts w:hint="eastAsia"/>
                <w:color w:val="auto"/>
              </w:rPr>
              <w:t>为0.</w:t>
            </w:r>
            <w:r>
              <w:rPr>
                <w:rFonts w:hint="eastAsia"/>
                <w:color w:val="auto"/>
                <w:lang w:val="en-US" w:eastAsia="zh-CN"/>
              </w:rPr>
              <w:t>2</w:t>
            </w:r>
            <w:r>
              <w:rPr>
                <w:rFonts w:hint="eastAsia"/>
                <w:color w:val="auto"/>
              </w:rPr>
              <w:t>t/a</w:t>
            </w:r>
            <w:r>
              <w:rPr>
                <w:rFonts w:hint="eastAsia"/>
                <w:color w:val="auto"/>
                <w:lang w:eastAsia="zh-CN"/>
              </w:rPr>
              <w:t>。废油桶</w:t>
            </w:r>
            <w:r>
              <w:rPr>
                <w:rFonts w:hint="eastAsia"/>
                <w:color w:val="auto"/>
              </w:rPr>
              <w:t>产生量</w:t>
            </w:r>
            <w:r>
              <w:rPr>
                <w:rFonts w:hint="eastAsia"/>
                <w:color w:val="auto"/>
                <w:lang w:val="en-US" w:eastAsia="zh-CN"/>
              </w:rPr>
              <w:t>约</w:t>
            </w:r>
            <w:r>
              <w:rPr>
                <w:rFonts w:hint="eastAsia"/>
                <w:color w:val="auto"/>
              </w:rPr>
              <w:t>为0.</w:t>
            </w:r>
            <w:r>
              <w:rPr>
                <w:rFonts w:hint="eastAsia"/>
                <w:color w:val="auto"/>
                <w:lang w:val="en-US" w:eastAsia="zh-CN"/>
              </w:rPr>
              <w:t>05</w:t>
            </w:r>
            <w:r>
              <w:rPr>
                <w:rFonts w:hint="eastAsia"/>
                <w:color w:val="auto"/>
              </w:rPr>
              <w:t>t/a</w:t>
            </w:r>
            <w:r>
              <w:rPr>
                <w:rFonts w:hint="eastAsia"/>
                <w:color w:val="auto"/>
                <w:lang w:eastAsia="zh-CN"/>
              </w:rPr>
              <w:t>，含油废抹布及手套产生量约为</w:t>
            </w:r>
            <w:r>
              <w:rPr>
                <w:rFonts w:hint="eastAsia"/>
                <w:color w:val="auto"/>
                <w:lang w:val="en-US" w:eastAsia="zh-CN"/>
              </w:rPr>
              <w:t>0.05t/a</w:t>
            </w:r>
            <w:r>
              <w:rPr>
                <w:rFonts w:hint="eastAsia"/>
                <w:color w:val="auto"/>
              </w:rPr>
              <w:t>。</w:t>
            </w:r>
          </w:p>
          <w:p>
            <w:pPr>
              <w:bidi w:val="0"/>
              <w:rPr>
                <w:rFonts w:hint="default"/>
                <w:color w:val="auto"/>
                <w:lang w:val="en-US" w:eastAsia="zh-CN"/>
              </w:rPr>
            </w:pPr>
            <w:r>
              <w:rPr>
                <w:rFonts w:hint="eastAsia"/>
                <w:color w:val="auto"/>
              </w:rPr>
              <w:t>根据《国家危险废物名录》（202</w:t>
            </w:r>
            <w:r>
              <w:rPr>
                <w:rFonts w:hint="eastAsia"/>
                <w:color w:val="auto"/>
                <w:lang w:val="en-US" w:eastAsia="zh-CN"/>
              </w:rPr>
              <w:t>5</w:t>
            </w:r>
            <w:r>
              <w:rPr>
                <w:rFonts w:hint="eastAsia"/>
                <w:color w:val="auto"/>
              </w:rPr>
              <w:t>年版），废机油属于“HW08废矿物油与含矿物油废物，900-21</w:t>
            </w:r>
            <w:r>
              <w:rPr>
                <w:rFonts w:hint="eastAsia"/>
                <w:color w:val="auto"/>
                <w:lang w:val="en-US" w:eastAsia="zh-CN"/>
              </w:rPr>
              <w:t>4</w:t>
            </w:r>
            <w:r>
              <w:rPr>
                <w:rFonts w:hint="eastAsia"/>
                <w:color w:val="auto"/>
              </w:rPr>
              <w:t>-08，车辆、轮船</w:t>
            </w:r>
            <w:r>
              <w:rPr>
                <w:rFonts w:hint="eastAsia"/>
                <w:color w:val="auto"/>
                <w:lang w:eastAsia="zh-CN"/>
              </w:rPr>
              <w:t>及其他</w:t>
            </w:r>
            <w:r>
              <w:rPr>
                <w:rFonts w:hint="eastAsia"/>
                <w:color w:val="auto"/>
              </w:rPr>
              <w:t>机械维修过程中产生的废发动机油、制动器油、自动变速器油、齿轮油等废润滑油”类危险废物，采用密闭容器桶密封贮存，存放于厂区危险废物贮存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；废油桶属于“HW08废矿物油与含矿物油废物，900-249-08，其他生产、销售、使用过程中产生的废矿物油及沾染矿物油的废弃包装物”类危险废物，自身加盖密闭或采用密闭容器装存后，存放于厂区危险废物贮存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r>
              <w:rPr>
                <w:rFonts w:hint="eastAsia"/>
                <w:color w:val="auto"/>
              </w:rPr>
              <w:t>。</w:t>
            </w:r>
            <w:r>
              <w:rPr>
                <w:rFonts w:hint="eastAsia"/>
                <w:color w:val="auto"/>
                <w:lang w:eastAsia="zh-CN"/>
              </w:rPr>
              <w:t>含油废抹布及手套混入生活垃圾，由当地环卫部门统一清运处置，全过程未分类收集，根据</w:t>
            </w:r>
            <w:r>
              <w:rPr>
                <w:rFonts w:hint="eastAsia"/>
                <w:color w:val="auto"/>
              </w:rPr>
              <w:t>《国家危险废物名录》（202</w:t>
            </w:r>
            <w:r>
              <w:rPr>
                <w:rFonts w:hint="eastAsia"/>
                <w:color w:val="auto"/>
                <w:lang w:val="en-US" w:eastAsia="zh-CN"/>
              </w:rPr>
              <w:t>5</w:t>
            </w:r>
            <w:r>
              <w:rPr>
                <w:rFonts w:hint="eastAsia"/>
                <w:color w:val="auto"/>
              </w:rPr>
              <w:t>年版）</w:t>
            </w:r>
            <w:r>
              <w:rPr>
                <w:rFonts w:hint="eastAsia"/>
                <w:color w:val="auto"/>
                <w:lang w:eastAsia="zh-CN"/>
              </w:rPr>
              <w:t>，含油废抹布及手套属于</w:t>
            </w:r>
            <w:r>
              <w:rPr>
                <w:rFonts w:hint="eastAsia"/>
                <w:color w:val="auto"/>
                <w:lang w:val="en-US" w:eastAsia="zh-CN"/>
              </w:rPr>
              <w:t>900-041-49类危险废物，未分类收集全过程不按危险废物管理。</w:t>
            </w:r>
          </w:p>
          <w:p>
            <w:pPr>
              <w:bidi w:val="0"/>
              <w:rPr>
                <w:rFonts w:hint="eastAsia"/>
                <w:color w:val="auto"/>
                <w:lang w:eastAsia="zh-CN"/>
              </w:rPr>
            </w:pPr>
            <w:r>
              <w:rPr>
                <w:rFonts w:hint="eastAsia"/>
                <w:color w:val="auto"/>
                <w:lang w:eastAsia="zh-CN"/>
              </w:rPr>
              <w:t>②废吸油毡</w:t>
            </w:r>
          </w:p>
          <w:p>
            <w:pPr>
              <w:bidi w:val="0"/>
              <w:rPr>
                <w:rFonts w:hint="eastAsia"/>
                <w:color w:val="auto"/>
                <w:lang w:val="en-US" w:eastAsia="zh-CN"/>
              </w:rPr>
            </w:pPr>
            <w:r>
              <w:rPr>
                <w:rFonts w:hint="eastAsia"/>
                <w:color w:val="auto"/>
                <w:lang w:eastAsia="zh-CN"/>
              </w:rPr>
              <w:t>项目洗车废水沉淀池表面浮油定期使用吸油毡进行清理，产生废吸油毡，根据建设单位提供资料，产生量约为</w:t>
            </w:r>
            <w:r>
              <w:rPr>
                <w:rFonts w:hint="eastAsia"/>
                <w:color w:val="auto"/>
                <w:lang w:val="en-US" w:eastAsia="zh-CN"/>
              </w:rPr>
              <w:t>0.3t/a。</w:t>
            </w:r>
            <w:r>
              <w:rPr>
                <w:rFonts w:hint="eastAsia"/>
                <w:color w:val="auto"/>
              </w:rPr>
              <w:t>根据《国家危险废物名录》（202</w:t>
            </w:r>
            <w:r>
              <w:rPr>
                <w:rFonts w:hint="eastAsia"/>
                <w:color w:val="auto"/>
                <w:lang w:val="en-US" w:eastAsia="zh-CN"/>
              </w:rPr>
              <w:t>5</w:t>
            </w:r>
            <w:r>
              <w:rPr>
                <w:rFonts w:hint="eastAsia"/>
                <w:color w:val="auto"/>
              </w:rPr>
              <w:t>年版），</w:t>
            </w:r>
            <w:r>
              <w:rPr>
                <w:rFonts w:hint="eastAsia"/>
                <w:color w:val="auto"/>
                <w:lang w:eastAsia="zh-CN"/>
              </w:rPr>
              <w:t>废吸油毡</w:t>
            </w:r>
            <w:r>
              <w:rPr>
                <w:rFonts w:hint="eastAsia"/>
                <w:color w:val="auto"/>
              </w:rPr>
              <w:t>属于“HW</w:t>
            </w:r>
            <w:r>
              <w:rPr>
                <w:rFonts w:hint="eastAsia"/>
                <w:color w:val="auto"/>
                <w:lang w:val="en-US" w:eastAsia="zh-CN"/>
              </w:rPr>
              <w:t>49 其他废物</w:t>
            </w:r>
            <w:r>
              <w:rPr>
                <w:rFonts w:hint="eastAsia"/>
                <w:color w:val="auto"/>
              </w:rPr>
              <w:t>，</w:t>
            </w:r>
            <w:r>
              <w:rPr>
                <w:rFonts w:hint="eastAsia"/>
                <w:color w:val="auto"/>
                <w:lang w:val="en-US" w:eastAsia="zh-CN"/>
              </w:rPr>
              <w:t>900-041-49</w:t>
            </w:r>
            <w:r>
              <w:rPr>
                <w:rFonts w:hint="eastAsia"/>
                <w:color w:val="auto"/>
              </w:rPr>
              <w:t>，含有或者沾染毒性、感染性危险废物的废弃的包装物、容器、过滤吸附介质”类危险废物，采用密闭容器桶密封贮存，存放于厂区危险废物贮存</w:t>
            </w:r>
            <w:r>
              <w:rPr>
                <w:rFonts w:hint="eastAsia"/>
                <w:color w:val="auto"/>
                <w:lang w:eastAsia="zh-CN"/>
              </w:rPr>
              <w:t>库</w:t>
            </w:r>
            <w:r>
              <w:rPr>
                <w:rFonts w:hint="eastAsia"/>
                <w:color w:val="auto"/>
                <w:lang w:val="en-US" w:eastAsia="zh-CN"/>
              </w:rPr>
              <w:t>内</w:t>
            </w:r>
            <w:r>
              <w:rPr>
                <w:rFonts w:hint="eastAsia"/>
                <w:color w:val="auto"/>
              </w:rPr>
              <w:t>，委托资质单位</w:t>
            </w:r>
            <w:r>
              <w:rPr>
                <w:rFonts w:hint="eastAsia"/>
                <w:color w:val="auto"/>
                <w:lang w:val="en-US" w:eastAsia="zh-CN"/>
              </w:rPr>
              <w:t>定期清运处置。</w:t>
            </w:r>
          </w:p>
          <w:p>
            <w:pPr>
              <w:bidi w:val="0"/>
              <w:rPr>
                <w:rFonts w:hint="default"/>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rFonts w:hint="default"/>
                <w:color w:val="auto"/>
              </w:rPr>
              <w:t>生活垃圾</w:t>
            </w:r>
          </w:p>
          <w:p>
            <w:pPr>
              <w:bidi w:val="0"/>
              <w:rPr>
                <w:rFonts w:hint="default"/>
                <w:color w:val="auto"/>
              </w:rPr>
            </w:pPr>
            <w:r>
              <w:rPr>
                <w:rFonts w:hint="default"/>
                <w:color w:val="auto"/>
              </w:rPr>
              <w:t>项目职工人数共</w:t>
            </w:r>
            <w:r>
              <w:rPr>
                <w:rFonts w:hint="eastAsia"/>
                <w:color w:val="auto"/>
                <w:lang w:val="en-US" w:eastAsia="zh-CN"/>
              </w:rPr>
              <w:t>40</w:t>
            </w:r>
            <w:r>
              <w:rPr>
                <w:rFonts w:hint="eastAsia"/>
                <w:color w:val="auto"/>
                <w:lang w:eastAsia="zh-CN"/>
              </w:rPr>
              <w:t>人</w:t>
            </w:r>
            <w:r>
              <w:rPr>
                <w:rFonts w:hint="default"/>
                <w:color w:val="auto"/>
              </w:rPr>
              <w:t>，</w:t>
            </w:r>
            <w:r>
              <w:rPr>
                <w:rFonts w:hint="eastAsia"/>
                <w:color w:val="auto"/>
                <w:lang w:val="en-US" w:eastAsia="zh-CN"/>
              </w:rPr>
              <w:t>住厂员工30人，不住厂员工10人</w:t>
            </w:r>
            <w:r>
              <w:rPr>
                <w:rFonts w:hint="default"/>
                <w:color w:val="auto"/>
              </w:rPr>
              <w:t>，职工生活垃圾排放量按</w:t>
            </w:r>
            <w:r>
              <w:rPr>
                <w:rFonts w:hint="eastAsia"/>
                <w:color w:val="auto"/>
                <w:lang w:eastAsia="zh-CN"/>
              </w:rPr>
              <w:t>住厂</w:t>
            </w:r>
            <w:r>
              <w:rPr>
                <w:rFonts w:hint="eastAsia"/>
                <w:color w:val="auto"/>
                <w:lang w:val="en-US" w:eastAsia="zh-CN"/>
              </w:rPr>
              <w:t>1</w:t>
            </w:r>
            <w:r>
              <w:rPr>
                <w:rFonts w:hint="default"/>
                <w:color w:val="auto"/>
              </w:rPr>
              <w:t>.</w:t>
            </w:r>
            <w:r>
              <w:rPr>
                <w:rFonts w:hint="eastAsia"/>
                <w:color w:val="auto"/>
                <w:lang w:val="en-US" w:eastAsia="zh-CN"/>
              </w:rPr>
              <w:t>5</w:t>
            </w:r>
            <w:r>
              <w:rPr>
                <w:rFonts w:hint="default"/>
                <w:color w:val="auto"/>
              </w:rPr>
              <w:t>kg/人·天</w:t>
            </w:r>
            <w:r>
              <w:rPr>
                <w:rFonts w:hint="eastAsia"/>
                <w:color w:val="auto"/>
                <w:lang w:eastAsia="zh-CN"/>
              </w:rPr>
              <w:t>，</w:t>
            </w:r>
            <w:r>
              <w:rPr>
                <w:rFonts w:hAnsi="宋体"/>
              </w:rPr>
              <w:t>不住厂</w:t>
            </w:r>
            <w:r>
              <w:t>0.5kg/</w:t>
            </w:r>
            <w:r>
              <w:rPr>
                <w:rFonts w:hAnsi="宋体"/>
              </w:rPr>
              <w:t>人</w:t>
            </w:r>
            <w:r>
              <w:t>·d</w:t>
            </w:r>
            <w:r>
              <w:rPr>
                <w:rFonts w:hint="default"/>
                <w:color w:val="auto"/>
              </w:rPr>
              <w:t>计</w:t>
            </w:r>
            <w:r>
              <w:rPr>
                <w:rFonts w:hint="eastAsia"/>
                <w:color w:val="auto"/>
                <w:lang w:eastAsia="zh-CN"/>
              </w:rPr>
              <w:t>，</w:t>
            </w:r>
            <w:r>
              <w:rPr>
                <w:rFonts w:hint="default"/>
                <w:color w:val="auto"/>
              </w:rPr>
              <w:t>则</w:t>
            </w:r>
            <w:r>
              <w:rPr>
                <w:rFonts w:hint="eastAsia"/>
                <w:color w:val="auto"/>
                <w:lang w:eastAsia="zh-CN"/>
              </w:rPr>
              <w:t>项目</w:t>
            </w:r>
            <w:r>
              <w:rPr>
                <w:rFonts w:hint="default"/>
                <w:color w:val="auto"/>
              </w:rPr>
              <w:t>生活垃圾产生量为</w:t>
            </w:r>
            <w:r>
              <w:rPr>
                <w:rFonts w:hint="eastAsia"/>
                <w:color w:val="auto"/>
                <w:lang w:val="en-US" w:eastAsia="zh-CN"/>
              </w:rPr>
              <w:t>0.05t</w:t>
            </w:r>
            <w:r>
              <w:rPr>
                <w:rFonts w:hint="default"/>
                <w:color w:val="auto"/>
              </w:rPr>
              <w:t>/d，年产生量约为</w:t>
            </w:r>
            <w:r>
              <w:rPr>
                <w:rFonts w:hint="eastAsia"/>
                <w:color w:val="auto"/>
                <w:lang w:val="en-US" w:eastAsia="zh-CN"/>
              </w:rPr>
              <w:t>16.5</w:t>
            </w:r>
            <w:r>
              <w:rPr>
                <w:rFonts w:hint="default"/>
                <w:color w:val="auto"/>
              </w:rPr>
              <w:t>t(按年工作</w:t>
            </w:r>
            <w:r>
              <w:rPr>
                <w:rFonts w:hint="eastAsia"/>
                <w:color w:val="auto"/>
                <w:lang w:val="en-US" w:eastAsia="zh-CN"/>
              </w:rPr>
              <w:t>330</w:t>
            </w:r>
            <w:r>
              <w:rPr>
                <w:rFonts w:hint="default"/>
                <w:color w:val="auto"/>
              </w:rPr>
              <w:t>天计)，</w:t>
            </w:r>
            <w:r>
              <w:rPr>
                <w:rFonts w:hint="eastAsia"/>
                <w:color w:val="auto"/>
                <w:lang w:eastAsia="zh-CN"/>
              </w:rPr>
              <w:t>经厂内设置垃圾桶</w:t>
            </w:r>
            <w:r>
              <w:rPr>
                <w:rFonts w:hint="default"/>
                <w:color w:val="auto"/>
              </w:rPr>
              <w:t>收集后，全部委托环卫部门定期外运统一处置。</w:t>
            </w:r>
          </w:p>
          <w:p>
            <w:pPr>
              <w:bidi w:val="0"/>
              <w:rPr>
                <w:rFonts w:hint="eastAsia" w:ascii="Times New Roman" w:hAnsi="Times New Roman" w:eastAsia="宋体"/>
                <w:color w:val="auto"/>
                <w:lang w:eastAsia="zh-CN"/>
              </w:rPr>
            </w:pPr>
            <w:r>
              <w:rPr>
                <w:rFonts w:hint="eastAsia"/>
                <w:color w:val="auto"/>
              </w:rPr>
              <w:t>综上所述，</w:t>
            </w:r>
            <w:r>
              <w:rPr>
                <w:color w:val="auto"/>
              </w:rPr>
              <w:t>项目</w:t>
            </w:r>
            <w:r>
              <w:rPr>
                <w:rFonts w:hint="eastAsia"/>
                <w:color w:val="auto"/>
                <w:lang w:eastAsia="zh-CN"/>
              </w:rPr>
              <w:t>固体</w:t>
            </w:r>
            <w:r>
              <w:rPr>
                <w:color w:val="auto"/>
              </w:rPr>
              <w:t>废物污染源源强核算结果一览表</w:t>
            </w:r>
            <w:r>
              <w:rPr>
                <w:rFonts w:hint="eastAsia"/>
                <w:color w:val="auto"/>
              </w:rPr>
              <w:t>详见表4.</w:t>
            </w:r>
            <w:r>
              <w:rPr>
                <w:rFonts w:hint="eastAsia"/>
                <w:color w:val="auto"/>
                <w:lang w:val="en-US" w:eastAsia="zh-CN"/>
              </w:rPr>
              <w:t>5</w:t>
            </w:r>
            <w:r>
              <w:rPr>
                <w:rFonts w:hint="eastAsia"/>
                <w:color w:val="auto"/>
              </w:rPr>
              <w:t>-1。</w:t>
            </w:r>
          </w:p>
        </w:tc>
      </w:tr>
    </w:tbl>
    <w:p>
      <w:pPr>
        <w:pStyle w:val="19"/>
        <w:jc w:val="center"/>
        <w:outlineLvl w:val="9"/>
        <w:rPr>
          <w:rFonts w:hint="default" w:ascii="Times New Roman" w:hAnsi="Times New Roman" w:eastAsia="宋体" w:cs="Times New Roman"/>
          <w:snapToGrid w:val="0"/>
          <w:color w:val="auto"/>
          <w:sz w:val="30"/>
          <w:szCs w:val="30"/>
        </w:rPr>
        <w:sectPr>
          <w:pgSz w:w="11906" w:h="16838"/>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5"/>
        <w:tblW w:w="14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3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6" w:type="dxa"/>
            <w:vAlign w:val="top"/>
          </w:tcPr>
          <w:p>
            <w:pPr>
              <w:pStyle w:val="19"/>
              <w:jc w:val="both"/>
              <w:outlineLvl w:val="9"/>
              <w:rPr>
                <w:rFonts w:hint="default" w:ascii="Times New Roman" w:hAnsi="Times New Roman" w:eastAsia="宋体" w:cs="Times New Roman"/>
                <w:snapToGrid w:val="0"/>
                <w:color w:val="auto"/>
                <w:sz w:val="30"/>
                <w:szCs w:val="30"/>
                <w:vertAlign w:val="baseline"/>
              </w:rPr>
            </w:pPr>
            <w:bookmarkStart w:id="40" w:name="_Toc10623"/>
            <w:bookmarkStart w:id="41" w:name="_Toc10736"/>
          </w:p>
        </w:tc>
        <w:tc>
          <w:tcPr>
            <w:tcW w:w="13361" w:type="dxa"/>
            <w:vAlign w:val="top"/>
          </w:tcPr>
          <w:p>
            <w:pPr>
              <w:pStyle w:val="33"/>
              <w:bidi w:val="0"/>
              <w:rPr>
                <w:rFonts w:hint="eastAsia"/>
                <w:color w:val="auto"/>
                <w:lang w:val="en-US" w:eastAsia="zh-CN"/>
              </w:rPr>
            </w:pPr>
            <w:r>
              <w:rPr>
                <w:rFonts w:hint="eastAsia"/>
                <w:color w:val="auto"/>
                <w:lang w:eastAsia="zh-CN"/>
              </w:rPr>
              <w:t>表</w:t>
            </w:r>
            <w:r>
              <w:rPr>
                <w:rFonts w:hint="eastAsia"/>
                <w:color w:val="auto"/>
                <w:lang w:val="en-US" w:eastAsia="zh-CN"/>
              </w:rPr>
              <w:t>4.5-1 固体废物污染源源强核算一览表</w:t>
            </w:r>
          </w:p>
          <w:p>
            <w:pPr>
              <w:pStyle w:val="19"/>
              <w:jc w:val="both"/>
              <w:outlineLvl w:val="9"/>
              <w:rPr>
                <w:rFonts w:hint="default" w:ascii="Times New Roman" w:hAnsi="Times New Roman" w:eastAsia="宋体" w:cs="Times New Roman"/>
                <w:snapToGrid w:val="0"/>
                <w:color w:val="auto"/>
                <w:sz w:val="30"/>
                <w:szCs w:val="30"/>
                <w:vertAlign w:val="baseline"/>
                <w:lang w:val="en-US" w:eastAsia="zh-CN"/>
              </w:rPr>
            </w:pPr>
          </w:p>
        </w:tc>
      </w:tr>
    </w:tbl>
    <w:p>
      <w:pPr>
        <w:pStyle w:val="19"/>
        <w:jc w:val="both"/>
        <w:outlineLvl w:val="9"/>
        <w:rPr>
          <w:rFonts w:hint="default" w:ascii="Times New Roman" w:hAnsi="Times New Roman" w:eastAsia="宋体" w:cs="Times New Roman"/>
          <w:snapToGrid w:val="0"/>
          <w:color w:val="auto"/>
          <w:sz w:val="30"/>
          <w:szCs w:val="30"/>
        </w:rPr>
        <w:sectPr>
          <w:pgSz w:w="16838" w:h="11906" w:orient="landscape"/>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tbl>
      <w:tblPr>
        <w:tblStyle w:val="25"/>
        <w:tblW w:w="92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5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127" w:hRule="atLeast"/>
        </w:trPr>
        <w:tc>
          <w:tcPr>
            <w:tcW w:w="738" w:type="dxa"/>
            <w:vAlign w:val="top"/>
          </w:tcPr>
          <w:p>
            <w:pPr>
              <w:pStyle w:val="19"/>
              <w:jc w:val="both"/>
              <w:outlineLvl w:val="9"/>
              <w:rPr>
                <w:rFonts w:hint="default" w:ascii="Times New Roman" w:hAnsi="Times New Roman" w:eastAsia="宋体" w:cs="Times New Roman"/>
                <w:snapToGrid w:val="0"/>
                <w:color w:val="auto"/>
                <w:sz w:val="30"/>
                <w:szCs w:val="30"/>
                <w:vertAlign w:val="baseline"/>
              </w:rPr>
            </w:pPr>
          </w:p>
        </w:tc>
        <w:tc>
          <w:tcPr>
            <w:tcW w:w="8546" w:type="dxa"/>
            <w:vAlign w:val="top"/>
          </w:tcPr>
          <w:p>
            <w:pPr>
              <w:pStyle w:val="4"/>
              <w:bidi w:val="0"/>
              <w:rPr>
                <w:color w:val="auto"/>
              </w:rPr>
            </w:pPr>
            <w:r>
              <w:rPr>
                <w:color w:val="auto"/>
              </w:rPr>
              <w:t>4.</w:t>
            </w:r>
            <w:r>
              <w:rPr>
                <w:rFonts w:hint="eastAsia"/>
                <w:color w:val="auto"/>
                <w:lang w:val="en-US" w:eastAsia="zh-CN"/>
              </w:rPr>
              <w:t>5.</w:t>
            </w:r>
            <w:r>
              <w:rPr>
                <w:color w:val="auto"/>
              </w:rPr>
              <w:t xml:space="preserve">2 </w:t>
            </w:r>
            <w:r>
              <w:rPr>
                <w:rFonts w:hint="default"/>
                <w:color w:val="auto"/>
              </w:rPr>
              <w:t>运营期固体废物影响分析及环境管理要求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4.5.2.1</w:t>
            </w:r>
            <w:r>
              <w:rPr>
                <w:rFonts w:hint="default" w:ascii="Times New Roman" w:hAnsi="Times New Roman" w:eastAsia="宋体" w:cs="Times New Roman"/>
                <w:b/>
                <w:bCs/>
                <w:color w:val="auto"/>
                <w:sz w:val="24"/>
                <w:szCs w:val="24"/>
                <w:highlight w:val="none"/>
              </w:rPr>
              <w:t>一般工业固废</w:t>
            </w:r>
          </w:p>
          <w:p>
            <w:pPr>
              <w:spacing w:line="360" w:lineRule="auto"/>
              <w:ind w:firstLine="482" w:firstLineChars="200"/>
              <w:jc w:val="both"/>
              <w:rPr>
                <w:rFonts w:hint="eastAsia"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eastAsia="zh-CN"/>
              </w:rPr>
              <w:t>）储存管理要求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本评价要求项目产生的一般工业固废应按</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一般工业固体废物贮存和填埋污染控制标准</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eastAsia="zh-CN"/>
              </w:rPr>
              <w:t>GB18599-2020</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要求进行规范化的处理处置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对一般工业固废暂存场所按照《一般工业固体废物贮存和填埋污染控制标准》（GB18599-2020）相关规定建设：</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①地面应采取硬化措施并满足承载力要求，必要时采取相应措施防止地基下沉。I类场技术要求：当天然基础层饱和渗透系数不大于1.0×10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w:t>
            </w:r>
            <w:r>
              <w:rPr>
                <w:rFonts w:hint="eastAsia" w:cs="Times New Roman"/>
                <w:color w:val="auto"/>
                <w:sz w:val="24"/>
                <w:szCs w:val="24"/>
                <w:lang w:val="en-US" w:eastAsia="zh-CN"/>
              </w:rPr>
              <w:t>且</w:t>
            </w:r>
            <w:r>
              <w:rPr>
                <w:rFonts w:hint="eastAsia" w:ascii="Times New Roman" w:hAnsi="Times New Roman" w:eastAsia="宋体" w:cs="Times New Roman"/>
                <w:color w:val="auto"/>
                <w:sz w:val="24"/>
                <w:szCs w:val="24"/>
                <w:lang w:val="en-US" w:eastAsia="zh-CN"/>
              </w:rPr>
              <w:t>厚度不小于0.75m时，可以采用天然基础层作为防渗衬层。当天然基础层不能满足上条防渗要求时，可采用改性压实粘土类衬层或具有同等以上隔水效力的其他材料防渗衬层，其防渗性能应至少相当于渗透系数为1.0×10</w:t>
            </w:r>
            <w:r>
              <w:rPr>
                <w:rFonts w:hint="eastAsia" w:ascii="Times New Roman" w:hAnsi="Times New Roman" w:eastAsia="宋体" w:cs="Times New Roman"/>
                <w:color w:val="auto"/>
                <w:sz w:val="24"/>
                <w:szCs w:val="24"/>
                <w:vertAlign w:val="superscript"/>
                <w:lang w:val="en-US" w:eastAsia="zh-CN"/>
              </w:rPr>
              <w:t>-5</w:t>
            </w:r>
            <w:r>
              <w:rPr>
                <w:rFonts w:hint="eastAsia" w:ascii="Times New Roman" w:hAnsi="Times New Roman" w:eastAsia="宋体" w:cs="Times New Roman"/>
                <w:color w:val="auto"/>
                <w:sz w:val="24"/>
                <w:szCs w:val="24"/>
                <w:lang w:val="en-US" w:eastAsia="zh-CN"/>
              </w:rPr>
              <w:t xml:space="preserve"> cm/s 且厚度为0.75 m的天然基础层。</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②要求设置必要的防风、防雨、防晒措施，并采取相应的防尘措施。</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③按《环境保护图形标识－固体废物贮存（处置）场》（GB15562.2）及其修改单设置环境保护图形标志。</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④一般固体废物区内一般工业固废应按类别分区存放，不得随意堆放，严禁一般工业固废混合堆放。禁止生活垃圾、危险废物混入一般工业固废仓库堆放。</w:t>
            </w:r>
          </w:p>
          <w:p>
            <w:pPr>
              <w:spacing w:line="360" w:lineRule="auto"/>
              <w:ind w:firstLine="480" w:firstLineChars="200"/>
              <w:jc w:val="both"/>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同时，</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应当采取防扬散、防流失、防渗漏或者其他防止污染环境的措施，不得擅自倾倒、堆放、丢弃、遗撒固体废物。应当建立健全工业固体废物产生、收集、贮存、运输、利用、处置全过程的污染环境防治责任制度，建立工业固体废物管理台账，如实记录产生工业</w:t>
            </w:r>
            <w:r>
              <w:rPr>
                <w:rFonts w:hint="eastAsia" w:ascii="Times New Roman" w:hAnsi="Times New Roman" w:eastAsia="宋体" w:cs="Times New Roman"/>
                <w:color w:val="auto"/>
                <w:sz w:val="24"/>
                <w:szCs w:val="24"/>
                <w:lang w:eastAsia="zh-CN"/>
              </w:rPr>
              <w:t>固</w:t>
            </w:r>
            <w:r>
              <w:rPr>
                <w:rFonts w:hint="default" w:ascii="Times New Roman" w:hAnsi="Times New Roman" w:eastAsia="宋体" w:cs="Times New Roman"/>
                <w:color w:val="auto"/>
                <w:sz w:val="24"/>
                <w:szCs w:val="24"/>
              </w:rPr>
              <w:t>体废物的种类、数量、流向、贮存、利用、处置等信息，实现工业固体废物可追溯、可查询，并采取防治工业固体废物污染环境的措施</w:t>
            </w:r>
            <w:r>
              <w:rPr>
                <w:rFonts w:hint="default" w:ascii="Times New Roman" w:hAnsi="Times New Roman" w:eastAsia="宋体" w:cs="Times New Roman"/>
                <w:color w:val="auto"/>
                <w:sz w:val="24"/>
                <w:szCs w:val="24"/>
                <w:lang w:eastAsia="zh-CN"/>
              </w:rPr>
              <w:t>。</w:t>
            </w:r>
          </w:p>
          <w:p>
            <w:pPr>
              <w:spacing w:line="360" w:lineRule="auto"/>
              <w:ind w:firstLine="480" w:firstLineChars="200"/>
              <w:jc w:val="both"/>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中华人民共和国固体废物污染环境防治法》要求，产生工业固体废物的单位在委托他人运输、‌利用、‌处置工业固体废物时，‌应当对受托方的主体资格和技术能力进行核实，‌并依法签订书面合同，‌在合同中约定污染防治要求。因此建设单位对一般工业固废委托综合利用前，将对物资回收单位审查，‌‌审查</w:t>
            </w:r>
            <w:r>
              <w:rPr>
                <w:rFonts w:hint="eastAsia" w:cs="Times New Roman"/>
                <w:color w:val="auto"/>
                <w:sz w:val="24"/>
                <w:szCs w:val="24"/>
                <w:lang w:val="en-US" w:eastAsia="zh-CN"/>
              </w:rPr>
              <w:t>内容</w:t>
            </w:r>
            <w:r>
              <w:rPr>
                <w:rFonts w:hint="eastAsia" w:ascii="Times New Roman" w:hAnsi="Times New Roman" w:eastAsia="宋体" w:cs="Times New Roman"/>
                <w:color w:val="auto"/>
                <w:sz w:val="24"/>
                <w:szCs w:val="24"/>
                <w:lang w:val="en-US" w:eastAsia="zh-CN"/>
              </w:rPr>
              <w:t>包括但不限于包括对企业的营业执照、环保资质、安全生产许可证等证照进行检查，核实企业是否具备从事工业固废处理活动的合法资质。同时，还需审查企业的组织机构、管理体系、人员配备等方面，确保企业具备完善的管理制度和专业的技术团队，确保回收单位的合规性。</w:t>
            </w:r>
          </w:p>
          <w:p>
            <w:pPr>
              <w:spacing w:line="360" w:lineRule="auto"/>
              <w:ind w:firstLine="482" w:firstLineChars="200"/>
              <w:jc w:val="both"/>
              <w:rPr>
                <w:rFonts w:hint="default" w:ascii="Times New Roman" w:hAnsi="Times New Roman" w:eastAsia="宋体" w:cs="Times New Roman"/>
                <w:b/>
                <w:bCs/>
                <w:color w:val="auto"/>
                <w:sz w:val="24"/>
                <w:szCs w:val="24"/>
                <w:lang w:eastAsia="zh-CN"/>
              </w:rPr>
            </w:pP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2</w:t>
            </w:r>
            <w:r>
              <w:rPr>
                <w:rFonts w:hint="eastAsia" w:ascii="Times New Roman" w:hAnsi="Times New Roman" w:eastAsia="宋体" w:cs="Times New Roman"/>
                <w:b/>
                <w:bCs/>
                <w:color w:val="auto"/>
                <w:sz w:val="24"/>
                <w:szCs w:val="24"/>
                <w:lang w:eastAsia="zh-CN"/>
              </w:rPr>
              <w:t>）一般工业固废储存情况</w:t>
            </w:r>
          </w:p>
          <w:p>
            <w:pPr>
              <w:spacing w:line="360" w:lineRule="auto"/>
              <w:ind w:firstLine="480" w:firstLineChars="200"/>
              <w:jc w:val="both"/>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本项目</w:t>
            </w:r>
            <w:r>
              <w:rPr>
                <w:rFonts w:hint="eastAsia" w:cs="Times New Roman"/>
                <w:color w:val="auto"/>
                <w:sz w:val="24"/>
                <w:szCs w:val="24"/>
                <w:lang w:val="en-US" w:eastAsia="zh-CN"/>
              </w:rPr>
              <w:t>拟</w:t>
            </w:r>
            <w:r>
              <w:rPr>
                <w:rFonts w:hint="eastAsia" w:ascii="Times New Roman" w:hAnsi="Times New Roman" w:eastAsia="宋体" w:cs="Times New Roman"/>
                <w:color w:val="auto"/>
                <w:sz w:val="24"/>
                <w:szCs w:val="24"/>
                <w:lang w:eastAsia="zh-CN"/>
              </w:rPr>
              <w:t>在</w:t>
            </w:r>
            <w:r>
              <w:rPr>
                <w:rFonts w:hint="eastAsia" w:cs="Times New Roman"/>
                <w:color w:val="auto"/>
                <w:sz w:val="24"/>
                <w:szCs w:val="24"/>
                <w:lang w:val="en-US" w:eastAsia="zh-CN"/>
              </w:rPr>
              <w:t>3#砂石库内南</w:t>
            </w:r>
            <w:r>
              <w:rPr>
                <w:rFonts w:hint="eastAsia" w:ascii="Times New Roman" w:hAnsi="Times New Roman" w:eastAsia="宋体" w:cs="Times New Roman"/>
                <w:color w:val="auto"/>
                <w:sz w:val="24"/>
                <w:szCs w:val="24"/>
                <w:lang w:eastAsia="zh-CN"/>
              </w:rPr>
              <w:t>侧设置</w:t>
            </w:r>
            <w:r>
              <w:rPr>
                <w:rFonts w:hint="eastAsia" w:cs="Times New Roman"/>
                <w:color w:val="auto"/>
                <w:sz w:val="24"/>
                <w:szCs w:val="24"/>
                <w:lang w:val="en-US" w:eastAsia="zh-CN"/>
              </w:rPr>
              <w:t>两</w:t>
            </w:r>
            <w:r>
              <w:rPr>
                <w:rFonts w:hint="eastAsia" w:ascii="Times New Roman" w:hAnsi="Times New Roman" w:eastAsia="宋体" w:cs="Times New Roman"/>
                <w:color w:val="auto"/>
                <w:sz w:val="24"/>
                <w:szCs w:val="24"/>
                <w:lang w:eastAsia="zh-CN"/>
              </w:rPr>
              <w:t>间一般工业固废暂存间，</w:t>
            </w:r>
            <w:r>
              <w:rPr>
                <w:rFonts w:hint="eastAsia" w:cs="Times New Roman"/>
                <w:color w:val="auto"/>
                <w:sz w:val="24"/>
                <w:szCs w:val="24"/>
                <w:lang w:val="en-US" w:eastAsia="zh-CN"/>
              </w:rPr>
              <w:t>其中不合格品暂存间</w:t>
            </w:r>
            <w:r>
              <w:rPr>
                <w:rFonts w:hint="eastAsia" w:ascii="Times New Roman" w:hAnsi="Times New Roman" w:eastAsia="宋体" w:cs="Times New Roman"/>
                <w:color w:val="auto"/>
                <w:sz w:val="24"/>
                <w:szCs w:val="24"/>
                <w:lang w:eastAsia="zh-CN"/>
              </w:rPr>
              <w:t>建筑面积约</w:t>
            </w:r>
            <w:r>
              <w:rPr>
                <w:rFonts w:hint="eastAsia" w:cs="Times New Roman"/>
                <w:color w:val="auto"/>
                <w:sz w:val="24"/>
                <w:szCs w:val="24"/>
                <w:lang w:val="en-US" w:eastAsia="zh-CN"/>
              </w:rPr>
              <w:t>90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89t，剩余的一般工业固废暂存间建筑面积约20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，暂存能力约</w:t>
            </w:r>
            <w:r>
              <w:rPr>
                <w:rFonts w:hint="eastAsia" w:cs="Times New Roman"/>
                <w:color w:val="auto"/>
                <w:sz w:val="24"/>
                <w:szCs w:val="24"/>
                <w:lang w:val="en-US" w:eastAsia="zh-CN"/>
              </w:rPr>
              <w:t>19</w:t>
            </w:r>
            <w:r>
              <w:rPr>
                <w:rFonts w:hint="eastAsia" w:ascii="Times New Roman" w:hAnsi="Times New Roman" w:eastAsia="宋体" w:cs="Times New Roman"/>
                <w:color w:val="auto"/>
                <w:sz w:val="24"/>
                <w:szCs w:val="24"/>
                <w:lang w:val="en-US" w:eastAsia="zh-CN"/>
              </w:rPr>
              <w:t>t。根据前文分析，项目需在一般工业固废暂存间暂存的一般工业固废产生量约为</w:t>
            </w:r>
            <w:r>
              <w:rPr>
                <w:rFonts w:hint="eastAsia" w:cs="Times New Roman"/>
                <w:color w:val="auto"/>
                <w:sz w:val="24"/>
                <w:szCs w:val="24"/>
                <w:lang w:val="en-US" w:eastAsia="zh-CN"/>
              </w:rPr>
              <w:t>13444.2662</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（其中不合格品产生量为13090.805</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，废钢材、焊渣、不合格品及污泥、沉渣等合计约353.4612</w:t>
            </w:r>
            <w:r>
              <w:rPr>
                <w:rFonts w:hint="eastAsia" w:ascii="Times New Roman" w:hAnsi="Times New Roman" w:eastAsia="宋体" w:cs="Times New Roman"/>
                <w:color w:val="auto"/>
                <w:sz w:val="24"/>
                <w:szCs w:val="24"/>
                <w:lang w:val="en-US" w:eastAsia="zh-CN"/>
              </w:rPr>
              <w:t>t/a</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不合格品</w:t>
            </w:r>
            <w:r>
              <w:rPr>
                <w:rFonts w:hint="eastAsia" w:ascii="Times New Roman" w:hAnsi="Times New Roman" w:eastAsia="宋体" w:cs="Times New Roman"/>
                <w:color w:val="auto"/>
                <w:sz w:val="24"/>
                <w:szCs w:val="24"/>
                <w:lang w:eastAsia="zh-CN"/>
              </w:rPr>
              <w:t>转运周期</w:t>
            </w:r>
            <w:r>
              <w:rPr>
                <w:rFonts w:hint="eastAsia" w:cs="Times New Roman"/>
                <w:color w:val="auto"/>
                <w:sz w:val="24"/>
                <w:szCs w:val="24"/>
                <w:lang w:val="en-US" w:eastAsia="zh-CN"/>
              </w:rPr>
              <w:t>为每两天一次</w:t>
            </w:r>
            <w:r>
              <w:rPr>
                <w:rFonts w:hint="eastAsia"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其他固废转运周期为每15天一次。项目</w:t>
            </w:r>
            <w:r>
              <w:rPr>
                <w:rFonts w:hint="default" w:ascii="Times New Roman" w:hAnsi="Times New Roman" w:eastAsia="宋体" w:cs="Times New Roman"/>
                <w:color w:val="auto"/>
                <w:sz w:val="24"/>
                <w:szCs w:val="24"/>
                <w:lang w:eastAsia="zh-CN"/>
              </w:rPr>
              <w:t>一般工业固废暂存间内</w:t>
            </w:r>
            <w:r>
              <w:rPr>
                <w:rFonts w:hint="eastAsia" w:cs="Times New Roman"/>
                <w:color w:val="auto"/>
                <w:sz w:val="24"/>
                <w:szCs w:val="24"/>
                <w:lang w:val="en-US" w:eastAsia="zh-CN"/>
              </w:rPr>
              <w:t>不合格品</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79.156</w:t>
            </w:r>
            <w:r>
              <w:rPr>
                <w:rFonts w:hint="eastAsia" w:ascii="Times New Roman" w:hAnsi="Times New Roman" w:eastAsia="宋体" w:cs="Times New Roman"/>
                <w:color w:val="auto"/>
                <w:sz w:val="24"/>
                <w:szCs w:val="24"/>
                <w:lang w:val="en-US" w:eastAsia="zh-CN"/>
              </w:rPr>
              <w:t>t</w:t>
            </w:r>
            <w:r>
              <w:rPr>
                <w:rFonts w:hint="default" w:ascii="Times New Roman" w:hAnsi="Times New Roman" w:eastAsia="宋体" w:cs="Times New Roman"/>
                <w:color w:val="auto"/>
                <w:sz w:val="24"/>
                <w:szCs w:val="24"/>
                <w:lang w:eastAsia="zh-CN"/>
              </w:rPr>
              <w:t>，</w:t>
            </w:r>
            <w:r>
              <w:rPr>
                <w:rFonts w:hint="eastAsia" w:cs="Times New Roman"/>
                <w:color w:val="auto"/>
                <w:sz w:val="24"/>
                <w:szCs w:val="24"/>
                <w:lang w:val="en-US" w:eastAsia="zh-CN"/>
              </w:rPr>
              <w:t>其他一般工业固废</w:t>
            </w:r>
            <w:r>
              <w:rPr>
                <w:rFonts w:hint="default" w:ascii="Times New Roman" w:hAnsi="Times New Roman" w:eastAsia="宋体" w:cs="Times New Roman"/>
                <w:color w:val="auto"/>
                <w:sz w:val="24"/>
                <w:szCs w:val="24"/>
                <w:lang w:eastAsia="zh-CN"/>
              </w:rPr>
              <w:t>一次最大暂存量</w:t>
            </w:r>
            <w:r>
              <w:rPr>
                <w:rFonts w:hint="eastAsia" w:ascii="Times New Roman" w:hAnsi="Times New Roman" w:eastAsia="宋体" w:cs="Times New Roman"/>
                <w:color w:val="auto"/>
                <w:sz w:val="24"/>
                <w:szCs w:val="24"/>
                <w:lang w:eastAsia="zh-CN"/>
              </w:rPr>
              <w:t>约</w:t>
            </w:r>
            <w:r>
              <w:rPr>
                <w:rFonts w:hint="eastAsia" w:cs="Times New Roman"/>
                <w:color w:val="auto"/>
                <w:sz w:val="24"/>
                <w:szCs w:val="24"/>
                <w:lang w:val="en-US" w:eastAsia="zh-CN"/>
              </w:rPr>
              <w:t>16.06t，</w:t>
            </w:r>
            <w:r>
              <w:rPr>
                <w:rFonts w:hint="eastAsia" w:ascii="Times New Roman" w:hAnsi="Times New Roman" w:eastAsia="宋体" w:cs="Times New Roman"/>
                <w:color w:val="auto"/>
                <w:sz w:val="24"/>
                <w:szCs w:val="24"/>
                <w:lang w:eastAsia="zh-CN"/>
              </w:rPr>
              <w:t>项目拟建</w:t>
            </w:r>
            <w:r>
              <w:rPr>
                <w:rFonts w:hint="eastAsia" w:cs="Times New Roman"/>
                <w:color w:val="auto"/>
                <w:sz w:val="24"/>
                <w:szCs w:val="24"/>
                <w:lang w:val="en-US" w:eastAsia="zh-CN"/>
              </w:rPr>
              <w:t>的两处</w:t>
            </w:r>
            <w:r>
              <w:rPr>
                <w:rFonts w:hint="eastAsia" w:ascii="Times New Roman" w:hAnsi="Times New Roman" w:eastAsia="宋体" w:cs="Times New Roman"/>
                <w:color w:val="auto"/>
                <w:sz w:val="24"/>
                <w:szCs w:val="24"/>
                <w:lang w:eastAsia="zh-CN"/>
              </w:rPr>
              <w:t>一般固废暂存间</w:t>
            </w:r>
            <w:r>
              <w:rPr>
                <w:rFonts w:hint="eastAsia" w:cs="Times New Roman"/>
                <w:color w:val="auto"/>
                <w:sz w:val="24"/>
                <w:szCs w:val="24"/>
                <w:lang w:val="en-US" w:eastAsia="zh-CN"/>
              </w:rPr>
              <w:t>均</w:t>
            </w:r>
            <w:r>
              <w:rPr>
                <w:rFonts w:hint="eastAsia" w:ascii="Times New Roman" w:hAnsi="Times New Roman" w:eastAsia="宋体" w:cs="Times New Roman"/>
                <w:color w:val="auto"/>
                <w:sz w:val="24"/>
                <w:szCs w:val="24"/>
                <w:lang w:val="en-US" w:eastAsia="zh-CN"/>
              </w:rPr>
              <w:t>满足本项目建成后一般工业固废的暂存需求</w:t>
            </w:r>
            <w:r>
              <w:rPr>
                <w:rFonts w:hint="default" w:ascii="Times New Roman" w:hAnsi="Times New Roman" w:eastAsia="宋体" w:cs="Times New Roman"/>
                <w:color w:val="auto"/>
                <w:sz w:val="24"/>
                <w:szCs w:val="24"/>
                <w:lang w:eastAsia="zh-CN"/>
              </w:rPr>
              <w:t>。</w:t>
            </w:r>
          </w:p>
          <w:p>
            <w:pPr>
              <w:bidi w:val="0"/>
              <w:rPr>
                <w:rFonts w:hint="default"/>
                <w:b/>
                <w:bCs/>
                <w:color w:val="auto"/>
                <w:sz w:val="24"/>
                <w:szCs w:val="24"/>
                <w:lang w:val="en-US" w:eastAsia="zh-CN"/>
              </w:rPr>
            </w:pPr>
            <w:r>
              <w:rPr>
                <w:rFonts w:hint="eastAsia"/>
                <w:b/>
                <w:bCs/>
                <w:color w:val="auto"/>
                <w:sz w:val="24"/>
                <w:szCs w:val="24"/>
                <w:lang w:val="en-US" w:eastAsia="zh-CN"/>
              </w:rPr>
              <w:t>4.5.2.2</w:t>
            </w:r>
            <w:r>
              <w:rPr>
                <w:rFonts w:hint="default"/>
                <w:b/>
                <w:bCs/>
                <w:color w:val="auto"/>
                <w:sz w:val="24"/>
                <w:szCs w:val="24"/>
                <w:lang w:val="en-US" w:eastAsia="zh-CN"/>
              </w:rPr>
              <w:t>危险废物</w:t>
            </w:r>
          </w:p>
          <w:p>
            <w:pPr>
              <w:bidi w:val="0"/>
              <w:rPr>
                <w:rFonts w:hint="default"/>
                <w:b w:val="0"/>
                <w:bCs w:val="0"/>
                <w:color w:val="auto"/>
                <w:sz w:val="24"/>
                <w:szCs w:val="24"/>
                <w:lang w:val="en-US" w:eastAsia="zh-CN"/>
              </w:rPr>
            </w:pPr>
            <w:r>
              <w:rPr>
                <w:rFonts w:hint="eastAsia" w:ascii="Times New Roman" w:hAnsi="Times New Roman" w:eastAsia="宋体" w:cs="Times New Roman"/>
                <w:b w:val="0"/>
                <w:bCs w:val="0"/>
                <w:color w:val="auto"/>
                <w:sz w:val="24"/>
                <w:szCs w:val="24"/>
                <w:highlight w:val="none"/>
                <w:lang w:val="en-US" w:eastAsia="zh-CN"/>
              </w:rPr>
              <w:t>（</w:t>
            </w:r>
            <w:r>
              <w:rPr>
                <w:rFonts w:hint="default"/>
                <w:b w:val="0"/>
                <w:bCs w:val="0"/>
                <w:color w:val="auto"/>
                <w:sz w:val="24"/>
                <w:szCs w:val="24"/>
                <w:lang w:val="en-US"/>
              </w:rPr>
              <w:t>1</w:t>
            </w:r>
            <w:r>
              <w:rPr>
                <w:rFonts w:hint="eastAsia"/>
                <w:b w:val="0"/>
                <w:bCs w:val="0"/>
                <w:color w:val="auto"/>
                <w:sz w:val="24"/>
                <w:szCs w:val="24"/>
                <w:lang w:val="en-US" w:eastAsia="zh-CN"/>
              </w:rPr>
              <w:t>）</w:t>
            </w:r>
            <w:r>
              <w:rPr>
                <w:rFonts w:hint="default"/>
                <w:b w:val="0"/>
                <w:bCs w:val="0"/>
                <w:color w:val="auto"/>
                <w:sz w:val="24"/>
                <w:szCs w:val="24"/>
                <w:lang w:val="en-US" w:eastAsia="zh-CN"/>
              </w:rPr>
              <w:t>危险废物贮存场所环境影响分析</w:t>
            </w:r>
          </w:p>
          <w:p>
            <w:pPr>
              <w:bidi w:val="0"/>
              <w:rPr>
                <w:rFonts w:hint="eastAsia"/>
                <w:color w:val="auto"/>
                <w:sz w:val="24"/>
                <w:szCs w:val="24"/>
                <w:lang w:val="en-US" w:eastAsia="zh-CN"/>
              </w:rPr>
            </w:pPr>
            <w:r>
              <w:rPr>
                <w:rFonts w:hint="default"/>
                <w:color w:val="auto"/>
                <w:sz w:val="24"/>
                <w:szCs w:val="24"/>
                <w:lang w:val="en-US" w:eastAsia="zh-CN"/>
              </w:rPr>
              <w:t>项目危险废物</w:t>
            </w:r>
            <w:r>
              <w:rPr>
                <w:rFonts w:hint="eastAsia"/>
                <w:color w:val="auto"/>
                <w:sz w:val="24"/>
                <w:szCs w:val="24"/>
                <w:lang w:val="en-US" w:eastAsia="zh-CN"/>
              </w:rPr>
              <w:t>贮存库</w:t>
            </w:r>
            <w:r>
              <w:rPr>
                <w:rFonts w:hint="default"/>
                <w:color w:val="auto"/>
                <w:sz w:val="24"/>
                <w:szCs w:val="24"/>
                <w:lang w:val="en-US" w:eastAsia="zh-CN"/>
              </w:rPr>
              <w:t>应按照《危险废物贮存污染控制标准》</w:t>
            </w:r>
            <w:r>
              <w:rPr>
                <w:rFonts w:hint="eastAsia"/>
                <w:color w:val="auto"/>
                <w:sz w:val="24"/>
                <w:szCs w:val="24"/>
                <w:lang w:val="en-US" w:eastAsia="zh-CN"/>
              </w:rPr>
              <w:t>（GB 18597-2023）</w:t>
            </w:r>
            <w:r>
              <w:rPr>
                <w:rFonts w:hint="default"/>
                <w:color w:val="auto"/>
                <w:sz w:val="24"/>
                <w:szCs w:val="24"/>
                <w:lang w:val="en-US" w:eastAsia="zh-CN"/>
              </w:rPr>
              <w:t>要求进行建设</w:t>
            </w:r>
            <w:r>
              <w:rPr>
                <w:rFonts w:hint="eastAsia"/>
                <w:color w:val="auto"/>
                <w:sz w:val="24"/>
                <w:szCs w:val="24"/>
                <w:lang w:val="en-US" w:eastAsia="zh-CN"/>
              </w:rPr>
              <w:t>：</w:t>
            </w:r>
          </w:p>
          <w:p>
            <w:pPr>
              <w:bidi w:val="0"/>
              <w:rPr>
                <w:rFonts w:hint="default"/>
                <w:color w:val="auto"/>
                <w:sz w:val="24"/>
                <w:szCs w:val="24"/>
                <w:lang w:val="en-US" w:eastAsia="zh-CN"/>
              </w:rPr>
            </w:pPr>
            <w:r>
              <w:rPr>
                <w:rFonts w:hint="default"/>
                <w:color w:val="auto"/>
                <w:sz w:val="24"/>
                <w:szCs w:val="24"/>
                <w:lang w:val="en-US" w:eastAsia="zh-CN"/>
              </w:rPr>
              <w:t>①具备防风、防晒、防雨、防渗</w:t>
            </w:r>
            <w:r>
              <w:rPr>
                <w:rFonts w:hint="eastAsia"/>
                <w:color w:val="auto"/>
                <w:sz w:val="24"/>
                <w:szCs w:val="24"/>
                <w:lang w:val="en-US" w:eastAsia="zh-CN"/>
              </w:rPr>
              <w:t>、防漏、防腐措施。</w:t>
            </w:r>
          </w:p>
          <w:p>
            <w:pPr>
              <w:bidi w:val="0"/>
              <w:rPr>
                <w:rFonts w:hint="default"/>
                <w:color w:val="auto"/>
                <w:sz w:val="24"/>
                <w:szCs w:val="24"/>
                <w:lang w:val="en-US" w:eastAsia="zh-CN"/>
              </w:rPr>
            </w:pPr>
            <w:r>
              <w:rPr>
                <w:rFonts w:hint="default"/>
                <w:color w:val="auto"/>
                <w:sz w:val="24"/>
                <w:szCs w:val="24"/>
                <w:lang w:val="en-US" w:eastAsia="zh-CN"/>
              </w:rPr>
              <w:t>②</w:t>
            </w:r>
            <w:r>
              <w:rPr>
                <w:rFonts w:hint="eastAsia"/>
                <w:color w:val="auto"/>
                <w:sz w:val="24"/>
                <w:szCs w:val="24"/>
                <w:lang w:val="en-US" w:eastAsia="zh-CN"/>
              </w:rPr>
              <w:t>根据危险废物的类别、数量、形态、物理化学性质和污染防治等要求设置必要的贮存分区，避免不相容的危险废物接触、混溶。</w:t>
            </w:r>
          </w:p>
          <w:p>
            <w:pPr>
              <w:bidi w:val="0"/>
              <w:rPr>
                <w:rFonts w:hint="default"/>
                <w:color w:val="auto"/>
                <w:sz w:val="24"/>
                <w:szCs w:val="24"/>
                <w:lang w:val="en-US" w:eastAsia="zh-CN"/>
              </w:rPr>
            </w:pPr>
            <w:r>
              <w:rPr>
                <w:rFonts w:hint="default"/>
                <w:color w:val="auto"/>
                <w:sz w:val="24"/>
                <w:szCs w:val="24"/>
                <w:lang w:val="en-US" w:eastAsia="zh-CN"/>
              </w:rPr>
              <w:t>③贮存设施或贮存分区内地面、墙面</w:t>
            </w:r>
            <w:r>
              <w:rPr>
                <w:rFonts w:hint="eastAsia"/>
                <w:color w:val="auto"/>
                <w:sz w:val="24"/>
                <w:szCs w:val="24"/>
                <w:lang w:val="en-US" w:eastAsia="zh-CN"/>
              </w:rPr>
              <w:t>裙角</w:t>
            </w:r>
            <w:r>
              <w:rPr>
                <w:rFonts w:hint="default"/>
                <w:color w:val="auto"/>
                <w:sz w:val="24"/>
                <w:szCs w:val="24"/>
                <w:lang w:val="en-US" w:eastAsia="zh-CN"/>
              </w:rPr>
              <w:t>、堵截泄漏的围堰、接触危险废物的隔板和墙体等应采用坚固的材料建造，表面无裂缝。</w:t>
            </w:r>
          </w:p>
          <w:p>
            <w:pPr>
              <w:bidi w:val="0"/>
              <w:rPr>
                <w:rFonts w:hint="default"/>
                <w:color w:val="auto"/>
                <w:sz w:val="24"/>
                <w:szCs w:val="24"/>
                <w:lang w:val="en-US" w:eastAsia="zh-CN"/>
              </w:rPr>
            </w:pPr>
            <w:r>
              <w:rPr>
                <w:rFonts w:hint="default"/>
                <w:color w:val="auto"/>
                <w:sz w:val="24"/>
                <w:szCs w:val="24"/>
                <w:lang w:val="en-US" w:eastAsia="zh-CN"/>
              </w:rPr>
              <w:t>④危险废物贮存</w:t>
            </w:r>
            <w:r>
              <w:rPr>
                <w:rFonts w:hint="eastAsia"/>
                <w:color w:val="auto"/>
                <w:sz w:val="24"/>
                <w:szCs w:val="24"/>
                <w:lang w:val="en-US" w:eastAsia="zh-CN"/>
              </w:rPr>
              <w:t>库</w:t>
            </w:r>
            <w:r>
              <w:rPr>
                <w:rFonts w:hint="default"/>
                <w:color w:val="auto"/>
                <w:sz w:val="24"/>
                <w:szCs w:val="24"/>
                <w:lang w:val="en-US" w:eastAsia="zh-CN"/>
              </w:rPr>
              <w:t>基础必须防渗，贮存设施地面与裙脚应采取表面防渗措施，表面防渗材料应与所接触的物料或污染物相容，可采用抗渗混凝土、高密度</w:t>
            </w:r>
            <w:r>
              <w:rPr>
                <w:rFonts w:hint="eastAsia"/>
                <w:color w:val="auto"/>
                <w:sz w:val="24"/>
                <w:szCs w:val="24"/>
                <w:lang w:val="en-US" w:eastAsia="zh-CN"/>
              </w:rPr>
              <w:t>塑料零部件</w:t>
            </w:r>
            <w:r>
              <w:rPr>
                <w:rFonts w:hint="default"/>
                <w:color w:val="auto"/>
                <w:sz w:val="24"/>
                <w:szCs w:val="24"/>
                <w:lang w:val="en-US" w:eastAsia="zh-CN"/>
              </w:rPr>
              <w:t>、钠基膨润土防水毯或其他防渗性能等效的材料。贮存的危险废物直接接触地面的，还应进行基础防渗，防渗层为至少1m厚黏土层</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-7</w:t>
            </w:r>
            <w:r>
              <w:rPr>
                <w:rFonts w:hint="default"/>
                <w:color w:val="auto"/>
                <w:sz w:val="24"/>
                <w:szCs w:val="24"/>
                <w:lang w:val="en-US" w:eastAsia="zh-CN"/>
              </w:rPr>
              <w:t>cm/s)，或至少2mm厚高密度</w:t>
            </w:r>
            <w:r>
              <w:rPr>
                <w:rFonts w:hint="eastAsia"/>
                <w:color w:val="auto"/>
                <w:sz w:val="24"/>
                <w:szCs w:val="24"/>
                <w:lang w:val="en-US" w:eastAsia="zh-CN"/>
              </w:rPr>
              <w:t>塑料零部件</w:t>
            </w:r>
            <w:r>
              <w:rPr>
                <w:rFonts w:hint="default"/>
                <w:color w:val="auto"/>
                <w:sz w:val="24"/>
                <w:szCs w:val="24"/>
                <w:lang w:val="en-US" w:eastAsia="zh-CN"/>
              </w:rPr>
              <w:t>等人工防渗材料</w:t>
            </w:r>
            <w:r>
              <w:rPr>
                <w:rFonts w:hint="eastAsia"/>
                <w:color w:val="auto"/>
                <w:sz w:val="24"/>
                <w:szCs w:val="24"/>
                <w:lang w:val="en-US" w:eastAsia="zh-CN"/>
              </w:rPr>
              <w:t>（</w:t>
            </w:r>
            <w:r>
              <w:rPr>
                <w:rFonts w:hint="default"/>
                <w:color w:val="auto"/>
                <w:sz w:val="24"/>
                <w:szCs w:val="24"/>
                <w:lang w:val="en-US" w:eastAsia="zh-CN"/>
              </w:rPr>
              <w:t>渗透系数不大于10</w:t>
            </w:r>
            <w:r>
              <w:rPr>
                <w:rFonts w:hint="default"/>
                <w:color w:val="auto"/>
                <w:sz w:val="24"/>
                <w:szCs w:val="24"/>
                <w:vertAlign w:val="superscript"/>
                <w:lang w:val="en-US" w:eastAsia="zh-CN"/>
              </w:rPr>
              <w:t>-10</w:t>
            </w:r>
            <w:r>
              <w:rPr>
                <w:rFonts w:hint="default"/>
                <w:color w:val="auto"/>
                <w:sz w:val="24"/>
                <w:szCs w:val="24"/>
                <w:lang w:val="en-US" w:eastAsia="zh-CN"/>
              </w:rPr>
              <w:t>cm/s)，或其他防渗性能等效的材料。</w:t>
            </w:r>
          </w:p>
          <w:p>
            <w:pPr>
              <w:bidi w:val="0"/>
              <w:rPr>
                <w:rFonts w:hint="eastAsia"/>
                <w:color w:val="auto"/>
                <w:sz w:val="24"/>
                <w:szCs w:val="24"/>
                <w:lang w:val="en-US" w:eastAsia="zh-CN"/>
              </w:rPr>
            </w:pPr>
            <w:r>
              <w:rPr>
                <w:rFonts w:hint="eastAsia"/>
                <w:color w:val="auto"/>
                <w:sz w:val="24"/>
                <w:szCs w:val="24"/>
                <w:lang w:val="en-US" w:eastAsia="zh-CN"/>
              </w:rPr>
              <w:t>同一贮存设施宜采用相同的防渗、防腐工艺（包括防渗、防腐结构或材料），防渗、防腐材料应覆盖所有可能与废物及其渗滤液、渗漏液等接触的构筑物表面；采用不同防渗、防腐工艺应分别建设。</w:t>
            </w:r>
          </w:p>
          <w:p>
            <w:pPr>
              <w:bidi w:val="0"/>
              <w:rPr>
                <w:rFonts w:hint="eastAsia"/>
                <w:color w:val="auto"/>
                <w:sz w:val="24"/>
                <w:szCs w:val="24"/>
                <w:lang w:val="en-US" w:eastAsia="zh-CN"/>
              </w:rPr>
            </w:pPr>
            <w:r>
              <w:rPr>
                <w:rFonts w:hint="eastAsia"/>
                <w:color w:val="auto"/>
                <w:sz w:val="24"/>
                <w:szCs w:val="24"/>
              </w:rPr>
              <w:t>⑤</w:t>
            </w:r>
            <w:r>
              <w:rPr>
                <w:rFonts w:hint="default"/>
                <w:color w:val="auto"/>
                <w:sz w:val="24"/>
                <w:szCs w:val="24"/>
                <w:lang w:val="en-US" w:eastAsia="zh-CN"/>
              </w:rPr>
              <w:t>贮存库内不同贮存分区之间应采取隔离措施。隔离措施可根据危险废物特性采用过道、隔板或隔墙等方式。</w:t>
            </w:r>
          </w:p>
          <w:p>
            <w:pPr>
              <w:bidi w:val="0"/>
              <w:rPr>
                <w:rFonts w:hint="default"/>
                <w:color w:val="auto"/>
                <w:sz w:val="24"/>
                <w:szCs w:val="24"/>
                <w:lang w:val="en-US" w:eastAsia="zh-CN"/>
              </w:rPr>
            </w:pPr>
            <w:r>
              <w:rPr>
                <w:rFonts w:hint="eastAsia"/>
                <w:color w:val="auto"/>
                <w:sz w:val="24"/>
                <w:szCs w:val="24"/>
                <w:lang w:val="en-US" w:eastAsia="zh-CN"/>
              </w:rPr>
              <w:t>⑥在贮存库内或通过贮存分区方式贮存液态危险废物的，应具有液体泄漏堵截设施，堵截设施最小容积不应低于对应贮存区域最大液态废物容器容积或液态废物总储量1/10（二者取较大者）；</w:t>
            </w:r>
          </w:p>
          <w:p>
            <w:pPr>
              <w:bidi w:val="0"/>
              <w:rPr>
                <w:rFonts w:hint="eastAsia"/>
                <w:color w:val="auto"/>
                <w:sz w:val="24"/>
                <w:szCs w:val="24"/>
                <w:lang w:val="en-US" w:eastAsia="zh-CN"/>
              </w:rPr>
            </w:pPr>
            <w:r>
              <w:rPr>
                <w:rFonts w:hint="eastAsia"/>
                <w:color w:val="auto"/>
                <w:sz w:val="24"/>
                <w:szCs w:val="24"/>
                <w:lang w:val="en-US" w:eastAsia="zh-CN"/>
              </w:rPr>
              <w:t>⑦容器和包装物污染控制要求：容器和包装物材质、内衬应与盛装的危险废物相容；针对不同类别、形态、物理化学性质的危险废物，其容器和包装物应满足相应的防渗、防漏、防腐和强度等要求；硬质容器和包装物及其支护结构堆叠码放时不应有明显变形，无破损泄漏，柔性容器和包装物堆叠码放时应封口严密，无破损泄漏；</w:t>
            </w:r>
            <w:r>
              <w:rPr>
                <w:rFonts w:hint="eastAsia"/>
                <w:color w:val="auto"/>
                <w:sz w:val="24"/>
                <w:szCs w:val="24"/>
              </w:rPr>
              <w:t>使用容器盛装液态、半固态危险废物时，容器内部应留有适当的空间，以适应因温度变化等可能引发的收缩和膨胀，防止其导致容器渗漏或永久变形</w:t>
            </w:r>
            <w:r>
              <w:rPr>
                <w:rFonts w:hint="eastAsia"/>
                <w:color w:val="auto"/>
                <w:sz w:val="24"/>
                <w:szCs w:val="24"/>
                <w:lang w:eastAsia="zh-CN"/>
              </w:rPr>
              <w:t>；容器和包装物外表应保持清洁。</w:t>
            </w:r>
          </w:p>
          <w:p>
            <w:pPr>
              <w:bidi w:val="0"/>
              <w:rPr>
                <w:rFonts w:hint="eastAsia"/>
                <w:color w:val="auto"/>
                <w:sz w:val="24"/>
                <w:szCs w:val="24"/>
                <w:lang w:val="en-US" w:eastAsia="zh-CN"/>
              </w:rPr>
            </w:pPr>
            <w:r>
              <w:rPr>
                <w:rFonts w:hint="eastAsia"/>
                <w:color w:val="auto"/>
                <w:sz w:val="24"/>
                <w:szCs w:val="24"/>
                <w:lang w:val="en-US" w:eastAsia="zh-CN"/>
              </w:rPr>
              <w:t>⑧贮存过程污染控制要求：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具有热塑性的危险废物应装入容器或包装袋内进行贮存；易产生粉尘、VOCs、酸雾、有毒有害大气污染物和刺激性气味气体的危险废物应装入闭口容器或包装物内贮存。危险废物贮存过程中易产生粉尘等无组织排放的，应采取抑尘等有效措施。</w:t>
            </w:r>
          </w:p>
          <w:p>
            <w:pPr>
              <w:bidi w:val="0"/>
              <w:rPr>
                <w:rFonts w:hint="eastAsia"/>
                <w:color w:val="auto"/>
                <w:sz w:val="24"/>
                <w:szCs w:val="24"/>
                <w:lang w:val="en-US" w:eastAsia="zh-CN"/>
              </w:rPr>
            </w:pPr>
            <w:r>
              <w:rPr>
                <w:rFonts w:hint="eastAsia"/>
                <w:color w:val="auto"/>
                <w:sz w:val="24"/>
                <w:szCs w:val="24"/>
                <w:lang w:val="en-US" w:eastAsia="zh-CN"/>
              </w:rPr>
              <w:t>⑨项目危险废物暂存标志按照《危险废物识别标志设置技术规范》（HJ 1276-2022）要求进行。</w:t>
            </w:r>
          </w:p>
          <w:p>
            <w:pPr>
              <w:bidi w:val="0"/>
              <w:rPr>
                <w:rFonts w:hint="eastAsia"/>
                <w:color w:val="auto"/>
                <w:sz w:val="24"/>
                <w:szCs w:val="24"/>
                <w:lang w:val="en-US" w:eastAsia="zh-CN"/>
              </w:rPr>
            </w:pPr>
            <w:r>
              <w:rPr>
                <w:rFonts w:hint="eastAsia"/>
                <w:color w:val="auto"/>
                <w:sz w:val="24"/>
                <w:szCs w:val="24"/>
                <w:lang w:val="en-US" w:eastAsia="zh-CN"/>
              </w:rPr>
              <w:t>项目拟在厂区3#物料库南侧建设1间危险废物贮存库（20m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default"/>
                <w:color w:val="auto"/>
                <w:sz w:val="24"/>
                <w:szCs w:val="24"/>
                <w:lang w:eastAsia="zh-CN"/>
              </w:rPr>
              <w:t>危险废物贮存</w:t>
            </w:r>
            <w:r>
              <w:rPr>
                <w:rFonts w:hint="eastAsia"/>
                <w:color w:val="auto"/>
                <w:sz w:val="24"/>
                <w:szCs w:val="24"/>
                <w:lang w:eastAsia="zh-CN"/>
              </w:rPr>
              <w:t>情况</w:t>
            </w:r>
            <w:r>
              <w:rPr>
                <w:rFonts w:hint="default"/>
                <w:color w:val="auto"/>
                <w:sz w:val="24"/>
                <w:szCs w:val="24"/>
                <w:lang w:eastAsia="zh-CN"/>
              </w:rPr>
              <w:t>详见表</w:t>
            </w:r>
            <w:r>
              <w:rPr>
                <w:rFonts w:hint="eastAsia"/>
                <w:color w:val="auto"/>
                <w:sz w:val="24"/>
                <w:szCs w:val="24"/>
                <w:lang w:val="en-US" w:eastAsia="zh-CN"/>
              </w:rPr>
              <w:t>4.5</w:t>
            </w:r>
            <w:r>
              <w:rPr>
                <w:rFonts w:hint="default"/>
                <w:color w:val="auto"/>
                <w:sz w:val="24"/>
                <w:szCs w:val="24"/>
                <w:lang w:val="en-US" w:eastAsia="zh-CN"/>
              </w:rPr>
              <w:t>-</w:t>
            </w:r>
            <w:r>
              <w:rPr>
                <w:rFonts w:hint="eastAsia"/>
                <w:color w:val="auto"/>
                <w:sz w:val="24"/>
                <w:szCs w:val="24"/>
                <w:lang w:val="en-US" w:eastAsia="zh-CN"/>
              </w:rPr>
              <w:t>2，根据该表可知，项目拟建危险废物贮存库可满足危险废物暂存需求，同时本评价要求建设单位按危废种类分区存放，委托资质单位及时清运。</w:t>
            </w:r>
          </w:p>
          <w:p>
            <w:pPr>
              <w:bidi w:val="0"/>
              <w:rPr>
                <w:rFonts w:hint="eastAsia"/>
                <w:color w:val="auto"/>
                <w:sz w:val="24"/>
                <w:szCs w:val="24"/>
                <w:lang w:val="en-US" w:eastAsia="zh-CN"/>
              </w:rPr>
            </w:pPr>
          </w:p>
          <w:p>
            <w:pPr>
              <w:bidi w:val="0"/>
              <w:rPr>
                <w:rFonts w:hint="eastAsia"/>
                <w:color w:val="auto"/>
                <w:sz w:val="24"/>
                <w:szCs w:val="24"/>
                <w:lang w:val="en-US" w:eastAsia="zh-CN"/>
              </w:rPr>
            </w:pPr>
          </w:p>
          <w:p>
            <w:pPr>
              <w:bidi w:val="0"/>
              <w:rPr>
                <w:rFonts w:hint="eastAsia"/>
                <w:color w:val="auto"/>
                <w:sz w:val="24"/>
                <w:szCs w:val="24"/>
                <w:lang w:val="en-US" w:eastAsia="zh-CN"/>
              </w:rPr>
            </w:pPr>
          </w:p>
          <w:p>
            <w:pPr>
              <w:bidi w:val="0"/>
              <w:rPr>
                <w:rFonts w:hint="eastAsia"/>
                <w:color w:val="auto"/>
                <w:sz w:val="24"/>
                <w:szCs w:val="24"/>
                <w:lang w:val="en-US" w:eastAsia="zh-CN"/>
              </w:rPr>
            </w:pPr>
          </w:p>
          <w:p>
            <w:pPr>
              <w:pStyle w:val="33"/>
              <w:keepNext/>
              <w:keepLines w:val="0"/>
              <w:pageBreakBefore w:val="0"/>
              <w:widowControl w:val="0"/>
              <w:kinsoku/>
              <w:wordWrap/>
              <w:overflowPunct/>
              <w:topLinePunct w:val="0"/>
              <w:autoSpaceDE/>
              <w:autoSpaceDN/>
              <w:bidi w:val="0"/>
              <w:adjustRightInd/>
              <w:snapToGrid/>
              <w:textAlignment w:val="auto"/>
              <w:rPr>
                <w:rFonts w:hint="eastAsia"/>
                <w:color w:val="auto"/>
                <w:sz w:val="24"/>
                <w:szCs w:val="24"/>
                <w:lang w:val="en-US" w:eastAsia="zh-CN"/>
              </w:rPr>
            </w:pPr>
            <w:r>
              <w:rPr>
                <w:rFonts w:hint="default"/>
                <w:color w:val="auto"/>
                <w:sz w:val="24"/>
                <w:szCs w:val="24"/>
                <w:lang w:val="en-US" w:eastAsia="zh-CN"/>
              </w:rPr>
              <w:t>表</w:t>
            </w:r>
            <w:r>
              <w:rPr>
                <w:rFonts w:hint="eastAsia"/>
                <w:color w:val="auto"/>
                <w:sz w:val="24"/>
                <w:szCs w:val="24"/>
                <w:lang w:val="en-US" w:eastAsia="zh-CN"/>
              </w:rPr>
              <w:t>4</w:t>
            </w:r>
            <w:r>
              <w:rPr>
                <w:rFonts w:hint="default"/>
                <w:color w:val="auto"/>
                <w:sz w:val="24"/>
                <w:szCs w:val="24"/>
                <w:lang w:val="en-US" w:eastAsia="zh-CN"/>
              </w:rPr>
              <w:t>.</w:t>
            </w:r>
            <w:r>
              <w:rPr>
                <w:rFonts w:hint="eastAsia"/>
                <w:color w:val="auto"/>
                <w:sz w:val="24"/>
                <w:szCs w:val="24"/>
                <w:lang w:val="en-US" w:eastAsia="zh-CN"/>
              </w:rPr>
              <w:t>5</w:t>
            </w:r>
            <w:r>
              <w:rPr>
                <w:rFonts w:hint="default"/>
                <w:color w:val="auto"/>
                <w:sz w:val="24"/>
                <w:szCs w:val="24"/>
                <w:lang w:val="en-US" w:eastAsia="zh-CN"/>
              </w:rPr>
              <w:t>-</w:t>
            </w:r>
            <w:r>
              <w:rPr>
                <w:rFonts w:hint="eastAsia"/>
                <w:color w:val="auto"/>
                <w:sz w:val="24"/>
                <w:szCs w:val="24"/>
                <w:lang w:val="en-US" w:eastAsia="zh-CN"/>
              </w:rPr>
              <w:t>2</w:t>
            </w:r>
            <w:r>
              <w:rPr>
                <w:rFonts w:hint="default"/>
                <w:color w:val="auto"/>
                <w:sz w:val="24"/>
                <w:szCs w:val="24"/>
                <w:lang w:val="en-US" w:eastAsia="zh-CN"/>
              </w:rPr>
              <w:t xml:space="preserve"> </w:t>
            </w:r>
            <w:r>
              <w:rPr>
                <w:rFonts w:hint="eastAsia"/>
                <w:color w:val="auto"/>
                <w:sz w:val="24"/>
                <w:szCs w:val="24"/>
                <w:lang w:val="en-US" w:eastAsia="zh-CN"/>
              </w:rPr>
              <w:t>建设项目危险废物贮存场所（设施）基本情况表</w:t>
            </w:r>
          </w:p>
          <w:p>
            <w:pPr>
              <w:spacing w:before="120" w:beforeLines="50"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2</w:t>
            </w:r>
            <w:r>
              <w:rPr>
                <w:rFonts w:hint="eastAsia"/>
                <w:b w:val="0"/>
                <w:bCs w:val="0"/>
                <w:color w:val="auto"/>
                <w:sz w:val="24"/>
                <w:szCs w:val="24"/>
                <w:lang w:val="en-US" w:eastAsia="zh-CN"/>
              </w:rPr>
              <w:t>）</w:t>
            </w:r>
            <w:r>
              <w:rPr>
                <w:color w:val="auto"/>
                <w:sz w:val="24"/>
              </w:rPr>
              <w:t>委托利用或者处置的环境影响分析</w:t>
            </w:r>
          </w:p>
          <w:p>
            <w:pPr>
              <w:spacing w:line="360" w:lineRule="auto"/>
              <w:ind w:firstLine="480" w:firstLineChars="200"/>
              <w:rPr>
                <w:color w:val="auto"/>
                <w:sz w:val="24"/>
              </w:rPr>
            </w:pPr>
            <w:r>
              <w:rPr>
                <w:color w:val="auto"/>
                <w:sz w:val="24"/>
              </w:rPr>
              <w:t>本项目不具备危险废物利用或处置能力，项目危险废物定期委托有资质单位统一转移处置，危险废物运输过程也全部委托有资质单位统一进行。</w:t>
            </w:r>
          </w:p>
          <w:p>
            <w:pPr>
              <w:spacing w:line="360" w:lineRule="auto"/>
              <w:ind w:firstLine="480" w:firstLineChars="200"/>
              <w:rPr>
                <w:color w:val="auto"/>
                <w:sz w:val="24"/>
              </w:rPr>
            </w:pPr>
            <w:r>
              <w:rPr>
                <w:rFonts w:hint="eastAsia" w:ascii="Times New Roman" w:hAnsi="Times New Roman" w:eastAsia="宋体" w:cs="Times New Roman"/>
                <w:b w:val="0"/>
                <w:bCs w:val="0"/>
                <w:color w:val="auto"/>
                <w:sz w:val="24"/>
                <w:szCs w:val="24"/>
                <w:highlight w:val="none"/>
                <w:lang w:val="en-US" w:eastAsia="zh-CN"/>
              </w:rPr>
              <w:t>（</w:t>
            </w:r>
            <w:r>
              <w:rPr>
                <w:rFonts w:hint="eastAsia" w:eastAsia="宋体"/>
                <w:b w:val="0"/>
                <w:bCs w:val="0"/>
                <w:color w:val="auto"/>
                <w:sz w:val="24"/>
                <w:szCs w:val="24"/>
                <w:lang w:val="en-US" w:eastAsia="zh-CN"/>
              </w:rPr>
              <w:t>3</w:t>
            </w:r>
            <w:r>
              <w:rPr>
                <w:rFonts w:hint="eastAsia"/>
                <w:b w:val="0"/>
                <w:bCs w:val="0"/>
                <w:color w:val="auto"/>
                <w:sz w:val="24"/>
                <w:szCs w:val="24"/>
                <w:lang w:val="en-US" w:eastAsia="zh-CN"/>
              </w:rPr>
              <w:t>）</w:t>
            </w:r>
            <w:r>
              <w:rPr>
                <w:color w:val="auto"/>
                <w:sz w:val="24"/>
              </w:rPr>
              <w:t>固体废物运输过程的环境影响分析</w:t>
            </w:r>
          </w:p>
          <w:p>
            <w:pPr>
              <w:spacing w:line="360" w:lineRule="auto"/>
              <w:ind w:firstLine="480" w:firstLineChars="200"/>
              <w:rPr>
                <w:color w:val="auto"/>
                <w:sz w:val="24"/>
              </w:rPr>
            </w:pPr>
            <w:r>
              <w:rPr>
                <w:color w:val="auto"/>
                <w:sz w:val="24"/>
              </w:rPr>
              <w:t>本项目危险废物</w:t>
            </w:r>
            <w:r>
              <w:rPr>
                <w:rFonts w:hint="eastAsia"/>
                <w:color w:val="auto"/>
                <w:sz w:val="24"/>
              </w:rPr>
              <w:t>密闭桶装/袋装后</w:t>
            </w:r>
            <w:r>
              <w:rPr>
                <w:color w:val="auto"/>
                <w:sz w:val="24"/>
              </w:rPr>
              <w:t>委托有资质的单位处置；</w:t>
            </w:r>
            <w:r>
              <w:rPr>
                <w:rFonts w:hint="eastAsia"/>
                <w:color w:val="auto"/>
                <w:sz w:val="24"/>
              </w:rPr>
              <w:t>项目危险废物运输委托有资质单位进行</w:t>
            </w:r>
            <w:r>
              <w:rPr>
                <w:color w:val="auto"/>
                <w:sz w:val="24"/>
              </w:rPr>
              <w:t>统一进行。</w:t>
            </w:r>
          </w:p>
          <w:p>
            <w:pPr>
              <w:pStyle w:val="45"/>
              <w:ind w:firstLine="480"/>
              <w:rPr>
                <w:rFonts w:hint="eastAsia"/>
                <w:color w:val="auto"/>
              </w:rPr>
            </w:pPr>
            <w:r>
              <w:rPr>
                <w:rFonts w:hint="eastAsia" w:ascii="Times New Roman" w:hAnsi="Times New Roman" w:eastAsia="宋体" w:cs="Times New Roman"/>
                <w:b w:val="0"/>
                <w:bCs w:val="0"/>
                <w:color w:val="auto"/>
                <w:sz w:val="24"/>
                <w:szCs w:val="24"/>
                <w:highlight w:val="none"/>
                <w:lang w:val="en-US" w:eastAsia="zh-CN"/>
              </w:rPr>
              <w:t>（</w:t>
            </w:r>
            <w:r>
              <w:rPr>
                <w:rFonts w:hint="eastAsia"/>
                <w:b w:val="0"/>
                <w:bCs w:val="0"/>
                <w:color w:val="auto"/>
                <w:sz w:val="24"/>
                <w:szCs w:val="24"/>
                <w:lang w:val="en-US" w:eastAsia="zh-CN"/>
              </w:rPr>
              <w:t>4）</w:t>
            </w:r>
            <w:r>
              <w:rPr>
                <w:rFonts w:hint="eastAsia"/>
                <w:color w:val="auto"/>
              </w:rPr>
              <w:t>危险废物转移要求</w:t>
            </w:r>
          </w:p>
          <w:p>
            <w:pPr>
              <w:pStyle w:val="45"/>
              <w:ind w:firstLine="480"/>
              <w:jc w:val="left"/>
              <w:rPr>
                <w:rFonts w:hint="eastAsia"/>
                <w:color w:val="auto"/>
              </w:rPr>
            </w:pPr>
            <w:r>
              <w:rPr>
                <w:rFonts w:hint="eastAsia"/>
                <w:color w:val="auto"/>
              </w:rPr>
              <w:t>根据《危险废物转移管理办法》(2021年11月30日生态环境部、公安部、交通运输部令第23号公布，自2022年1月1日起施行)，危险废物转移过程应满足以下要求：</w:t>
            </w:r>
          </w:p>
          <w:p>
            <w:pPr>
              <w:pStyle w:val="45"/>
              <w:ind w:firstLine="480"/>
              <w:jc w:val="left"/>
              <w:rPr>
                <w:rFonts w:hint="eastAsia"/>
                <w:color w:val="auto"/>
              </w:rPr>
            </w:pPr>
            <w:r>
              <w:rPr>
                <w:color w:val="auto"/>
                <w:szCs w:val="24"/>
              </w:rPr>
              <w:t>①</w:t>
            </w:r>
            <w:r>
              <w:rPr>
                <w:rFonts w:hint="eastAsia"/>
                <w:color w:val="auto"/>
              </w:rPr>
              <w:t>危险废物转移联单应当根据危险废物管理计划中填报的危险废物转移等备案信息填写、运行。</w:t>
            </w:r>
          </w:p>
          <w:p>
            <w:pPr>
              <w:pStyle w:val="45"/>
              <w:ind w:firstLine="480"/>
              <w:jc w:val="left"/>
              <w:rPr>
                <w:rFonts w:hint="eastAsia"/>
                <w:color w:val="auto"/>
              </w:rPr>
            </w:pPr>
            <w:r>
              <w:rPr>
                <w:color w:val="auto"/>
                <w:szCs w:val="24"/>
              </w:rPr>
              <w:t>②</w:t>
            </w:r>
            <w:r>
              <w:rPr>
                <w:rFonts w:hint="eastAsia"/>
                <w:color w:val="auto"/>
              </w:rPr>
              <w:t>危险废物转移联单实行全国统一编号，编号由十四位阿拉伯数字组成。</w:t>
            </w:r>
          </w:p>
          <w:p>
            <w:pPr>
              <w:pStyle w:val="45"/>
              <w:ind w:firstLine="480"/>
              <w:jc w:val="left"/>
              <w:rPr>
                <w:rFonts w:hint="eastAsia"/>
                <w:color w:val="auto"/>
              </w:rPr>
            </w:pPr>
            <w:r>
              <w:rPr>
                <w:color w:val="auto"/>
                <w:szCs w:val="24"/>
              </w:rPr>
              <w:t>③</w:t>
            </w:r>
            <w:r>
              <w:rPr>
                <w:rFonts w:hint="eastAsia"/>
                <w:color w:val="auto"/>
              </w:rPr>
              <w:t>移出人每转移一车（船或者其他运输工具）次同类危险废物，应当填写运行一份危险废物转移联单；每车（船或者其他运输工具）次转移多类危险废物的，可以填写、运行一份危险废物转移联单，也可以每一类危险废物填写、运行一份危险废物转移联单。使用同一车（船或者其他运输工具）一次为多个移出人转移危险废物的，每个移出人应当分别填写、运行危险废物转移联单。</w:t>
            </w:r>
          </w:p>
          <w:p>
            <w:pPr>
              <w:pStyle w:val="45"/>
              <w:ind w:firstLine="480"/>
              <w:jc w:val="left"/>
              <w:rPr>
                <w:rFonts w:hint="eastAsia"/>
                <w:color w:val="auto"/>
              </w:rPr>
            </w:pPr>
            <w:r>
              <w:rPr>
                <w:color w:val="auto"/>
                <w:szCs w:val="24"/>
              </w:rPr>
              <w:t>④</w:t>
            </w:r>
            <w:r>
              <w:rPr>
                <w:rFonts w:hint="eastAsia"/>
                <w:color w:val="auto"/>
              </w:rPr>
              <w:t>采用联运方式转移危险废物的，前一承运人和后一承运人应当明确运输交接的时间和地点。后一承运人应当核实危险废物转移联单确定的移出人信息、前一承运人信息及危险废物相关信息。</w:t>
            </w:r>
          </w:p>
          <w:p>
            <w:pPr>
              <w:pStyle w:val="45"/>
              <w:ind w:firstLine="480"/>
              <w:jc w:val="left"/>
              <w:rPr>
                <w:rFonts w:hint="eastAsia"/>
                <w:color w:val="auto"/>
              </w:rPr>
            </w:pPr>
            <w:r>
              <w:rPr>
                <w:rFonts w:hint="eastAsia"/>
                <w:color w:val="auto"/>
              </w:rPr>
              <w:t>⑤接受人应当对运抵的危险废物进行核实验收，并在接收之日起五个工作日内通过信息系统确认接受。运抵的危险废物的名称、数量、特性、形态、包装方式与危险废物转移联单填写内容不符的，接受人应当及时告知移出人，视情况决定是否接受，同时向接受地生态环境主管部门报告。</w:t>
            </w:r>
          </w:p>
          <w:p>
            <w:pPr>
              <w:pStyle w:val="45"/>
              <w:ind w:firstLine="480"/>
              <w:jc w:val="left"/>
              <w:rPr>
                <w:color w:val="auto"/>
              </w:rPr>
            </w:pPr>
            <w:r>
              <w:rPr>
                <w:rFonts w:hint="eastAsia"/>
                <w:color w:val="auto"/>
              </w:rPr>
              <w:t>⑥危险废物电子转移联单数据应当在信息系统中至少保存十年。因特殊原因无法运行危险废物电子转移联单的，可以先使用纸质转移联单，并于转移活动完成后十个工作日内在信息系统中补录电子转移联单</w:t>
            </w:r>
            <w:r>
              <w:rPr>
                <w:color w:val="auto"/>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4.5.2.3</w:t>
            </w:r>
            <w:r>
              <w:rPr>
                <w:rFonts w:hint="default" w:ascii="Times New Roman" w:hAnsi="Times New Roman" w:eastAsia="宋体" w:cs="Times New Roman"/>
                <w:b/>
                <w:bCs/>
                <w:color w:val="auto"/>
                <w:sz w:val="24"/>
                <w:szCs w:val="24"/>
                <w:highlight w:val="none"/>
              </w:rPr>
              <w:t>生活垃圾</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项目职工产生的生活垃圾应采取分类收集，并委托环卫部门统一外运处置。综述，本项目固体废物</w:t>
            </w:r>
            <w:r>
              <w:rPr>
                <w:rFonts w:hint="eastAsia" w:ascii="Times New Roman" w:hAnsi="Times New Roman" w:eastAsia="宋体" w:cs="Times New Roman"/>
                <w:color w:val="auto"/>
                <w:sz w:val="24"/>
                <w:szCs w:val="24"/>
                <w:highlight w:val="none"/>
                <w:lang w:eastAsia="zh-CN"/>
              </w:rPr>
              <w:t>采取以上处置处理措施后，正常情况下，不会对周边环境造成二次污染</w:t>
            </w:r>
            <w:r>
              <w:rPr>
                <w:rFonts w:hint="default" w:ascii="Times New Roman" w:hAnsi="Times New Roman" w:eastAsia="宋体" w:cs="Times New Roman"/>
                <w:color w:val="auto"/>
                <w:sz w:val="24"/>
                <w:szCs w:val="24"/>
                <w:highlight w:val="none"/>
              </w:rPr>
              <w:t>。</w:t>
            </w:r>
          </w:p>
          <w:p>
            <w:pPr>
              <w:pStyle w:val="3"/>
              <w:bidi w:val="0"/>
              <w:rPr>
                <w:rFonts w:hint="default"/>
                <w:color w:val="auto"/>
                <w:lang w:eastAsia="zh-CN"/>
              </w:rPr>
            </w:pPr>
            <w:r>
              <w:rPr>
                <w:rFonts w:hint="default"/>
                <w:color w:val="auto"/>
                <w:lang w:val="en-US" w:eastAsia="zh-CN"/>
              </w:rPr>
              <w:t>4.</w:t>
            </w:r>
            <w:r>
              <w:rPr>
                <w:rFonts w:hint="eastAsia"/>
                <w:color w:val="auto"/>
                <w:lang w:val="en-US" w:eastAsia="zh-CN"/>
              </w:rPr>
              <w:t>6</w:t>
            </w:r>
            <w:r>
              <w:rPr>
                <w:rFonts w:hint="default"/>
                <w:color w:val="auto"/>
                <w:lang w:eastAsia="zh-CN"/>
              </w:rPr>
              <w:t>地下水、土壤环境影响和保护措施</w:t>
            </w:r>
          </w:p>
          <w:p>
            <w:pPr>
              <w:pStyle w:val="4"/>
              <w:bidi w:val="0"/>
              <w:rPr>
                <w:rFonts w:hint="eastAsia"/>
                <w:color w:val="auto"/>
              </w:rPr>
            </w:pPr>
            <w:r>
              <w:rPr>
                <w:rFonts w:hint="eastAsia"/>
                <w:color w:val="auto"/>
              </w:rPr>
              <w:t>4.</w:t>
            </w:r>
            <w:r>
              <w:rPr>
                <w:rFonts w:hint="eastAsia"/>
                <w:color w:val="auto"/>
                <w:lang w:val="en-US" w:eastAsia="zh-CN"/>
              </w:rPr>
              <w:t>6</w:t>
            </w:r>
            <w:r>
              <w:rPr>
                <w:rFonts w:hint="eastAsia"/>
                <w:color w:val="auto"/>
              </w:rPr>
              <w:t xml:space="preserve">.1 </w:t>
            </w:r>
            <w:r>
              <w:rPr>
                <w:color w:val="auto"/>
              </w:rPr>
              <w:t>地下水、土壤环境影响</w:t>
            </w:r>
            <w:r>
              <w:rPr>
                <w:rFonts w:hint="eastAsia"/>
                <w:color w:val="auto"/>
              </w:rPr>
              <w:t>分析</w:t>
            </w:r>
          </w:p>
          <w:p>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地下水环境影响分析</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生产废水及初期雨水经处理后回用于搅拌、抑尘、冲洗</w:t>
            </w:r>
            <w:r>
              <w:rPr>
                <w:rFonts w:hint="eastAsia" w:cs="Times New Roman"/>
                <w:color w:val="auto"/>
                <w:sz w:val="24"/>
                <w:szCs w:val="24"/>
                <w:lang w:eastAsia="zh-CN"/>
              </w:rPr>
              <w:t>等</w:t>
            </w:r>
            <w:r>
              <w:rPr>
                <w:rFonts w:hint="eastAsia" w:ascii="Times New Roman" w:hAnsi="Times New Roman" w:eastAsia="宋体" w:cs="Times New Roman"/>
                <w:color w:val="auto"/>
                <w:sz w:val="24"/>
                <w:szCs w:val="24"/>
                <w:lang w:eastAsia="zh-CN"/>
              </w:rPr>
              <w:t>，不外排，</w:t>
            </w:r>
            <w:r>
              <w:rPr>
                <w:rFonts w:hint="eastAsia" w:ascii="Times New Roman" w:hAnsi="Times New Roman" w:eastAsia="宋体" w:cs="Times New Roman"/>
                <w:color w:val="auto"/>
                <w:sz w:val="24"/>
                <w:szCs w:val="24"/>
                <w:lang w:val="en-US" w:eastAsia="zh-CN"/>
              </w:rPr>
              <w:t>生活污水经</w:t>
            </w:r>
            <w:r>
              <w:rPr>
                <w:rFonts w:hint="eastAsia" w:cs="Times New Roman"/>
                <w:color w:val="auto"/>
                <w:sz w:val="24"/>
                <w:szCs w:val="24"/>
                <w:lang w:val="en-US" w:eastAsia="zh-CN"/>
              </w:rPr>
              <w:t>化粪池+一体化污水处理设施</w:t>
            </w:r>
            <w:r>
              <w:rPr>
                <w:rFonts w:hint="eastAsia" w:ascii="Times New Roman" w:hAnsi="Times New Roman" w:eastAsia="宋体" w:cs="Times New Roman"/>
                <w:color w:val="auto"/>
                <w:sz w:val="24"/>
                <w:szCs w:val="24"/>
              </w:rPr>
              <w:t>处理后</w:t>
            </w:r>
            <w:r>
              <w:rPr>
                <w:rFonts w:hint="eastAsia" w:cs="Times New Roman"/>
                <w:color w:val="auto"/>
                <w:sz w:val="24"/>
                <w:szCs w:val="24"/>
                <w:lang w:val="en-US" w:eastAsia="zh-CN"/>
              </w:rPr>
              <w:t>近期回用于厂区绿化灌溉，远期待项目周边市政污水管网及相关配套设施建成后，统一接入当地市政污水处理系统排放处理，不外排</w:t>
            </w:r>
            <w:r>
              <w:rPr>
                <w:rFonts w:hint="eastAsia" w:cs="Times New Roman"/>
                <w:color w:val="auto"/>
                <w:sz w:val="24"/>
                <w:szCs w:val="24"/>
                <w:lang w:eastAsia="zh-CN"/>
              </w:rPr>
              <w:t>。</w:t>
            </w:r>
            <w:r>
              <w:rPr>
                <w:rFonts w:ascii="Times New Roman" w:hAnsi="Times New Roman" w:eastAsia="宋体" w:cs="Times New Roman"/>
                <w:color w:val="auto"/>
                <w:sz w:val="24"/>
                <w:szCs w:val="24"/>
              </w:rPr>
              <w:t>项目废水不含有毒有害污染物，不含重金属等污染物，</w:t>
            </w:r>
            <w:r>
              <w:rPr>
                <w:rFonts w:hint="default" w:ascii="Times New Roman" w:hAnsi="Times New Roman" w:eastAsia="宋体" w:cs="Times New Roman"/>
                <w:color w:val="auto"/>
                <w:sz w:val="24"/>
                <w:szCs w:val="24"/>
              </w:rPr>
              <w:t>正常工况下</w:t>
            </w:r>
            <w:r>
              <w:rPr>
                <w:rFonts w:hint="eastAsia" w:ascii="Times New Roman" w:hAnsi="Times New Roman" w:eastAsia="宋体" w:cs="Times New Roman"/>
                <w:color w:val="auto"/>
                <w:sz w:val="24"/>
                <w:szCs w:val="24"/>
                <w:lang w:val="en-US" w:eastAsia="zh-CN"/>
              </w:rPr>
              <w:t>污水</w:t>
            </w:r>
            <w:r>
              <w:rPr>
                <w:rFonts w:hint="default" w:ascii="Times New Roman" w:hAnsi="Times New Roman" w:eastAsia="宋体" w:cs="Times New Roman"/>
                <w:color w:val="auto"/>
                <w:sz w:val="24"/>
                <w:szCs w:val="24"/>
              </w:rPr>
              <w:t>不易渗漏和进入地下水。根据现场调查，项目</w:t>
            </w:r>
            <w:r>
              <w:rPr>
                <w:rFonts w:hint="eastAsia" w:ascii="Times New Roman" w:hAnsi="Times New Roman" w:eastAsia="宋体" w:cs="Times New Roman"/>
                <w:color w:val="auto"/>
                <w:sz w:val="24"/>
                <w:szCs w:val="24"/>
                <w:lang w:val="en-US" w:eastAsia="zh-CN"/>
              </w:rPr>
              <w:t>周边</w:t>
            </w:r>
            <w:r>
              <w:rPr>
                <w:rFonts w:hint="eastAsia" w:ascii="Times New Roman" w:hAnsi="Times New Roman" w:eastAsia="宋体" w:cs="Times New Roman"/>
                <w:color w:val="auto"/>
                <w:sz w:val="24"/>
                <w:szCs w:val="24"/>
                <w:lang w:eastAsia="zh-CN"/>
              </w:rPr>
              <w:t>区域</w:t>
            </w:r>
            <w:r>
              <w:rPr>
                <w:rFonts w:hint="default" w:ascii="Times New Roman" w:hAnsi="Times New Roman" w:eastAsia="宋体" w:cs="Times New Roman"/>
                <w:color w:val="auto"/>
                <w:sz w:val="24"/>
                <w:szCs w:val="24"/>
              </w:rPr>
              <w:t>已全部开通自来水管网、生活用水采用自来水。</w:t>
            </w:r>
            <w:r>
              <w:rPr>
                <w:rFonts w:hint="eastAsia" w:ascii="Times New Roman" w:hAnsi="Times New Roman" w:eastAsia="宋体" w:cs="Times New Roman"/>
                <w:color w:val="auto"/>
                <w:sz w:val="24"/>
                <w:szCs w:val="24"/>
                <w:lang w:val="en-US" w:eastAsia="zh-CN"/>
              </w:rPr>
              <w:t>拟建</w:t>
            </w:r>
            <w:r>
              <w:rPr>
                <w:rFonts w:ascii="Times New Roman" w:hAnsi="Times New Roman" w:eastAsia="宋体" w:cs="Times New Roman"/>
                <w:color w:val="auto"/>
                <w:sz w:val="24"/>
                <w:szCs w:val="24"/>
              </w:rPr>
              <w:t>项目未对</w:t>
            </w:r>
            <w:r>
              <w:rPr>
                <w:rFonts w:hint="eastAsia" w:ascii="Times New Roman" w:hAnsi="Times New Roman" w:eastAsia="宋体" w:cs="Times New Roman"/>
                <w:color w:val="auto"/>
                <w:sz w:val="24"/>
                <w:szCs w:val="24"/>
              </w:rPr>
              <w:t>地下水进行开采，运营期间用水由市政</w:t>
            </w:r>
            <w:r>
              <w:rPr>
                <w:rFonts w:hint="eastAsia" w:ascii="Times New Roman" w:hAnsi="Times New Roman" w:eastAsia="宋体" w:cs="Times New Roman"/>
                <w:color w:val="auto"/>
                <w:sz w:val="24"/>
                <w:szCs w:val="24"/>
                <w:lang w:eastAsia="zh-CN"/>
              </w:rPr>
              <w:t>管网</w:t>
            </w:r>
            <w:r>
              <w:rPr>
                <w:rFonts w:hint="eastAsia" w:ascii="Times New Roman" w:hAnsi="Times New Roman" w:eastAsia="宋体" w:cs="Times New Roman"/>
                <w:color w:val="auto"/>
                <w:sz w:val="24"/>
                <w:szCs w:val="24"/>
              </w:rPr>
              <w:t>供水，不会对地下水水位产生影响。</w:t>
            </w:r>
          </w:p>
          <w:p>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olor w:val="auto"/>
                <w:kern w:val="18"/>
                <w:sz w:val="24"/>
                <w:szCs w:val="24"/>
              </w:rPr>
              <w:t>建设单位采取分区防渗防控措施</w:t>
            </w:r>
            <w:r>
              <w:rPr>
                <w:rFonts w:hint="eastAsia" w:ascii="Times New Roman" w:hAnsi="Times New Roman" w:eastAsia="宋体"/>
                <w:color w:val="auto"/>
                <w:kern w:val="18"/>
                <w:sz w:val="24"/>
                <w:szCs w:val="24"/>
              </w:rPr>
              <w:t>后，在正常工况下，建设项目防渗设施充足，不会发生泄漏</w:t>
            </w:r>
            <w:r>
              <w:rPr>
                <w:rFonts w:hint="eastAsia" w:ascii="Times New Roman" w:hAnsi="Times New Roman" w:eastAsia="宋体"/>
                <w:color w:val="auto"/>
                <w:kern w:val="18"/>
                <w:sz w:val="24"/>
                <w:szCs w:val="24"/>
                <w:lang w:eastAsia="zh-CN"/>
              </w:rPr>
              <w:t>；</w:t>
            </w:r>
            <w:r>
              <w:rPr>
                <w:rFonts w:hint="eastAsia" w:ascii="Times New Roman" w:hAnsi="Times New Roman" w:eastAsia="宋体" w:cs="Times New Roman"/>
                <w:color w:val="auto"/>
                <w:sz w:val="24"/>
                <w:szCs w:val="24"/>
              </w:rPr>
              <w:t>非正常工况下，会对地下水下游造成一定的污染。为了避免污染事故，评价要求建设单位应严格落实评价提出的各项防治措施及相关设计规范的要求，同时做好地下水监控及污染事故应急方案。</w:t>
            </w:r>
          </w:p>
          <w:p>
            <w:pPr>
              <w:spacing w:line="360" w:lineRule="auto"/>
              <w:ind w:firstLine="480" w:firstLineChars="200"/>
              <w:rPr>
                <w:rFonts w:hint="eastAsia" w:ascii="Times New Roman" w:hAnsi="Times New Roman" w:eastAsia="宋体"/>
                <w:color w:val="auto"/>
                <w:sz w:val="24"/>
                <w:szCs w:val="24"/>
              </w:rPr>
            </w:pP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lang w:val="en-US" w:eastAsia="zh-CN"/>
              </w:rPr>
              <w:t>2</w:t>
            </w:r>
            <w:r>
              <w:rPr>
                <w:rFonts w:hint="eastAsia" w:ascii="Times New Roman" w:hAnsi="Times New Roman" w:eastAsia="宋体"/>
                <w:color w:val="auto"/>
                <w:sz w:val="24"/>
                <w:szCs w:val="24"/>
                <w:lang w:eastAsia="zh-CN"/>
              </w:rPr>
              <w:t>）</w:t>
            </w:r>
            <w:r>
              <w:rPr>
                <w:rFonts w:hint="eastAsia" w:ascii="Times New Roman" w:hAnsi="Times New Roman" w:eastAsia="宋体"/>
                <w:color w:val="auto"/>
                <w:sz w:val="24"/>
                <w:szCs w:val="24"/>
              </w:rPr>
              <w:t>土壤</w:t>
            </w:r>
            <w:r>
              <w:rPr>
                <w:rFonts w:ascii="Times New Roman" w:hAnsi="Times New Roman" w:eastAsia="宋体"/>
                <w:color w:val="auto"/>
                <w:sz w:val="24"/>
                <w:szCs w:val="24"/>
              </w:rPr>
              <w:t>环境</w:t>
            </w:r>
            <w:r>
              <w:rPr>
                <w:rFonts w:hint="eastAsia" w:ascii="Times New Roman" w:hAnsi="Times New Roman" w:eastAsia="宋体" w:cs="Times New Roman"/>
                <w:color w:val="auto"/>
                <w:sz w:val="24"/>
                <w:szCs w:val="24"/>
              </w:rPr>
              <w:t>影响分析</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项目运营期对土壤的环境影响主要来自“三废”排放。</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①</w:t>
            </w:r>
            <w:r>
              <w:rPr>
                <w:rFonts w:hint="eastAsia" w:ascii="Times New Roman" w:hAnsi="Times New Roman" w:eastAsia="宋体"/>
                <w:color w:val="auto"/>
                <w:kern w:val="0"/>
                <w:sz w:val="24"/>
                <w:szCs w:val="24"/>
              </w:rPr>
              <w:t>废气对土壤环境的影响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废气中的污染物，通过降水、扩散和重力作用降落至地面，渗透进入土壤，进而污染土壤环境。</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②</w:t>
            </w:r>
            <w:r>
              <w:rPr>
                <w:rFonts w:hint="eastAsia" w:ascii="Times New Roman" w:hAnsi="Times New Roman" w:eastAsia="宋体"/>
                <w:color w:val="auto"/>
                <w:kern w:val="0"/>
                <w:sz w:val="24"/>
                <w:szCs w:val="24"/>
              </w:rPr>
              <w:t>废水对土壤环境的影响</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eastAsia="zh-CN"/>
              </w:rPr>
              <w:t>生产废水及初期雨水经处理后回用于搅拌，不外排，</w:t>
            </w:r>
            <w:r>
              <w:rPr>
                <w:rFonts w:hint="eastAsia" w:ascii="Times New Roman" w:hAnsi="Times New Roman" w:eastAsia="宋体" w:cs="Times New Roman"/>
                <w:color w:val="auto"/>
                <w:sz w:val="24"/>
                <w:szCs w:val="24"/>
                <w:lang w:val="en-US" w:eastAsia="zh-CN"/>
              </w:rPr>
              <w:t>生活污水经</w:t>
            </w:r>
            <w:r>
              <w:rPr>
                <w:rFonts w:hint="eastAsia" w:ascii="Times New Roman" w:hAnsi="Times New Roman" w:eastAsia="宋体" w:cs="Times New Roman"/>
                <w:color w:val="auto"/>
                <w:sz w:val="24"/>
                <w:szCs w:val="24"/>
              </w:rPr>
              <w:t>处理</w:t>
            </w:r>
            <w:r>
              <w:rPr>
                <w:rFonts w:hint="eastAsia" w:cs="Times New Roman"/>
                <w:color w:val="auto"/>
                <w:sz w:val="24"/>
                <w:szCs w:val="24"/>
                <w:lang w:val="en-US" w:eastAsia="zh-CN"/>
              </w:rPr>
              <w:t>后回用于厂区绿化灌溉</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eastAsia="zh-CN"/>
              </w:rPr>
              <w:t>正常情况下，</w:t>
            </w:r>
            <w:r>
              <w:rPr>
                <w:rFonts w:hint="default" w:ascii="Times New Roman" w:hAnsi="Times New Roman" w:eastAsia="宋体" w:cs="Times New Roman"/>
                <w:color w:val="auto"/>
                <w:sz w:val="24"/>
                <w:szCs w:val="24"/>
                <w:highlight w:val="none"/>
                <w:lang w:eastAsia="zh-CN"/>
              </w:rPr>
              <w:t>项目运营期废水对土壤环境的影响不大。</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lang w:val="en-US" w:eastAsia="zh-CN"/>
              </w:rPr>
              <w:t>③</w:t>
            </w:r>
            <w:r>
              <w:rPr>
                <w:rFonts w:hint="eastAsia" w:ascii="Times New Roman" w:hAnsi="Times New Roman" w:eastAsia="宋体"/>
                <w:color w:val="auto"/>
                <w:kern w:val="0"/>
                <w:sz w:val="24"/>
                <w:szCs w:val="24"/>
              </w:rPr>
              <w:t>危险废物对土壤环境的影响</w:t>
            </w:r>
          </w:p>
          <w:p>
            <w:pPr>
              <w:widowControl/>
              <w:spacing w:line="360" w:lineRule="auto"/>
              <w:ind w:firstLine="480" w:firstLineChars="200"/>
              <w:jc w:val="left"/>
              <w:rPr>
                <w:rFonts w:ascii="Times New Roman" w:hAnsi="Times New Roman" w:eastAsia="宋体"/>
                <w:color w:val="auto"/>
                <w:kern w:val="0"/>
                <w:sz w:val="24"/>
                <w:szCs w:val="24"/>
              </w:rPr>
            </w:pPr>
            <w:r>
              <w:rPr>
                <w:rFonts w:hint="eastAsia" w:ascii="Times New Roman" w:hAnsi="Times New Roman" w:eastAsia="宋体"/>
                <w:color w:val="auto"/>
                <w:kern w:val="0"/>
                <w:sz w:val="24"/>
                <w:szCs w:val="24"/>
              </w:rPr>
              <w:t>危险废物泄漏或危险废物未及时处理而产生的渗出液、滤沥液进入土壤，进而污染土壤环境。</w:t>
            </w:r>
          </w:p>
          <w:p>
            <w:pPr>
              <w:spacing w:line="360" w:lineRule="auto"/>
              <w:ind w:firstLine="480" w:firstLineChars="200"/>
              <w:rPr>
                <w:rFonts w:ascii="Times New Roman" w:hAnsi="Times New Roman" w:eastAsia="宋体"/>
                <w:color w:val="auto"/>
                <w:sz w:val="24"/>
                <w:szCs w:val="24"/>
              </w:rPr>
            </w:pPr>
            <w:r>
              <w:rPr>
                <w:rFonts w:hint="eastAsia" w:ascii="Times New Roman" w:hAnsi="Times New Roman" w:eastAsia="宋体"/>
                <w:color w:val="auto"/>
                <w:sz w:val="24"/>
                <w:szCs w:val="24"/>
                <w:lang w:val="en-US" w:eastAsia="zh-CN"/>
              </w:rPr>
              <w:t>④</w:t>
            </w:r>
            <w:r>
              <w:rPr>
                <w:rFonts w:hint="eastAsia" w:ascii="Times New Roman" w:hAnsi="Times New Roman" w:eastAsia="宋体"/>
                <w:color w:val="auto"/>
                <w:sz w:val="24"/>
                <w:szCs w:val="24"/>
              </w:rPr>
              <w:t>污染物进入土壤产生的影响</w:t>
            </w:r>
          </w:p>
          <w:p>
            <w:pPr>
              <w:spacing w:line="360" w:lineRule="auto"/>
              <w:ind w:firstLine="480" w:firstLineChars="200"/>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4"/>
                <w:szCs w:val="24"/>
              </w:rPr>
              <w:t>根据分析可知，物料渗漏影响土壤的主要是有机物，有机物进入土壤的数量和速度超过了土壤的净化作用的速度，破坏了自然动态平衡，使污染物的积累过程逐渐占据优势，从而导致土壤自然正常功能失调，土壤质量下降，并影响到作物的生长发育，以及产量和质量下降。有机物污染进入土壤后，可危及农作物生长和土壤生物的生存，</w:t>
            </w:r>
            <w:r>
              <w:rPr>
                <w:rFonts w:ascii="Times New Roman" w:hAnsi="Times New Roman" w:eastAsia="宋体"/>
                <w:color w:val="auto"/>
                <w:sz w:val="24"/>
                <w:szCs w:val="24"/>
              </w:rPr>
              <w:t>而土壤污染往往是以食物链方式通过粮食、蔬菜、水果、茶叶及草食性动物(如家禽家畜)乃至肉食性动物等最后进入人体而影响人群健康。因此，这是一个逐步累积的过程，具有隐蔽性和潜伏性。</w:t>
            </w:r>
            <w:r>
              <w:rPr>
                <w:rFonts w:hint="eastAsia" w:ascii="Times New Roman" w:hAnsi="Times New Roman" w:eastAsia="宋体"/>
                <w:color w:val="auto"/>
                <w:sz w:val="24"/>
                <w:szCs w:val="24"/>
              </w:rPr>
              <w:t>人体接触污染土壤后，手脚出现红色皮疹，并有恶心，头晕现象。</w:t>
            </w:r>
            <w:r>
              <w:rPr>
                <w:rFonts w:hint="eastAsia" w:ascii="Times New Roman" w:hAnsi="Times New Roman" w:eastAsia="宋体"/>
                <w:color w:val="auto"/>
                <w:sz w:val="24"/>
                <w:szCs w:val="24"/>
                <w:lang w:val="en-US" w:eastAsia="zh-CN"/>
              </w:rPr>
              <w:t>本项目不涉及有机废气的排放，因此</w:t>
            </w:r>
            <w:r>
              <w:rPr>
                <w:rFonts w:hint="eastAsia"/>
                <w:color w:val="auto"/>
                <w:sz w:val="24"/>
                <w:szCs w:val="24"/>
                <w:lang w:val="en-US" w:eastAsia="zh-CN"/>
              </w:rPr>
              <w:t>基本不会对土壤产生有机物</w:t>
            </w:r>
            <w:r>
              <w:rPr>
                <w:rFonts w:hint="eastAsia" w:ascii="Times New Roman" w:hAnsi="Times New Roman" w:eastAsia="宋体"/>
                <w:color w:val="auto"/>
                <w:sz w:val="24"/>
                <w:szCs w:val="24"/>
                <w:lang w:val="en-US" w:eastAsia="zh-CN"/>
              </w:rPr>
              <w:t>富集影响。</w:t>
            </w:r>
          </w:p>
          <w:p>
            <w:pPr>
              <w:pStyle w:val="4"/>
              <w:bidi w:val="0"/>
              <w:rPr>
                <w:rFonts w:hint="eastAsia"/>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 xml:space="preserve">.2 </w:t>
            </w:r>
            <w:r>
              <w:rPr>
                <w:color w:val="auto"/>
                <w:highlight w:val="none"/>
                <w:shd w:val="clear" w:color="auto" w:fill="auto"/>
              </w:rPr>
              <w:t>地下水、土壤环境</w:t>
            </w:r>
            <w:r>
              <w:rPr>
                <w:rFonts w:hint="eastAsia"/>
                <w:color w:val="auto"/>
                <w:highlight w:val="none"/>
                <w:shd w:val="clear" w:color="auto" w:fill="auto"/>
              </w:rPr>
              <w:t>防控</w:t>
            </w:r>
            <w:r>
              <w:rPr>
                <w:color w:val="auto"/>
                <w:highlight w:val="none"/>
                <w:shd w:val="clear" w:color="auto" w:fill="auto"/>
              </w:rPr>
              <w:t>措施</w:t>
            </w:r>
          </w:p>
          <w:p>
            <w:pPr>
              <w:spacing w:line="360" w:lineRule="auto"/>
              <w:ind w:firstLine="482" w:firstLineChars="200"/>
              <w:rPr>
                <w:rFonts w:hint="default" w:ascii="Times New Roman" w:hAnsi="Times New Roman" w:eastAsia="宋体"/>
                <w:b/>
                <w:bCs/>
                <w:color w:val="auto"/>
                <w:sz w:val="24"/>
                <w:szCs w:val="24"/>
                <w:highlight w:val="none"/>
                <w:shd w:val="clear" w:color="auto" w:fill="auto"/>
                <w:lang w:val="en-US" w:eastAsia="zh-CN"/>
              </w:rPr>
            </w:pPr>
            <w:r>
              <w:rPr>
                <w:rFonts w:hint="eastAsia" w:ascii="Times New Roman" w:hAnsi="Times New Roman" w:eastAsia="宋体"/>
                <w:b/>
                <w:bCs/>
                <w:color w:val="auto"/>
                <w:sz w:val="24"/>
                <w:szCs w:val="24"/>
                <w:highlight w:val="none"/>
                <w:shd w:val="clear" w:color="auto" w:fill="auto"/>
                <w:lang w:val="en-US" w:eastAsia="zh-CN"/>
              </w:rPr>
              <w:t>（1）源头控制</w:t>
            </w:r>
          </w:p>
          <w:p>
            <w:pPr>
              <w:pStyle w:val="12"/>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①对管道、设备、污水储存及处理构筑物等严格检查，有质量问题的及时更换、检修，废水管道及阀门采用优质产品，防止和降低“跑、冒、滴、漏”现象；</w:t>
            </w:r>
          </w:p>
          <w:p>
            <w:pPr>
              <w:pStyle w:val="12"/>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②危险废物贮存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严格按照</w:t>
            </w:r>
            <w:r>
              <w:rPr>
                <w:rFonts w:ascii="Times New Roman" w:hAnsi="Times New Roman" w:eastAsia="宋体"/>
                <w:snapToGrid w:val="0"/>
                <w:color w:val="auto"/>
                <w:kern w:val="0"/>
                <w:sz w:val="24"/>
                <w:szCs w:val="24"/>
                <w:highlight w:val="none"/>
                <w:shd w:val="clear" w:color="auto" w:fill="auto"/>
              </w:rPr>
              <w:t>《危险废物贮存污染控制标准》（GB18597-</w:t>
            </w:r>
            <w:r>
              <w:rPr>
                <w:rFonts w:hint="eastAsia" w:ascii="Times New Roman" w:hAnsi="Times New Roman" w:eastAsia="宋体"/>
                <w:snapToGrid w:val="0"/>
                <w:color w:val="auto"/>
                <w:kern w:val="0"/>
                <w:sz w:val="24"/>
                <w:szCs w:val="24"/>
                <w:highlight w:val="none"/>
                <w:shd w:val="clear" w:color="auto" w:fill="auto"/>
                <w:lang w:val="en-US" w:eastAsia="zh-CN"/>
              </w:rPr>
              <w:t>2023</w:t>
            </w:r>
            <w:r>
              <w:rPr>
                <w:rFonts w:ascii="Times New Roman" w:hAnsi="Times New Roman" w:eastAsia="宋体"/>
                <w:snapToGrid w:val="0"/>
                <w:color w:val="auto"/>
                <w:kern w:val="0"/>
                <w:sz w:val="24"/>
                <w:szCs w:val="24"/>
                <w:highlight w:val="none"/>
                <w:shd w:val="clear" w:color="auto" w:fill="auto"/>
              </w:rPr>
              <w:t>）</w:t>
            </w:r>
            <w:r>
              <w:rPr>
                <w:rFonts w:hint="eastAsia" w:ascii="Times New Roman" w:hAnsi="Times New Roman" w:eastAsia="宋体"/>
                <w:snapToGrid w:val="0"/>
                <w:color w:val="auto"/>
                <w:kern w:val="0"/>
                <w:sz w:val="24"/>
                <w:szCs w:val="24"/>
                <w:highlight w:val="none"/>
                <w:shd w:val="clear" w:color="auto" w:fill="auto"/>
              </w:rPr>
              <w:t>，地面硬化防渗，</w:t>
            </w:r>
            <w:r>
              <w:rPr>
                <w:rFonts w:hint="eastAsia" w:ascii="Times New Roman" w:hAnsi="Times New Roman" w:eastAsia="宋体"/>
                <w:color w:val="auto"/>
                <w:sz w:val="24"/>
                <w:szCs w:val="24"/>
                <w:highlight w:val="none"/>
                <w:shd w:val="clear" w:color="auto" w:fill="auto"/>
              </w:rPr>
              <w:t>危险废物的搜集、转运、交接、接收、贮存严格按照相应的规程、规范执行。危险废物贮存</w:t>
            </w:r>
            <w:r>
              <w:rPr>
                <w:rFonts w:hint="eastAsia"/>
                <w:color w:val="auto"/>
                <w:sz w:val="24"/>
                <w:szCs w:val="24"/>
                <w:highlight w:val="none"/>
                <w:shd w:val="clear" w:color="auto" w:fill="auto"/>
                <w:lang w:eastAsia="zh-CN"/>
              </w:rPr>
              <w:t>库</w:t>
            </w:r>
            <w:r>
              <w:rPr>
                <w:rFonts w:hint="eastAsia" w:ascii="Times New Roman" w:hAnsi="Times New Roman" w:eastAsia="宋体"/>
                <w:color w:val="auto"/>
                <w:sz w:val="24"/>
                <w:szCs w:val="24"/>
                <w:highlight w:val="none"/>
                <w:shd w:val="clear" w:color="auto" w:fill="auto"/>
              </w:rPr>
              <w:t>的危废容器均根据物料性质选择相容材质的容器存放，液态危险废物</w:t>
            </w:r>
            <w:r>
              <w:rPr>
                <w:rFonts w:hint="eastAsia" w:ascii="Times New Roman" w:hAnsi="Times New Roman" w:eastAsia="宋体"/>
                <w:color w:val="auto"/>
                <w:sz w:val="24"/>
                <w:szCs w:val="24"/>
                <w:highlight w:val="none"/>
                <w:shd w:val="clear" w:color="auto" w:fill="auto"/>
                <w:lang w:val="en-US" w:eastAsia="zh-CN"/>
              </w:rPr>
              <w:t>容器底部加设防渗托盘防渗漏</w:t>
            </w:r>
            <w:r>
              <w:rPr>
                <w:rFonts w:hint="eastAsia" w:ascii="Times New Roman" w:hAnsi="Times New Roman" w:eastAsia="宋体"/>
                <w:color w:val="auto"/>
                <w:sz w:val="24"/>
                <w:szCs w:val="24"/>
                <w:highlight w:val="none"/>
                <w:shd w:val="clear" w:color="auto" w:fill="auto"/>
              </w:rPr>
              <w:t>。</w:t>
            </w:r>
          </w:p>
          <w:p>
            <w:pPr>
              <w:pStyle w:val="12"/>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③日常对厂区地面硬化防渗情况进行检查，有破损区域及时修复。</w:t>
            </w:r>
          </w:p>
          <w:p>
            <w:pPr>
              <w:pStyle w:val="12"/>
              <w:tabs>
                <w:tab w:val="left" w:pos="5460"/>
              </w:tabs>
              <w:spacing w:after="0" w:line="360" w:lineRule="auto"/>
              <w:ind w:left="0" w:leftChars="0" w:firstLine="480" w:firstLineChars="200"/>
              <w:jc w:val="left"/>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④加强废气处理设施日常检查，保证废气处理设施正常运行，定期委托资质单位进行废气排放情况检测。</w:t>
            </w:r>
          </w:p>
          <w:p>
            <w:pPr>
              <w:pStyle w:val="13"/>
            </w:pPr>
          </w:p>
          <w:p>
            <w:pPr>
              <w:spacing w:line="360" w:lineRule="auto"/>
              <w:ind w:firstLine="482" w:firstLineChars="200"/>
              <w:rPr>
                <w:rFonts w:ascii="Times New Roman" w:hAnsi="Times New Roman" w:eastAsia="宋体"/>
                <w:b/>
                <w:bCs/>
                <w:color w:val="auto"/>
                <w:sz w:val="24"/>
                <w:szCs w:val="24"/>
                <w:highlight w:val="none"/>
                <w:shd w:val="clear" w:color="auto" w:fill="auto"/>
              </w:rPr>
            </w:pPr>
            <w:r>
              <w:rPr>
                <w:rFonts w:hint="eastAsia" w:ascii="Times New Roman" w:hAnsi="Times New Roman" w:eastAsia="宋体"/>
                <w:b/>
                <w:bCs/>
                <w:color w:val="auto"/>
                <w:sz w:val="24"/>
                <w:szCs w:val="24"/>
                <w:highlight w:val="none"/>
                <w:shd w:val="clear" w:color="auto" w:fill="auto"/>
                <w:lang w:val="en-US" w:eastAsia="zh-CN"/>
              </w:rPr>
              <w:t>（2）分区</w:t>
            </w:r>
            <w:r>
              <w:rPr>
                <w:rFonts w:ascii="Times New Roman" w:hAnsi="Times New Roman" w:eastAsia="宋体"/>
                <w:b/>
                <w:bCs/>
                <w:color w:val="auto"/>
                <w:sz w:val="24"/>
                <w:szCs w:val="24"/>
                <w:highlight w:val="none"/>
                <w:shd w:val="clear" w:color="auto" w:fill="auto"/>
              </w:rPr>
              <w:t>防渗措施</w:t>
            </w:r>
          </w:p>
          <w:p>
            <w:pPr>
              <w:spacing w:line="360" w:lineRule="auto"/>
              <w:ind w:firstLine="480" w:firstLineChars="200"/>
              <w:rPr>
                <w:rFonts w:hint="default" w:ascii="Times New Roman" w:hAnsi="Times New Roman" w:eastAsia="宋体"/>
                <w:color w:val="auto"/>
                <w:sz w:val="24"/>
                <w:szCs w:val="24"/>
                <w:highlight w:val="none"/>
                <w:shd w:val="clear" w:color="auto" w:fill="auto"/>
                <w:lang w:val="en-US" w:eastAsia="zh-CN"/>
              </w:rPr>
            </w:pPr>
            <w:r>
              <w:rPr>
                <w:rFonts w:ascii="Times New Roman" w:hAnsi="Times New Roman" w:eastAsia="宋体"/>
                <w:color w:val="auto"/>
                <w:sz w:val="24"/>
                <w:szCs w:val="24"/>
                <w:highlight w:val="none"/>
                <w:shd w:val="clear" w:color="auto" w:fill="auto"/>
              </w:rPr>
              <w:t>根据本</w:t>
            </w:r>
            <w:r>
              <w:rPr>
                <w:rFonts w:hint="eastAsia" w:ascii="Times New Roman" w:hAnsi="Times New Roman" w:eastAsia="宋体"/>
                <w:color w:val="auto"/>
                <w:sz w:val="24"/>
                <w:szCs w:val="24"/>
                <w:highlight w:val="none"/>
                <w:shd w:val="clear" w:color="auto" w:fill="auto"/>
              </w:rPr>
              <w:t>项目</w:t>
            </w:r>
            <w:r>
              <w:rPr>
                <w:rFonts w:ascii="Times New Roman" w:hAnsi="Times New Roman" w:eastAsia="宋体"/>
                <w:color w:val="auto"/>
                <w:sz w:val="24"/>
                <w:szCs w:val="24"/>
                <w:highlight w:val="none"/>
                <w:shd w:val="clear" w:color="auto" w:fill="auto"/>
              </w:rPr>
              <w:t>可能泄漏至地面区域污染物的性质和生产单元的构筑方式，将</w:t>
            </w:r>
            <w:r>
              <w:rPr>
                <w:rFonts w:hint="eastAsia" w:ascii="Times New Roman" w:hAnsi="Times New Roman" w:eastAsia="宋体"/>
                <w:color w:val="auto"/>
                <w:sz w:val="24"/>
                <w:szCs w:val="24"/>
                <w:highlight w:val="none"/>
                <w:shd w:val="clear" w:color="auto" w:fill="auto"/>
              </w:rPr>
              <w:t>厂区</w:t>
            </w:r>
            <w:r>
              <w:rPr>
                <w:rFonts w:ascii="Times New Roman" w:hAnsi="Times New Roman" w:eastAsia="宋体"/>
                <w:color w:val="auto"/>
                <w:sz w:val="24"/>
                <w:szCs w:val="24"/>
                <w:highlight w:val="none"/>
                <w:shd w:val="clear" w:color="auto" w:fill="auto"/>
              </w:rPr>
              <w:t>划分为重点污染防治区、一般污染防治区，针对不同的区域提出相应的防渗要求。</w:t>
            </w:r>
            <w:r>
              <w:rPr>
                <w:rFonts w:ascii="Times New Roman" w:hAnsi="Times New Roman" w:eastAsia="宋体"/>
                <w:color w:val="auto"/>
                <w:kern w:val="0"/>
                <w:sz w:val="24"/>
                <w:szCs w:val="24"/>
                <w:highlight w:val="none"/>
                <w:shd w:val="clear" w:color="auto" w:fill="auto"/>
              </w:rPr>
              <w:t>根据《环境影响评价技术导则</w:t>
            </w:r>
            <w:r>
              <w:rPr>
                <w:rFonts w:hint="eastAsia" w:ascii="Times New Roman" w:hAnsi="Times New Roman" w:eastAsia="宋体"/>
                <w:color w:val="auto"/>
                <w:kern w:val="0"/>
                <w:sz w:val="24"/>
                <w:szCs w:val="24"/>
                <w:highlight w:val="none"/>
                <w:shd w:val="clear" w:color="auto" w:fill="auto"/>
                <w:lang w:val="en-US" w:eastAsia="zh-CN"/>
              </w:rPr>
              <w:t xml:space="preserve"> </w:t>
            </w:r>
            <w:r>
              <w:rPr>
                <w:rFonts w:ascii="Times New Roman" w:hAnsi="Times New Roman" w:eastAsia="宋体"/>
                <w:color w:val="auto"/>
                <w:kern w:val="0"/>
                <w:sz w:val="24"/>
                <w:szCs w:val="24"/>
                <w:highlight w:val="none"/>
                <w:shd w:val="clear" w:color="auto" w:fill="auto"/>
              </w:rPr>
              <w:t>地下水环境》</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HJ610-2016</w:t>
            </w:r>
            <w:r>
              <w:rPr>
                <w:rFonts w:hint="eastAsia" w:ascii="Times New Roman" w:hAnsi="Times New Roman" w:eastAsia="宋体"/>
                <w:color w:val="auto"/>
                <w:kern w:val="0"/>
                <w:sz w:val="24"/>
                <w:szCs w:val="24"/>
                <w:highlight w:val="none"/>
                <w:shd w:val="clear" w:color="auto" w:fill="auto"/>
              </w:rPr>
              <w:t>)</w:t>
            </w:r>
            <w:r>
              <w:rPr>
                <w:rFonts w:ascii="Times New Roman" w:hAnsi="Times New Roman" w:eastAsia="宋体"/>
                <w:color w:val="auto"/>
                <w:kern w:val="0"/>
                <w:sz w:val="24"/>
                <w:szCs w:val="24"/>
                <w:highlight w:val="none"/>
                <w:shd w:val="clear" w:color="auto" w:fill="auto"/>
              </w:rPr>
              <w:t>的要求，</w:t>
            </w:r>
            <w:r>
              <w:rPr>
                <w:rFonts w:ascii="Times New Roman" w:hAnsi="Times New Roman" w:eastAsia="宋体"/>
                <w:color w:val="auto"/>
                <w:sz w:val="24"/>
                <w:szCs w:val="24"/>
                <w:highlight w:val="none"/>
                <w:shd w:val="clear" w:color="auto" w:fill="auto"/>
              </w:rPr>
              <w:t>项目分区</w:t>
            </w:r>
            <w:r>
              <w:rPr>
                <w:rFonts w:hint="eastAsia" w:ascii="Times New Roman" w:hAnsi="Times New Roman" w:eastAsia="宋体"/>
                <w:color w:val="auto"/>
                <w:sz w:val="24"/>
                <w:szCs w:val="24"/>
                <w:highlight w:val="none"/>
                <w:shd w:val="clear" w:color="auto" w:fill="auto"/>
              </w:rPr>
              <w:t>防渗</w:t>
            </w:r>
            <w:r>
              <w:rPr>
                <w:rFonts w:ascii="Times New Roman" w:hAnsi="Times New Roman" w:eastAsia="宋体"/>
                <w:color w:val="auto"/>
                <w:sz w:val="24"/>
                <w:szCs w:val="24"/>
                <w:highlight w:val="none"/>
                <w:shd w:val="clear" w:color="auto" w:fill="auto"/>
              </w:rPr>
              <w:t>防治</w:t>
            </w:r>
            <w:r>
              <w:rPr>
                <w:rFonts w:hint="eastAsia" w:ascii="Times New Roman" w:hAnsi="Times New Roman" w:eastAsia="宋体"/>
                <w:color w:val="auto"/>
                <w:sz w:val="24"/>
                <w:szCs w:val="24"/>
                <w:highlight w:val="none"/>
                <w:shd w:val="clear" w:color="auto" w:fill="auto"/>
                <w:lang w:val="en-US" w:eastAsia="zh-CN"/>
              </w:rPr>
              <w:t>要求</w:t>
            </w:r>
            <w:r>
              <w:rPr>
                <w:rFonts w:ascii="Times New Roman" w:hAnsi="Times New Roman" w:eastAsia="宋体"/>
                <w:color w:val="auto"/>
                <w:sz w:val="24"/>
                <w:szCs w:val="24"/>
                <w:highlight w:val="none"/>
                <w:shd w:val="clear" w:color="auto" w:fill="auto"/>
              </w:rPr>
              <w:t>见表</w:t>
            </w:r>
            <w:r>
              <w:rPr>
                <w:rFonts w:hint="eastAsia" w:ascii="Times New Roman" w:hAnsi="Times New Roman" w:eastAsia="宋体"/>
                <w:color w:val="auto"/>
                <w:sz w:val="24"/>
                <w:szCs w:val="24"/>
                <w:highlight w:val="none"/>
                <w:shd w:val="clear" w:color="auto" w:fill="auto"/>
              </w:rPr>
              <w:t>4.</w:t>
            </w:r>
            <w:r>
              <w:rPr>
                <w:rFonts w:hint="eastAsia" w:ascii="Times New Roman" w:hAnsi="Times New Roman" w:eastAsia="宋体"/>
                <w:color w:val="auto"/>
                <w:sz w:val="24"/>
                <w:szCs w:val="24"/>
                <w:highlight w:val="none"/>
                <w:shd w:val="clear" w:color="auto" w:fill="auto"/>
                <w:lang w:val="en-US" w:eastAsia="zh-CN"/>
              </w:rPr>
              <w:t>7</w:t>
            </w:r>
            <w:r>
              <w:rPr>
                <w:rFonts w:hint="eastAsia" w:ascii="Times New Roman" w:hAnsi="Times New Roman" w:eastAsia="宋体"/>
                <w:color w:val="auto"/>
                <w:sz w:val="24"/>
                <w:szCs w:val="24"/>
                <w:highlight w:val="none"/>
                <w:shd w:val="clear" w:color="auto" w:fill="auto"/>
              </w:rPr>
              <w:t>-1</w:t>
            </w:r>
            <w:r>
              <w:rPr>
                <w:rFonts w:hint="eastAsia" w:ascii="Times New Roman" w:hAnsi="Times New Roman" w:eastAsia="宋体"/>
                <w:color w:val="auto"/>
                <w:sz w:val="24"/>
                <w:szCs w:val="24"/>
                <w:highlight w:val="none"/>
                <w:shd w:val="clear" w:color="auto" w:fill="auto"/>
                <w:lang w:val="en-US" w:eastAsia="zh-CN"/>
              </w:rPr>
              <w:t>。</w:t>
            </w:r>
          </w:p>
          <w:p>
            <w:pPr>
              <w:pStyle w:val="33"/>
              <w:bidi w:val="0"/>
              <w:rPr>
                <w:rFonts w:hint="default"/>
                <w:color w:val="auto"/>
                <w:sz w:val="24"/>
                <w:szCs w:val="24"/>
                <w:highlight w:val="none"/>
                <w:shd w:val="clear" w:color="auto" w:fill="auto"/>
              </w:rPr>
            </w:pPr>
            <w:r>
              <w:rPr>
                <w:rFonts w:hint="default"/>
                <w:color w:val="auto"/>
                <w:sz w:val="24"/>
                <w:szCs w:val="24"/>
                <w:highlight w:val="none"/>
                <w:shd w:val="clear" w:color="auto" w:fill="auto"/>
              </w:rPr>
              <w:t>表</w:t>
            </w:r>
            <w:r>
              <w:rPr>
                <w:rFonts w:hint="eastAsia"/>
                <w:color w:val="auto"/>
                <w:sz w:val="24"/>
                <w:szCs w:val="24"/>
                <w:highlight w:val="none"/>
                <w:shd w:val="clear" w:color="auto" w:fill="auto"/>
                <w:lang w:val="en-US" w:eastAsia="zh-CN"/>
              </w:rPr>
              <w:t>4.7-1 项目</w:t>
            </w:r>
            <w:r>
              <w:rPr>
                <w:rFonts w:hint="default"/>
                <w:color w:val="auto"/>
                <w:sz w:val="24"/>
                <w:szCs w:val="24"/>
                <w:highlight w:val="none"/>
                <w:shd w:val="clear" w:color="auto" w:fill="auto"/>
              </w:rPr>
              <w:t>分区</w:t>
            </w:r>
            <w:r>
              <w:rPr>
                <w:rFonts w:hint="eastAsia"/>
                <w:color w:val="auto"/>
                <w:sz w:val="24"/>
                <w:szCs w:val="24"/>
                <w:highlight w:val="none"/>
                <w:shd w:val="clear" w:color="auto" w:fill="auto"/>
              </w:rPr>
              <w:t>防渗</w:t>
            </w:r>
            <w:r>
              <w:rPr>
                <w:rFonts w:hint="default"/>
                <w:color w:val="auto"/>
                <w:sz w:val="24"/>
                <w:szCs w:val="24"/>
                <w:highlight w:val="none"/>
                <w:shd w:val="clear" w:color="auto" w:fill="auto"/>
              </w:rPr>
              <w:t>防治</w:t>
            </w:r>
            <w:r>
              <w:rPr>
                <w:rFonts w:hint="eastAsia"/>
                <w:color w:val="auto"/>
                <w:sz w:val="24"/>
                <w:szCs w:val="24"/>
                <w:highlight w:val="none"/>
                <w:shd w:val="clear" w:color="auto" w:fill="auto"/>
                <w:lang w:val="en-US" w:eastAsia="zh-CN"/>
              </w:rPr>
              <w:t>要求</w:t>
            </w:r>
            <w:r>
              <w:rPr>
                <w:rFonts w:hint="default"/>
                <w:color w:val="auto"/>
                <w:sz w:val="24"/>
                <w:szCs w:val="24"/>
                <w:highlight w:val="none"/>
                <w:shd w:val="clear" w:color="auto" w:fill="auto"/>
              </w:rPr>
              <w:t>一览表</w:t>
            </w:r>
          </w:p>
          <w:tbl>
            <w:tblPr>
              <w:tblStyle w:val="24"/>
              <w:tblW w:w="833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2267"/>
              <w:gridCol w:w="2650"/>
              <w:gridCol w:w="23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防治分区</w:t>
                  </w:r>
                </w:p>
              </w:tc>
              <w:tc>
                <w:tcPr>
                  <w:tcW w:w="2267" w:type="dxa"/>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装置名称</w:t>
                  </w:r>
                </w:p>
              </w:tc>
              <w:tc>
                <w:tcPr>
                  <w:tcW w:w="2650" w:type="dxa"/>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防渗区域</w:t>
                  </w:r>
                </w:p>
              </w:tc>
              <w:tc>
                <w:tcPr>
                  <w:tcW w:w="2377" w:type="dxa"/>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tcBorders>
                    <w:tl2br w:val="nil"/>
                    <w:tr2bl w:val="nil"/>
                  </w:tcBorders>
                  <w:vAlign w:val="center"/>
                </w:tcPr>
                <w:p>
                  <w:pPr>
                    <w:pStyle w:val="28"/>
                    <w:bidi w:val="0"/>
                    <w:rPr>
                      <w:rFonts w:hint="eastAsia"/>
                      <w:color w:val="auto"/>
                      <w:highlight w:val="none"/>
                      <w:shd w:val="clear" w:color="auto" w:fill="auto"/>
                    </w:rPr>
                  </w:pPr>
                  <w:r>
                    <w:rPr>
                      <w:rFonts w:hint="eastAsia"/>
                      <w:color w:val="auto"/>
                      <w:highlight w:val="none"/>
                      <w:shd w:val="clear" w:color="auto" w:fill="auto"/>
                    </w:rPr>
                    <w:t>重点防</w:t>
                  </w:r>
                </w:p>
                <w:p>
                  <w:pPr>
                    <w:pStyle w:val="28"/>
                    <w:bidi w:val="0"/>
                    <w:rPr>
                      <w:color w:val="auto"/>
                      <w:highlight w:val="none"/>
                      <w:shd w:val="clear" w:color="auto" w:fill="auto"/>
                    </w:rPr>
                  </w:pPr>
                  <w:r>
                    <w:rPr>
                      <w:rFonts w:hint="eastAsia"/>
                      <w:color w:val="auto"/>
                      <w:highlight w:val="none"/>
                      <w:shd w:val="clear" w:color="auto" w:fill="auto"/>
                    </w:rPr>
                    <w:t>渗区</w:t>
                  </w: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危险废物贮存间</w:t>
                  </w:r>
                </w:p>
              </w:tc>
              <w:tc>
                <w:tcPr>
                  <w:tcW w:w="2650" w:type="dxa"/>
                  <w:tcBorders>
                    <w:tl2br w:val="nil"/>
                    <w:tr2bl w:val="nil"/>
                  </w:tcBorders>
                  <w:vAlign w:val="center"/>
                </w:tcPr>
                <w:p>
                  <w:pPr>
                    <w:pStyle w:val="28"/>
                    <w:bidi w:val="0"/>
                    <w:rPr>
                      <w:color w:val="auto"/>
                      <w:highlight w:val="none"/>
                      <w:shd w:val="clear" w:color="auto" w:fill="auto"/>
                      <w:lang w:val="en-US" w:eastAsia="zh-CN"/>
                    </w:rPr>
                  </w:pPr>
                  <w:r>
                    <w:rPr>
                      <w:rFonts w:hint="eastAsia"/>
                      <w:color w:val="auto"/>
                      <w:highlight w:val="none"/>
                      <w:shd w:val="clear" w:color="auto" w:fill="auto"/>
                      <w:lang w:eastAsia="zh-CN"/>
                    </w:rPr>
                    <w:t>地面、</w:t>
                  </w:r>
                  <w:r>
                    <w:rPr>
                      <w:rFonts w:hint="eastAsia"/>
                      <w:color w:val="auto"/>
                      <w:highlight w:val="none"/>
                      <w:shd w:val="clear" w:color="auto" w:fill="auto"/>
                      <w:lang w:val="en-US" w:eastAsia="zh-CN"/>
                    </w:rPr>
                    <w:t>裙角、导流沟槽</w:t>
                  </w:r>
                </w:p>
              </w:tc>
              <w:tc>
                <w:tcPr>
                  <w:tcW w:w="237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rPr>
                    <w:t>等效黏土防渗层Mb≥</w:t>
                  </w:r>
                  <w:r>
                    <w:rPr>
                      <w:color w:val="auto"/>
                      <w:highlight w:val="none"/>
                      <w:shd w:val="clear" w:color="auto" w:fill="auto"/>
                    </w:rPr>
                    <w:t>6.0m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36" w:type="dxa"/>
                  <w:vMerge w:val="restart"/>
                  <w:tcBorders>
                    <w:tl2br w:val="nil"/>
                    <w:tr2bl w:val="nil"/>
                  </w:tcBorders>
                  <w:vAlign w:val="center"/>
                </w:tcPr>
                <w:p>
                  <w:pPr>
                    <w:pStyle w:val="28"/>
                    <w:bidi w:val="0"/>
                    <w:rPr>
                      <w:rFonts w:hint="eastAsia"/>
                      <w:color w:val="auto"/>
                      <w:highlight w:val="none"/>
                      <w:shd w:val="clear" w:color="auto" w:fill="auto"/>
                    </w:rPr>
                  </w:pPr>
                  <w:r>
                    <w:rPr>
                      <w:rFonts w:hint="eastAsia"/>
                      <w:color w:val="auto"/>
                      <w:highlight w:val="none"/>
                      <w:shd w:val="clear" w:color="auto" w:fill="auto"/>
                    </w:rPr>
                    <w:t>一般防</w:t>
                  </w:r>
                </w:p>
                <w:p>
                  <w:pPr>
                    <w:pStyle w:val="28"/>
                    <w:bidi w:val="0"/>
                    <w:rPr>
                      <w:color w:val="auto"/>
                      <w:highlight w:val="none"/>
                      <w:shd w:val="clear" w:color="auto" w:fill="auto"/>
                    </w:rPr>
                  </w:pPr>
                  <w:r>
                    <w:rPr>
                      <w:rFonts w:hint="eastAsia"/>
                      <w:color w:val="auto"/>
                      <w:highlight w:val="none"/>
                      <w:shd w:val="clear" w:color="auto" w:fill="auto"/>
                    </w:rPr>
                    <w:t>渗区</w:t>
                  </w: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2#搅拌楼</w:t>
                  </w:r>
                </w:p>
              </w:tc>
              <w:tc>
                <w:tcPr>
                  <w:tcW w:w="2650" w:type="dxa"/>
                  <w:tcBorders>
                    <w:tl2br w:val="nil"/>
                    <w:tr2bl w:val="nil"/>
                  </w:tcBorders>
                  <w:vAlign w:val="center"/>
                </w:tcPr>
                <w:p>
                  <w:pPr>
                    <w:pStyle w:val="28"/>
                    <w:bidi w:val="0"/>
                    <w:rPr>
                      <w:color w:val="auto"/>
                      <w:highlight w:val="none"/>
                      <w:shd w:val="clear" w:color="auto" w:fill="auto"/>
                      <w:lang w:val="en-US" w:eastAsia="zh-CN"/>
                    </w:rPr>
                  </w:pPr>
                  <w:r>
                    <w:rPr>
                      <w:rFonts w:hint="eastAsia"/>
                      <w:color w:val="auto"/>
                      <w:highlight w:val="none"/>
                      <w:shd w:val="clear" w:color="auto" w:fill="auto"/>
                      <w:lang w:eastAsia="zh-CN"/>
                    </w:rPr>
                    <w:t>地面</w:t>
                  </w:r>
                </w:p>
              </w:tc>
              <w:tc>
                <w:tcPr>
                  <w:tcW w:w="2377" w:type="dxa"/>
                  <w:vMerge w:val="restart"/>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等效黏土防渗层Mb≥1.5</w:t>
                  </w:r>
                  <w:r>
                    <w:rPr>
                      <w:color w:val="auto"/>
                      <w:highlight w:val="none"/>
                      <w:shd w:val="clear" w:color="auto" w:fill="auto"/>
                    </w:rPr>
                    <w:t>m</w:t>
                  </w:r>
                  <w:r>
                    <w:rPr>
                      <w:rFonts w:hint="eastAsia"/>
                      <w:color w:val="auto"/>
                      <w:highlight w:val="none"/>
                      <w:shd w:val="clear" w:color="auto" w:fill="auto"/>
                    </w:rPr>
                    <w:t>、渗透系数K≤</w:t>
                  </w:r>
                  <w:r>
                    <w:rPr>
                      <w:color w:val="auto"/>
                      <w:highlight w:val="none"/>
                      <w:shd w:val="clear" w:color="auto" w:fill="auto"/>
                    </w:rPr>
                    <w:t>1.0</w:t>
                  </w:r>
                  <w:r>
                    <w:rPr>
                      <w:rFonts w:hint="eastAsia"/>
                      <w:color w:val="auto"/>
                      <w:highlight w:val="none"/>
                      <w:shd w:val="clear" w:color="auto" w:fill="auto"/>
                    </w:rPr>
                    <w:t>×</w:t>
                  </w:r>
                  <w:r>
                    <w:rPr>
                      <w:color w:val="auto"/>
                      <w:highlight w:val="none"/>
                      <w:shd w:val="clear" w:color="auto" w:fill="auto"/>
                    </w:rPr>
                    <w:t>10</w:t>
                  </w:r>
                  <w:r>
                    <w:rPr>
                      <w:color w:val="auto"/>
                      <w:highlight w:val="none"/>
                      <w:shd w:val="clear" w:color="auto" w:fill="auto"/>
                      <w:vertAlign w:val="superscript"/>
                    </w:rPr>
                    <w:t>-7</w:t>
                  </w:r>
                  <w:r>
                    <w:rPr>
                      <w:color w:val="auto"/>
                      <w:highlight w:val="none"/>
                      <w:shd w:val="clear" w:color="auto" w:fill="auto"/>
                    </w:rPr>
                    <w:t>cm/s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8" w:hRule="atLeast"/>
                <w:jc w:val="center"/>
              </w:trPr>
              <w:tc>
                <w:tcPr>
                  <w:tcW w:w="1036" w:type="dxa"/>
                  <w:vMerge w:val="continue"/>
                  <w:tcBorders>
                    <w:tl2br w:val="nil"/>
                    <w:tr2bl w:val="nil"/>
                  </w:tcBorders>
                  <w:vAlign w:val="center"/>
                </w:tcPr>
                <w:p>
                  <w:pPr>
                    <w:pStyle w:val="28"/>
                    <w:bidi w:val="0"/>
                    <w:rPr>
                      <w:rFonts w:hint="eastAsia"/>
                      <w:color w:val="auto"/>
                      <w:highlight w:val="none"/>
                      <w:shd w:val="clear" w:color="auto" w:fill="auto"/>
                    </w:rPr>
                  </w:pPr>
                </w:p>
              </w:tc>
              <w:tc>
                <w:tcPr>
                  <w:tcW w:w="2267" w:type="dxa"/>
                  <w:tcBorders>
                    <w:tl2br w:val="nil"/>
                    <w:tr2bl w:val="nil"/>
                  </w:tcBorders>
                  <w:vAlign w:val="center"/>
                </w:tcPr>
                <w:p>
                  <w:pPr>
                    <w:pStyle w:val="28"/>
                    <w:bidi w:val="0"/>
                    <w:ind w:left="0" w:leftChars="0" w:firstLine="0" w:firstLineChars="0"/>
                    <w:rPr>
                      <w:rFonts w:hint="eastAsia"/>
                      <w:color w:val="auto"/>
                      <w:highlight w:val="none"/>
                      <w:shd w:val="clear" w:color="auto" w:fill="auto"/>
                      <w:lang w:val="en-US" w:eastAsia="zh-CN"/>
                    </w:rPr>
                  </w:pPr>
                  <w:r>
                    <w:rPr>
                      <w:rFonts w:hint="eastAsia"/>
                      <w:color w:val="auto"/>
                      <w:highlight w:val="none"/>
                      <w:shd w:val="clear" w:color="auto" w:fill="auto"/>
                      <w:lang w:val="en-US" w:eastAsia="zh-CN"/>
                    </w:rPr>
                    <w:t>3#物料库</w:t>
                  </w:r>
                </w:p>
              </w:tc>
              <w:tc>
                <w:tcPr>
                  <w:tcW w:w="2650" w:type="dxa"/>
                  <w:tcBorders>
                    <w:tl2br w:val="nil"/>
                    <w:tr2bl w:val="nil"/>
                  </w:tcBorders>
                  <w:vAlign w:val="center"/>
                </w:tcPr>
                <w:p>
                  <w:pPr>
                    <w:pStyle w:val="28"/>
                    <w:bidi w:val="0"/>
                    <w:ind w:left="0" w:leftChars="0" w:firstLine="0" w:firstLineChars="0"/>
                    <w:rPr>
                      <w:rFonts w:hint="eastAsia"/>
                      <w:color w:val="auto"/>
                      <w:highlight w:val="none"/>
                      <w:shd w:val="clear" w:color="auto" w:fill="auto"/>
                      <w:lang w:eastAsia="zh-CN"/>
                    </w:rPr>
                  </w:pPr>
                  <w:r>
                    <w:rPr>
                      <w:rFonts w:hint="eastAsia"/>
                      <w:color w:val="auto"/>
                      <w:highlight w:val="none"/>
                      <w:shd w:val="clear" w:color="auto" w:fill="auto"/>
                      <w:lang w:eastAsia="zh-CN"/>
                    </w:rPr>
                    <w:t>地面</w:t>
                  </w:r>
                </w:p>
              </w:tc>
              <w:tc>
                <w:tcPr>
                  <w:tcW w:w="2377" w:type="dxa"/>
                  <w:vMerge w:val="continue"/>
                  <w:tcBorders>
                    <w:tl2br w:val="nil"/>
                    <w:tr2bl w:val="nil"/>
                  </w:tcBorders>
                  <w:vAlign w:val="center"/>
                </w:tcPr>
                <w:p>
                  <w:pPr>
                    <w:pStyle w:val="28"/>
                    <w:bidi w:val="0"/>
                    <w:rPr>
                      <w:rFonts w:hint="eastAsia"/>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vAlign w:val="center"/>
                </w:tcPr>
                <w:p>
                  <w:pPr>
                    <w:pStyle w:val="28"/>
                    <w:bidi w:val="0"/>
                    <w:rPr>
                      <w:color w:val="auto"/>
                      <w:highlight w:val="none"/>
                      <w:shd w:val="clear" w:color="auto" w:fill="auto"/>
                    </w:rPr>
                  </w:pP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5#-6#生产车间</w:t>
                  </w:r>
                </w:p>
              </w:tc>
              <w:tc>
                <w:tcPr>
                  <w:tcW w:w="2650"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2377" w:type="dxa"/>
                  <w:vMerge w:val="continue"/>
                  <w:tcBorders>
                    <w:tl2br w:val="nil"/>
                    <w:tr2bl w:val="nil"/>
                  </w:tcBorders>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vAlign w:val="center"/>
                </w:tcPr>
                <w:p>
                  <w:pPr>
                    <w:pStyle w:val="28"/>
                    <w:bidi w:val="0"/>
                    <w:rPr>
                      <w:color w:val="auto"/>
                      <w:highlight w:val="none"/>
                      <w:shd w:val="clear" w:color="auto" w:fill="auto"/>
                    </w:rPr>
                  </w:pP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一般工业固废暂存间</w:t>
                  </w:r>
                </w:p>
              </w:tc>
              <w:tc>
                <w:tcPr>
                  <w:tcW w:w="2650"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地面</w:t>
                  </w:r>
                </w:p>
              </w:tc>
              <w:tc>
                <w:tcPr>
                  <w:tcW w:w="2377" w:type="dxa"/>
                  <w:vMerge w:val="continue"/>
                  <w:tcBorders>
                    <w:tl2br w:val="nil"/>
                    <w:tr2bl w:val="nil"/>
                  </w:tcBorders>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vAlign w:val="center"/>
                </w:tcPr>
                <w:p>
                  <w:pPr>
                    <w:pStyle w:val="28"/>
                    <w:bidi w:val="0"/>
                    <w:rPr>
                      <w:color w:val="auto"/>
                      <w:highlight w:val="none"/>
                      <w:shd w:val="clear" w:color="auto" w:fill="auto"/>
                    </w:rPr>
                  </w:pP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生产废水处理系统、洗车废水沉淀池、雨水收集池、化粪池、一体化污水处理设施</w:t>
                  </w:r>
                </w:p>
              </w:tc>
              <w:tc>
                <w:tcPr>
                  <w:tcW w:w="2650" w:type="dxa"/>
                  <w:tcBorders>
                    <w:tl2br w:val="nil"/>
                    <w:tr2bl w:val="nil"/>
                  </w:tcBorders>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lang w:eastAsia="zh-CN"/>
                    </w:rPr>
                    <w:t>废水设施各构筑物</w:t>
                  </w:r>
                  <w:r>
                    <w:rPr>
                      <w:rFonts w:hint="eastAsia"/>
                      <w:color w:val="auto"/>
                      <w:highlight w:val="none"/>
                      <w:shd w:val="clear" w:color="auto" w:fill="auto"/>
                      <w:lang w:val="en-US" w:eastAsia="zh-CN"/>
                    </w:rPr>
                    <w:t>底部、池体四周</w:t>
                  </w:r>
                </w:p>
              </w:tc>
              <w:tc>
                <w:tcPr>
                  <w:tcW w:w="2377" w:type="dxa"/>
                  <w:vMerge w:val="continue"/>
                  <w:tcBorders>
                    <w:tl2br w:val="nil"/>
                    <w:tr2bl w:val="nil"/>
                  </w:tcBorders>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vMerge w:val="continue"/>
                  <w:tcBorders>
                    <w:tl2br w:val="nil"/>
                    <w:tr2bl w:val="nil"/>
                  </w:tcBorders>
                  <w:vAlign w:val="center"/>
                </w:tcPr>
                <w:p>
                  <w:pPr>
                    <w:pStyle w:val="28"/>
                    <w:bidi w:val="0"/>
                    <w:rPr>
                      <w:color w:val="auto"/>
                      <w:highlight w:val="none"/>
                      <w:shd w:val="clear" w:color="auto" w:fill="auto"/>
                    </w:rPr>
                  </w:pPr>
                </w:p>
              </w:tc>
              <w:tc>
                <w:tcPr>
                  <w:tcW w:w="2267" w:type="dxa"/>
                  <w:tcBorders>
                    <w:tl2br w:val="nil"/>
                    <w:tr2bl w:val="nil"/>
                  </w:tcBorders>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lang w:val="en-US" w:eastAsia="zh-CN"/>
                    </w:rPr>
                    <w:t>污水管道、阀门、导流沟槽</w:t>
                  </w:r>
                </w:p>
              </w:tc>
              <w:tc>
                <w:tcPr>
                  <w:tcW w:w="2650" w:type="dxa"/>
                  <w:tcBorders>
                    <w:tl2br w:val="nil"/>
                    <w:tr2bl w:val="nil"/>
                  </w:tcBorders>
                  <w:vAlign w:val="center"/>
                </w:tcPr>
                <w:p>
                  <w:pPr>
                    <w:pStyle w:val="28"/>
                    <w:bidi w:val="0"/>
                    <w:rPr>
                      <w:rFonts w:hint="eastAsia"/>
                      <w:color w:val="auto"/>
                      <w:highlight w:val="none"/>
                      <w:shd w:val="clear" w:color="auto" w:fill="auto"/>
                      <w:lang w:eastAsia="zh-CN"/>
                    </w:rPr>
                  </w:pPr>
                  <w:r>
                    <w:rPr>
                      <w:rFonts w:hint="eastAsia"/>
                      <w:color w:val="auto"/>
                      <w:highlight w:val="none"/>
                      <w:shd w:val="clear" w:color="auto" w:fill="auto"/>
                      <w:lang w:eastAsia="zh-CN"/>
                    </w:rPr>
                    <w:t>管道四周、导流沟槽底部及四周</w:t>
                  </w:r>
                </w:p>
              </w:tc>
              <w:tc>
                <w:tcPr>
                  <w:tcW w:w="2377" w:type="dxa"/>
                  <w:vMerge w:val="continue"/>
                  <w:tcBorders>
                    <w:tl2br w:val="nil"/>
                    <w:tr2bl w:val="nil"/>
                  </w:tcBorders>
                  <w:vAlign w:val="center"/>
                </w:tcPr>
                <w:p>
                  <w:pPr>
                    <w:pStyle w:val="28"/>
                    <w:bidi w:val="0"/>
                    <w:rPr>
                      <w:color w:val="auto"/>
                      <w:highlight w:val="none"/>
                      <w:shd w:val="clear" w:color="auto" w:fill="auto"/>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36" w:type="dxa"/>
                  <w:tcBorders>
                    <w:tl2br w:val="nil"/>
                    <w:tr2bl w:val="nil"/>
                  </w:tcBorders>
                  <w:vAlign w:val="center"/>
                </w:tcPr>
                <w:p>
                  <w:pPr>
                    <w:pStyle w:val="28"/>
                    <w:bidi w:val="0"/>
                    <w:rPr>
                      <w:rFonts w:hint="eastAsia"/>
                      <w:color w:val="auto"/>
                      <w:highlight w:val="none"/>
                      <w:shd w:val="clear" w:color="auto" w:fill="auto"/>
                    </w:rPr>
                  </w:pPr>
                  <w:r>
                    <w:rPr>
                      <w:rFonts w:hint="eastAsia"/>
                      <w:color w:val="auto"/>
                      <w:highlight w:val="none"/>
                      <w:shd w:val="clear" w:color="auto" w:fill="auto"/>
                    </w:rPr>
                    <w:t>简单防</w:t>
                  </w:r>
                </w:p>
                <w:p>
                  <w:pPr>
                    <w:pStyle w:val="28"/>
                    <w:bidi w:val="0"/>
                    <w:rPr>
                      <w:color w:val="auto"/>
                      <w:highlight w:val="none"/>
                      <w:shd w:val="clear" w:color="auto" w:fill="auto"/>
                      <w:lang w:val="en-US" w:eastAsia="zh-CN"/>
                    </w:rPr>
                  </w:pPr>
                  <w:r>
                    <w:rPr>
                      <w:rFonts w:hint="eastAsia"/>
                      <w:color w:val="auto"/>
                      <w:highlight w:val="none"/>
                      <w:shd w:val="clear" w:color="auto" w:fill="auto"/>
                    </w:rPr>
                    <w:t>渗区</w:t>
                  </w:r>
                </w:p>
              </w:tc>
              <w:tc>
                <w:tcPr>
                  <w:tcW w:w="2267" w:type="dxa"/>
                  <w:tcBorders>
                    <w:tl2br w:val="nil"/>
                    <w:tr2bl w:val="nil"/>
                  </w:tcBorders>
                  <w:vAlign w:val="center"/>
                </w:tcPr>
                <w:p>
                  <w:pPr>
                    <w:pStyle w:val="28"/>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办公区等其他区域</w:t>
                  </w:r>
                </w:p>
              </w:tc>
              <w:tc>
                <w:tcPr>
                  <w:tcW w:w="2650" w:type="dxa"/>
                  <w:tcBorders>
                    <w:tl2br w:val="nil"/>
                    <w:tr2bl w:val="nil"/>
                  </w:tcBorders>
                  <w:vAlign w:val="center"/>
                </w:tcPr>
                <w:p>
                  <w:pPr>
                    <w:pStyle w:val="28"/>
                    <w:bidi w:val="0"/>
                    <w:rPr>
                      <w:rFonts w:hint="eastAsia"/>
                      <w:color w:val="auto"/>
                      <w:highlight w:val="none"/>
                      <w:shd w:val="clear" w:color="auto" w:fill="auto"/>
                      <w:lang w:val="en-US" w:eastAsia="zh-CN"/>
                    </w:rPr>
                  </w:pPr>
                  <w:r>
                    <w:rPr>
                      <w:rFonts w:hint="eastAsia"/>
                      <w:color w:val="auto"/>
                      <w:highlight w:val="none"/>
                      <w:shd w:val="clear" w:color="auto" w:fill="auto"/>
                    </w:rPr>
                    <w:t>地面</w:t>
                  </w:r>
                </w:p>
              </w:tc>
              <w:tc>
                <w:tcPr>
                  <w:tcW w:w="2377" w:type="dxa"/>
                  <w:tcBorders>
                    <w:tl2br w:val="nil"/>
                    <w:tr2bl w:val="nil"/>
                  </w:tcBorders>
                  <w:vAlign w:val="center"/>
                </w:tcPr>
                <w:p>
                  <w:pPr>
                    <w:pStyle w:val="28"/>
                    <w:bidi w:val="0"/>
                    <w:rPr>
                      <w:color w:val="auto"/>
                      <w:highlight w:val="none"/>
                      <w:shd w:val="clear" w:color="auto" w:fill="auto"/>
                    </w:rPr>
                  </w:pPr>
                  <w:r>
                    <w:rPr>
                      <w:rFonts w:hint="eastAsia"/>
                      <w:color w:val="auto"/>
                      <w:highlight w:val="none"/>
                      <w:shd w:val="clear" w:color="auto" w:fill="auto"/>
                    </w:rPr>
                    <w:t>一般地面硬化</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eastAsia" w:ascii="Times New Roman" w:hAnsi="Times New Roman" w:eastAsia="宋体" w:cs="Times New Roman"/>
                <w:b/>
                <w:bCs/>
                <w:color w:val="auto"/>
                <w:sz w:val="24"/>
                <w:szCs w:val="24"/>
                <w:highlight w:val="none"/>
                <w:shd w:val="clear" w:color="auto" w:fill="auto"/>
              </w:rPr>
            </w:pP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lang w:val="en-US" w:eastAsia="zh-CN"/>
              </w:rPr>
              <w:t>3</w:t>
            </w:r>
            <w:r>
              <w:rPr>
                <w:rFonts w:hint="eastAsia" w:ascii="Times New Roman" w:hAnsi="Times New Roman" w:eastAsia="宋体" w:cs="Times New Roman"/>
                <w:b/>
                <w:bCs/>
                <w:color w:val="auto"/>
                <w:sz w:val="24"/>
                <w:szCs w:val="24"/>
                <w:highlight w:val="none"/>
                <w:shd w:val="clear" w:color="auto" w:fill="auto"/>
                <w:lang w:eastAsia="zh-CN"/>
              </w:rPr>
              <w:t>）</w:t>
            </w:r>
            <w:r>
              <w:rPr>
                <w:rFonts w:hint="eastAsia" w:ascii="Times New Roman" w:hAnsi="Times New Roman" w:eastAsia="宋体" w:cs="Times New Roman"/>
                <w:b/>
                <w:bCs/>
                <w:color w:val="auto"/>
                <w:sz w:val="24"/>
                <w:szCs w:val="24"/>
                <w:highlight w:val="none"/>
                <w:shd w:val="clear" w:color="auto" w:fill="auto"/>
              </w:rPr>
              <w:t>监控措施</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①项目危险废物</w:t>
            </w:r>
            <w:r>
              <w:rPr>
                <w:rFonts w:hint="eastAsia" w:cs="Times New Roman"/>
                <w:color w:val="auto"/>
                <w:sz w:val="24"/>
                <w:szCs w:val="24"/>
                <w:highlight w:val="none"/>
                <w:shd w:val="clear" w:color="auto" w:fill="auto"/>
                <w:lang w:eastAsia="zh-CN"/>
              </w:rPr>
              <w:t>贮存库</w:t>
            </w:r>
            <w:r>
              <w:rPr>
                <w:rFonts w:hint="eastAsia" w:ascii="Times New Roman" w:hAnsi="Times New Roman" w:eastAsia="宋体" w:cs="Times New Roman"/>
                <w:color w:val="auto"/>
                <w:sz w:val="24"/>
                <w:szCs w:val="24"/>
                <w:highlight w:val="none"/>
                <w:shd w:val="clear" w:color="auto" w:fill="auto"/>
                <w:lang w:eastAsia="zh-CN"/>
              </w:rPr>
              <w:t>液态危险废物容器底部设置防渗托盘，</w:t>
            </w:r>
            <w:r>
              <w:rPr>
                <w:rFonts w:hint="eastAsia" w:ascii="Times New Roman" w:hAnsi="Times New Roman" w:eastAsia="宋体" w:cs="Times New Roman"/>
                <w:color w:val="auto"/>
                <w:sz w:val="24"/>
                <w:szCs w:val="24"/>
                <w:highlight w:val="none"/>
                <w:shd w:val="clear" w:color="auto" w:fill="auto"/>
              </w:rPr>
              <w:t>防止</w:t>
            </w:r>
            <w:r>
              <w:rPr>
                <w:rFonts w:hint="eastAsia" w:cs="Times New Roman"/>
                <w:color w:val="auto"/>
                <w:sz w:val="24"/>
                <w:szCs w:val="24"/>
                <w:highlight w:val="none"/>
                <w:shd w:val="clear" w:color="auto" w:fill="auto"/>
                <w:lang w:eastAsia="zh-CN"/>
              </w:rPr>
              <w:t>泄漏物</w:t>
            </w:r>
            <w:r>
              <w:rPr>
                <w:rFonts w:hint="eastAsia" w:ascii="Times New Roman" w:hAnsi="Times New Roman" w:eastAsia="宋体" w:cs="Times New Roman"/>
                <w:color w:val="auto"/>
                <w:sz w:val="24"/>
                <w:szCs w:val="24"/>
                <w:highlight w:val="none"/>
                <w:shd w:val="clear" w:color="auto" w:fill="auto"/>
              </w:rPr>
              <w:t>四处扩散，并可及时移除或者清理污染源；</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②建立健全环境管理和监测制度，保证各环保设施正常运转，同时强化风险防范意识，如遇环保设施不能正常运转，应立即停产检修；</w:t>
            </w:r>
          </w:p>
          <w:p>
            <w:pPr>
              <w:spacing w:line="360" w:lineRule="auto"/>
              <w:ind w:firstLine="480" w:firstLineChars="200"/>
              <w:rPr>
                <w:rFonts w:hint="eastAsia"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③</w:t>
            </w:r>
            <w:r>
              <w:rPr>
                <w:rFonts w:hint="eastAsia" w:ascii="Times New Roman" w:hAnsi="Times New Roman" w:eastAsia="宋体"/>
                <w:color w:val="auto"/>
                <w:sz w:val="24"/>
                <w:szCs w:val="24"/>
                <w:highlight w:val="none"/>
                <w:shd w:val="clear" w:color="auto" w:fill="auto"/>
              </w:rPr>
              <w:t>设置专门管理制度，加强对原辅材料及危险废物的规范化管理，定期巡查维护环保设施的运行情况，及时处理非正常运行情况；</w:t>
            </w:r>
          </w:p>
          <w:p>
            <w:pPr>
              <w:spacing w:line="360" w:lineRule="auto"/>
              <w:ind w:firstLine="480" w:firstLineChars="200"/>
              <w:rPr>
                <w:rFonts w:hint="eastAsia"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④</w:t>
            </w:r>
            <w:r>
              <w:rPr>
                <w:rFonts w:hint="eastAsia" w:ascii="Times New Roman" w:hAnsi="Times New Roman" w:eastAsia="宋体"/>
                <w:color w:val="auto"/>
                <w:sz w:val="24"/>
                <w:szCs w:val="24"/>
                <w:highlight w:val="none"/>
                <w:shd w:val="clear" w:color="auto" w:fill="auto"/>
              </w:rPr>
              <w:t>建立相应制度，对运行期项目可能造成的土壤污染问题承担相应的责任并进行修复，将其列入企业内部的环保管理规定中。</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⑤</w:t>
            </w:r>
            <w:r>
              <w:rPr>
                <w:rFonts w:hint="eastAsia" w:ascii="Times New Roman" w:hAnsi="Times New Roman" w:eastAsia="宋体"/>
                <w:color w:val="auto"/>
                <w:sz w:val="24"/>
                <w:szCs w:val="24"/>
                <w:highlight w:val="none"/>
                <w:shd w:val="clear" w:color="auto" w:fill="auto"/>
              </w:rPr>
              <w:t>加强内部管理，将土壤污染防治纳入项目环境风险防控体系，严格依法依规建设和运行污染治理设施，确保重点污染物稳定达标排放；另外，提供企业员工污染隐患和环境风险防范意识，并定期开展培训。</w:t>
            </w:r>
          </w:p>
          <w:p>
            <w:pPr>
              <w:spacing w:line="360" w:lineRule="auto"/>
              <w:ind w:firstLine="480" w:firstLineChars="200"/>
              <w:rPr>
                <w:rFonts w:hint="eastAsia" w:ascii="Times New Roman" w:hAnsi="Times New Roman" w:eastAsia="宋体"/>
                <w:color w:val="auto"/>
                <w:sz w:val="21"/>
                <w:szCs w:val="21"/>
                <w:highlight w:val="none"/>
                <w:shd w:val="clear" w:color="auto" w:fill="auto"/>
              </w:rPr>
            </w:pPr>
            <w:r>
              <w:rPr>
                <w:rFonts w:hint="eastAsia" w:ascii="Times New Roman" w:hAnsi="Times New Roman" w:eastAsia="宋体"/>
                <w:color w:val="auto"/>
                <w:sz w:val="24"/>
                <w:szCs w:val="24"/>
                <w:highlight w:val="none"/>
                <w:shd w:val="clear" w:color="auto" w:fill="auto"/>
              </w:rPr>
              <w:t>综上所述，加强项目运行过程中环境管理，则项目实施对厂区及周边</w:t>
            </w:r>
            <w:r>
              <w:rPr>
                <w:rFonts w:hint="eastAsia" w:ascii="Times New Roman" w:hAnsi="Times New Roman" w:eastAsia="宋体"/>
                <w:color w:val="auto"/>
                <w:sz w:val="24"/>
                <w:szCs w:val="24"/>
                <w:highlight w:val="none"/>
                <w:shd w:val="clear" w:color="auto" w:fill="auto"/>
                <w:lang w:val="en-US" w:eastAsia="zh-CN"/>
              </w:rPr>
              <w:t>地下水、</w:t>
            </w:r>
            <w:r>
              <w:rPr>
                <w:rFonts w:hint="eastAsia" w:ascii="Times New Roman" w:hAnsi="Times New Roman" w:eastAsia="宋体"/>
                <w:color w:val="auto"/>
                <w:sz w:val="24"/>
                <w:szCs w:val="24"/>
                <w:highlight w:val="none"/>
                <w:shd w:val="clear" w:color="auto" w:fill="auto"/>
              </w:rPr>
              <w:t>土壤环境的影响可控。</w:t>
            </w:r>
          </w:p>
          <w:p>
            <w:pPr>
              <w:pStyle w:val="4"/>
              <w:bidi w:val="0"/>
              <w:rPr>
                <w:color w:val="auto"/>
                <w:highlight w:val="none"/>
                <w:shd w:val="clear" w:color="auto" w:fill="auto"/>
              </w:rPr>
            </w:pPr>
            <w:r>
              <w:rPr>
                <w:rFonts w:hint="eastAsia"/>
                <w:color w:val="auto"/>
                <w:highlight w:val="none"/>
                <w:shd w:val="clear" w:color="auto" w:fill="auto"/>
              </w:rPr>
              <w:t>4.</w:t>
            </w:r>
            <w:r>
              <w:rPr>
                <w:rFonts w:hint="eastAsia"/>
                <w:color w:val="auto"/>
                <w:highlight w:val="none"/>
                <w:shd w:val="clear" w:color="auto" w:fill="auto"/>
                <w:lang w:val="en-US" w:eastAsia="zh-CN"/>
              </w:rPr>
              <w:t>6</w:t>
            </w:r>
            <w:r>
              <w:rPr>
                <w:rFonts w:hint="eastAsia"/>
                <w:color w:val="auto"/>
                <w:highlight w:val="none"/>
                <w:shd w:val="clear" w:color="auto" w:fill="auto"/>
              </w:rPr>
              <w:t>.3 跟踪监测要求</w:t>
            </w:r>
          </w:p>
          <w:p>
            <w:pPr>
              <w:spacing w:line="360" w:lineRule="auto"/>
              <w:ind w:firstLine="480" w:firstLineChars="200"/>
              <w:rPr>
                <w:rFonts w:ascii="Times New Roman" w:hAnsi="Times New Roman" w:eastAsia="宋体"/>
                <w:color w:val="auto"/>
                <w:sz w:val="24"/>
                <w:szCs w:val="24"/>
                <w:highlight w:val="none"/>
                <w:shd w:val="clear" w:color="auto" w:fill="auto"/>
              </w:rPr>
            </w:pPr>
            <w:r>
              <w:rPr>
                <w:rFonts w:hint="eastAsia" w:ascii="Times New Roman" w:hAnsi="Times New Roman" w:eastAsia="宋体"/>
                <w:color w:val="auto"/>
                <w:sz w:val="24"/>
                <w:szCs w:val="24"/>
                <w:highlight w:val="none"/>
                <w:shd w:val="clear" w:color="auto" w:fill="auto"/>
              </w:rPr>
              <w:t>项目建设后，厂区</w:t>
            </w:r>
            <w:r>
              <w:rPr>
                <w:rFonts w:hint="eastAsia"/>
                <w:color w:val="auto"/>
                <w:sz w:val="24"/>
                <w:szCs w:val="24"/>
                <w:highlight w:val="none"/>
                <w:shd w:val="clear" w:color="auto" w:fill="auto"/>
                <w:lang w:eastAsia="zh-CN"/>
              </w:rPr>
              <w:t>除绿化外全部</w:t>
            </w:r>
            <w:r>
              <w:rPr>
                <w:rFonts w:hint="eastAsia" w:ascii="Times New Roman" w:hAnsi="Times New Roman" w:eastAsia="宋体"/>
                <w:color w:val="auto"/>
                <w:sz w:val="24"/>
                <w:szCs w:val="24"/>
                <w:highlight w:val="none"/>
                <w:shd w:val="clear" w:color="auto" w:fill="auto"/>
              </w:rPr>
              <w:t>硬化，生产过程不排放持久性及重金属等污染物，严格按照要求对项目进行分区防渗防治后，项目对地下水、土壤环境影响很小，因此，本评价不对项目地下水、土壤环境提出跟踪监测要求。</w:t>
            </w:r>
          </w:p>
          <w:p>
            <w:pPr>
              <w:pStyle w:val="3"/>
              <w:bidi w:val="0"/>
              <w:rPr>
                <w:rFonts w:hint="default"/>
                <w:color w:val="auto"/>
                <w:highlight w:val="none"/>
                <w:lang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eastAsia="zh-CN"/>
              </w:rPr>
              <w:t>环境风险影响和</w:t>
            </w:r>
            <w:r>
              <w:rPr>
                <w:rFonts w:hint="eastAsia"/>
                <w:color w:val="auto"/>
                <w:highlight w:val="none"/>
                <w:lang w:val="en-US" w:eastAsia="zh-CN"/>
              </w:rPr>
              <w:t>防范</w:t>
            </w:r>
            <w:r>
              <w:rPr>
                <w:rFonts w:hint="default"/>
                <w:color w:val="auto"/>
                <w:highlight w:val="none"/>
                <w:lang w:eastAsia="zh-CN"/>
              </w:rPr>
              <w:t>措施</w:t>
            </w:r>
          </w:p>
          <w:p>
            <w:pPr>
              <w:spacing w:line="360" w:lineRule="auto"/>
              <w:ind w:firstLine="480" w:firstLineChars="200"/>
              <w:rPr>
                <w:rFonts w:hint="eastAsia" w:ascii="Times New Roman" w:hAnsi="Times New Roman" w:eastAsia="宋体"/>
                <w:color w:val="auto"/>
                <w:sz w:val="24"/>
                <w:highlight w:val="none"/>
              </w:rPr>
            </w:pPr>
            <w:r>
              <w:rPr>
                <w:rFonts w:hint="eastAsia" w:ascii="Times New Roman" w:hAnsi="Times New Roman" w:eastAsia="宋体"/>
                <w:color w:val="auto"/>
                <w:sz w:val="24"/>
                <w:szCs w:val="24"/>
                <w:highlight w:val="none"/>
              </w:rPr>
              <w:t>根据</w:t>
            </w:r>
            <w:r>
              <w:rPr>
                <w:rFonts w:ascii="Times New Roman" w:hAnsi="Times New Roman" w:eastAsia="宋体"/>
                <w:color w:val="auto"/>
                <w:sz w:val="24"/>
                <w:szCs w:val="24"/>
                <w:highlight w:val="none"/>
              </w:rPr>
              <w:t>《建设项目环境影响报告表编制技术指南</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污染影响类</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试行</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rPr>
              <w:t>(</w:t>
            </w:r>
            <w:r>
              <w:rPr>
                <w:rFonts w:ascii="Times New Roman" w:hAnsi="Times New Roman" w:eastAsia="宋体"/>
                <w:color w:val="auto"/>
                <w:sz w:val="24"/>
                <w:szCs w:val="24"/>
                <w:highlight w:val="none"/>
              </w:rPr>
              <w:t>环办环评〔2020〕33号</w:t>
            </w:r>
            <w:r>
              <w:rPr>
                <w:rFonts w:hint="eastAsia" w:ascii="Times New Roman" w:hAnsi="Times New Roman" w:eastAsia="宋体"/>
                <w:color w:val="auto"/>
                <w:sz w:val="24"/>
                <w:szCs w:val="24"/>
                <w:highlight w:val="none"/>
              </w:rPr>
              <w:t>)关于环境风险评价要求：“明确有毒有害和易燃易爆等危险物质和风险源分布情况及可能影响途径，并提出相应环境风险防范措施”。</w:t>
            </w:r>
          </w:p>
          <w:p>
            <w:pPr>
              <w:pStyle w:val="4"/>
              <w:bidi w:val="0"/>
              <w:rPr>
                <w:rFonts w:hint="default"/>
                <w:color w:val="auto"/>
                <w:highlight w:val="none"/>
                <w:lang w:val="en-US" w:eastAsia="zh-CN"/>
              </w:rPr>
            </w:pPr>
            <w:r>
              <w:rPr>
                <w:rFonts w:hint="eastAsia"/>
                <w:color w:val="auto"/>
                <w:highlight w:val="none"/>
                <w:lang w:val="en-US" w:eastAsia="zh-CN"/>
              </w:rPr>
              <w:t>4.7.1</w:t>
            </w:r>
            <w:r>
              <w:rPr>
                <w:rFonts w:hint="default"/>
                <w:color w:val="auto"/>
                <w:highlight w:val="none"/>
                <w:lang w:val="en-US" w:eastAsia="zh-CN"/>
              </w:rPr>
              <w:t>项目</w:t>
            </w:r>
            <w:r>
              <w:rPr>
                <w:rFonts w:hint="eastAsia"/>
                <w:color w:val="auto"/>
                <w:highlight w:val="none"/>
                <w:lang w:val="en-US" w:eastAsia="zh-CN"/>
              </w:rPr>
              <w:t>危险物资</w:t>
            </w:r>
            <w:r>
              <w:rPr>
                <w:rFonts w:hint="default"/>
                <w:color w:val="auto"/>
                <w:highlight w:val="none"/>
                <w:lang w:val="en-US" w:eastAsia="zh-CN"/>
              </w:rPr>
              <w:t>调查</w:t>
            </w:r>
          </w:p>
          <w:p>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对照《建设项目环境风险评价技术导则》（HJ 169-2018）附录B及《企业突发环境事件风险分级方法》 HJ941-2018附录A可知，项目</w:t>
            </w:r>
            <w:r>
              <w:rPr>
                <w:rFonts w:hint="eastAsia" w:ascii="Times New Roman" w:hAnsi="Times New Roman" w:eastAsia="宋体" w:cs="Times New Roman"/>
                <w:color w:val="auto"/>
                <w:sz w:val="24"/>
                <w:szCs w:val="24"/>
                <w:highlight w:val="none"/>
                <w:lang w:val="en-US" w:eastAsia="zh-CN"/>
              </w:rPr>
              <w:t>涉及环境风险物质如下：</w:t>
            </w:r>
          </w:p>
          <w:p>
            <w:pPr>
              <w:pStyle w:val="33"/>
              <w:bidi w:val="0"/>
              <w:rPr>
                <w:rFonts w:hint="default"/>
                <w:color w:val="auto"/>
                <w:sz w:val="24"/>
                <w:szCs w:val="24"/>
                <w:highlight w:val="none"/>
                <w:lang w:val="en-US" w:eastAsia="zh-CN"/>
              </w:rPr>
            </w:pPr>
            <w:r>
              <w:rPr>
                <w:rFonts w:hint="default"/>
                <w:color w:val="auto"/>
                <w:sz w:val="24"/>
                <w:szCs w:val="24"/>
                <w:highlight w:val="none"/>
                <w:lang w:val="en-US" w:eastAsia="zh-CN"/>
              </w:rPr>
              <w:t>表</w:t>
            </w:r>
            <w:r>
              <w:rPr>
                <w:rFonts w:hint="eastAsia"/>
                <w:color w:val="auto"/>
                <w:sz w:val="24"/>
                <w:szCs w:val="24"/>
                <w:highlight w:val="none"/>
                <w:lang w:val="en-US" w:eastAsia="zh-CN"/>
              </w:rPr>
              <w:t>4.7-1</w:t>
            </w:r>
            <w:r>
              <w:rPr>
                <w:rFonts w:hint="default"/>
                <w:color w:val="auto"/>
                <w:sz w:val="24"/>
                <w:szCs w:val="24"/>
                <w:highlight w:val="none"/>
                <w:lang w:val="en-US" w:eastAsia="zh-CN"/>
              </w:rPr>
              <w:t xml:space="preserve"> 主要风险物质数量、有害因素分布表</w:t>
            </w:r>
          </w:p>
          <w:p>
            <w:pPr>
              <w:ind w:firstLine="420" w:firstLineChars="200"/>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注：1.其他危险废物参照风险导则HJ169-2018附录B中健康危险急性毒性物质（类别2，类别3）临界量</w:t>
            </w:r>
            <w:r>
              <w:rPr>
                <w:rFonts w:hint="eastAsia" w:cs="Times New Roman"/>
                <w:color w:val="auto"/>
                <w:sz w:val="21"/>
                <w:szCs w:val="21"/>
                <w:highlight w:val="none"/>
                <w:lang w:val="en-US" w:eastAsia="zh-CN"/>
              </w:rPr>
              <w:t>50t计</w:t>
            </w:r>
            <w:r>
              <w:rPr>
                <w:rFonts w:hint="eastAsia" w:ascii="Times New Roman" w:hAnsi="Times New Roman" w:eastAsia="宋体" w:cs="Times New Roman"/>
                <w:color w:val="auto"/>
                <w:sz w:val="21"/>
                <w:szCs w:val="21"/>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rFonts w:hint="eastAsia"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由表可知，</w:t>
            </w:r>
            <w:r>
              <w:rPr>
                <w:rFonts w:hint="eastAsia"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val="en-US" w:eastAsia="zh-CN"/>
              </w:rPr>
              <w:t>环境风险物质数量与临界量比值</w:t>
            </w:r>
            <w:r>
              <w:rPr>
                <w:rFonts w:ascii="Times New Roman" w:hAnsi="Times New Roman" w:eastAsia="宋体"/>
                <w:color w:val="auto"/>
                <w:sz w:val="24"/>
                <w:szCs w:val="24"/>
                <w:highlight w:val="none"/>
                <w:lang w:val="zh-CN"/>
              </w:rPr>
              <w:t>Q=</w:t>
            </w:r>
            <w:r>
              <w:rPr>
                <w:rFonts w:hint="eastAsia"/>
                <w:color w:val="auto"/>
                <w:sz w:val="24"/>
                <w:szCs w:val="24"/>
                <w:highlight w:val="none"/>
                <w:lang w:val="en-US" w:eastAsia="zh-CN"/>
              </w:rPr>
              <w:t>0.00718</w:t>
            </w:r>
            <w:r>
              <w:rPr>
                <w:rFonts w:hint="eastAsia" w:ascii="Times New Roman" w:hAnsi="Times New Roman" w:eastAsia="宋体"/>
                <w:color w:val="auto"/>
                <w:sz w:val="24"/>
                <w:szCs w:val="24"/>
                <w:highlight w:val="none"/>
                <w:lang w:val="en-US" w:eastAsia="zh-CN"/>
              </w:rPr>
              <w:t>＜1</w:t>
            </w:r>
            <w:r>
              <w:rPr>
                <w:rFonts w:ascii="Times New Roman" w:hAnsi="Times New Roman" w:eastAsia="宋体"/>
                <w:color w:val="auto"/>
                <w:sz w:val="24"/>
                <w:szCs w:val="24"/>
                <w:highlight w:val="none"/>
                <w:lang w:val="zh-CN"/>
              </w:rPr>
              <w:t>，则</w:t>
            </w:r>
            <w:r>
              <w:rPr>
                <w:rFonts w:hint="eastAsia" w:ascii="Times New Roman" w:hAnsi="Times New Roman" w:eastAsia="宋体"/>
                <w:color w:val="auto"/>
                <w:sz w:val="24"/>
                <w:szCs w:val="24"/>
                <w:highlight w:val="none"/>
                <w:lang w:val="en-US" w:eastAsia="zh-CN"/>
              </w:rPr>
              <w:t>项目</w:t>
            </w:r>
            <w:r>
              <w:rPr>
                <w:rFonts w:ascii="Times New Roman" w:hAnsi="Times New Roman" w:eastAsia="宋体"/>
                <w:color w:val="auto"/>
                <w:sz w:val="24"/>
                <w:szCs w:val="24"/>
                <w:highlight w:val="none"/>
                <w:lang w:val="zh-CN"/>
              </w:rPr>
              <w:t>环境风险潜势为I。</w:t>
            </w:r>
            <w:r>
              <w:rPr>
                <w:rFonts w:hint="eastAsia" w:ascii="Times New Roman" w:hAnsi="Times New Roman" w:eastAsia="宋体"/>
                <w:color w:val="auto"/>
                <w:sz w:val="24"/>
                <w:szCs w:val="24"/>
                <w:highlight w:val="none"/>
                <w:lang w:val="zh-CN"/>
              </w:rPr>
              <w:t>根据《建设项目环境风险评价技术导则》(HJ 169-2018)附录C可知，当Q＜1时，该项目环境风险潜势为Ⅰ，环境风险潜势为Ⅰ时，评价工作级别简单分析，因此，本评价主要在描述环境影响途径、环境危害后果、风险防范措施等方面给出定性说明。</w:t>
            </w:r>
          </w:p>
          <w:p>
            <w:pPr>
              <w:pStyle w:val="4"/>
              <w:bidi w:val="0"/>
              <w:rPr>
                <w:rFonts w:hint="default"/>
                <w:color w:val="auto"/>
                <w:highlight w:val="none"/>
                <w:lang w:val="en-US" w:eastAsia="zh-CN"/>
              </w:rPr>
            </w:pPr>
            <w:r>
              <w:rPr>
                <w:rFonts w:hint="default"/>
                <w:color w:val="auto"/>
                <w:highlight w:val="none"/>
                <w:lang w:val="en-US" w:eastAsia="zh-CN"/>
              </w:rPr>
              <w:t>4.</w:t>
            </w:r>
            <w:r>
              <w:rPr>
                <w:rFonts w:hint="eastAsia"/>
                <w:color w:val="auto"/>
                <w:highlight w:val="none"/>
                <w:lang w:val="en-US" w:eastAsia="zh-CN"/>
              </w:rPr>
              <w:t>7</w:t>
            </w:r>
            <w:r>
              <w:rPr>
                <w:rFonts w:hint="default"/>
                <w:color w:val="auto"/>
                <w:highlight w:val="none"/>
                <w:lang w:val="en-US" w:eastAsia="zh-CN"/>
              </w:rPr>
              <w:t>.</w:t>
            </w:r>
            <w:r>
              <w:rPr>
                <w:rFonts w:hint="eastAsia"/>
                <w:color w:val="auto"/>
                <w:highlight w:val="none"/>
                <w:lang w:val="en-US" w:eastAsia="zh-CN"/>
              </w:rPr>
              <w:t>2</w:t>
            </w:r>
            <w:r>
              <w:rPr>
                <w:rFonts w:hint="default"/>
                <w:color w:val="auto"/>
                <w:highlight w:val="none"/>
                <w:lang w:val="en-US" w:eastAsia="zh-CN"/>
              </w:rPr>
              <w:t xml:space="preserve"> 环境风险识别</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highlight w:val="none"/>
              </w:rPr>
            </w:pPr>
            <w:r>
              <w:rPr>
                <w:rFonts w:hint="eastAsia" w:ascii="Times New Roman" w:hAnsi="Times New Roman" w:eastAsia="宋体" w:cs="Times New Roman"/>
                <w:color w:val="auto"/>
                <w:kern w:val="0"/>
                <w:sz w:val="24"/>
                <w:highlight w:val="none"/>
                <w:lang w:val="en-US" w:eastAsia="zh-CN"/>
              </w:rPr>
              <w:t>通过对项目</w:t>
            </w:r>
            <w:r>
              <w:rPr>
                <w:rFonts w:hint="default" w:ascii="Times New Roman" w:hAnsi="Times New Roman" w:eastAsia="宋体" w:cs="Times New Roman"/>
                <w:color w:val="auto"/>
                <w:kern w:val="0"/>
                <w:sz w:val="24"/>
                <w:highlight w:val="none"/>
              </w:rPr>
              <w:t>生产系统、公用系统、环保系统</w:t>
            </w:r>
            <w:r>
              <w:rPr>
                <w:rFonts w:hint="eastAsia" w:ascii="Times New Roman" w:hAnsi="Times New Roman" w:eastAsia="宋体" w:cs="Times New Roman"/>
                <w:color w:val="auto"/>
                <w:kern w:val="0"/>
                <w:sz w:val="24"/>
                <w:highlight w:val="none"/>
                <w:lang w:val="en-US" w:eastAsia="zh-CN"/>
              </w:rPr>
              <w:t>等分析</w:t>
            </w:r>
            <w:r>
              <w:rPr>
                <w:rFonts w:hint="default" w:ascii="Times New Roman" w:hAnsi="Times New Roman" w:eastAsia="宋体" w:cs="Times New Roman"/>
                <w:color w:val="auto"/>
                <w:kern w:val="0"/>
                <w:sz w:val="24"/>
                <w:highlight w:val="none"/>
              </w:rPr>
              <w:t>，项目</w:t>
            </w:r>
            <w:r>
              <w:rPr>
                <w:rFonts w:hint="default" w:ascii="Times New Roman" w:hAnsi="Times New Roman" w:eastAsia="宋体" w:cs="Times New Roman"/>
                <w:color w:val="auto"/>
                <w:kern w:val="0"/>
                <w:sz w:val="24"/>
                <w:highlight w:val="none"/>
                <w:lang w:eastAsia="zh-CN"/>
              </w:rPr>
              <w:t>潜在环境风险事故</w:t>
            </w:r>
            <w:r>
              <w:rPr>
                <w:rFonts w:hint="default" w:ascii="Times New Roman" w:hAnsi="Times New Roman" w:eastAsia="宋体" w:cs="Times New Roman"/>
                <w:color w:val="auto"/>
                <w:kern w:val="0"/>
                <w:sz w:val="24"/>
                <w:highlight w:val="none"/>
              </w:rPr>
              <w:t>识别结果见</w:t>
            </w:r>
            <w:r>
              <w:rPr>
                <w:rFonts w:hint="default" w:ascii="Times New Roman" w:hAnsi="Times New Roman" w:eastAsia="宋体" w:cs="Times New Roman"/>
                <w:color w:val="auto"/>
                <w:kern w:val="0"/>
                <w:sz w:val="24"/>
                <w:highlight w:val="none"/>
                <w:lang w:eastAsia="zh-CN"/>
              </w:rPr>
              <w:t>下表</w:t>
            </w:r>
            <w:r>
              <w:rPr>
                <w:rFonts w:hint="default" w:ascii="Times New Roman" w:hAnsi="Times New Roman" w:eastAsia="宋体" w:cs="Times New Roman"/>
                <w:color w:val="auto"/>
                <w:kern w:val="0"/>
                <w:sz w:val="24"/>
                <w:highlight w:val="none"/>
                <w:lang w:val="en-US" w:eastAsia="zh-CN"/>
              </w:rPr>
              <w:t>4.</w:t>
            </w:r>
            <w:r>
              <w:rPr>
                <w:rFonts w:hint="eastAsia" w:cs="Times New Roman"/>
                <w:color w:val="auto"/>
                <w:kern w:val="0"/>
                <w:sz w:val="24"/>
                <w:highlight w:val="none"/>
                <w:lang w:val="en-US" w:eastAsia="zh-CN"/>
              </w:rPr>
              <w:t>7</w:t>
            </w:r>
            <w:r>
              <w:rPr>
                <w:rFonts w:hint="default" w:ascii="Times New Roman" w:hAnsi="Times New Roman" w:eastAsia="宋体" w:cs="Times New Roman"/>
                <w:color w:val="auto"/>
                <w:kern w:val="0"/>
                <w:sz w:val="24"/>
                <w:highlight w:val="none"/>
                <w:lang w:val="en-US" w:eastAsia="zh-CN"/>
              </w:rPr>
              <w:t>-2</w:t>
            </w:r>
            <w:r>
              <w:rPr>
                <w:rFonts w:hint="default" w:ascii="Times New Roman" w:hAnsi="Times New Roman" w:eastAsia="宋体" w:cs="Times New Roman"/>
                <w:color w:val="auto"/>
                <w:kern w:val="0"/>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表4.</w:t>
            </w:r>
            <w:r>
              <w:rPr>
                <w:rFonts w:hint="eastAsia" w:cs="Times New Roman"/>
                <w:b/>
                <w:bCs/>
                <w:color w:val="auto"/>
                <w:sz w:val="24"/>
                <w:szCs w:val="24"/>
                <w:highlight w:val="none"/>
                <w:lang w:val="en-US" w:eastAsia="zh-CN"/>
              </w:rPr>
              <w:t>7</w:t>
            </w:r>
            <w:r>
              <w:rPr>
                <w:rFonts w:hint="eastAsia" w:ascii="Times New Roman" w:hAnsi="Times New Roman" w:eastAsia="宋体" w:cs="Times New Roman"/>
                <w:b/>
                <w:bCs/>
                <w:color w:val="auto"/>
                <w:sz w:val="24"/>
                <w:szCs w:val="24"/>
                <w:highlight w:val="none"/>
                <w:lang w:val="en-US" w:eastAsia="zh-CN"/>
              </w:rPr>
              <w:t>-2 项目环境风险识别汇总表</w:t>
            </w:r>
          </w:p>
          <w:tbl>
            <w:tblPr>
              <w:tblStyle w:val="24"/>
              <w:tblW w:w="8327" w:type="dxa"/>
              <w:jc w:val="center"/>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90"/>
              <w:gridCol w:w="1872"/>
              <w:gridCol w:w="1105"/>
              <w:gridCol w:w="1024"/>
              <w:gridCol w:w="1812"/>
              <w:gridCol w:w="162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19" w:hRule="atLeast"/>
                <w:jc w:val="center"/>
              </w:trPr>
              <w:tc>
                <w:tcPr>
                  <w:tcW w:w="890" w:type="dxa"/>
                  <w:vAlign w:val="center"/>
                </w:tcPr>
                <w:p>
                  <w:pPr>
                    <w:pStyle w:val="28"/>
                    <w:bidi w:val="0"/>
                    <w:rPr>
                      <w:rFonts w:hint="default"/>
                      <w:b/>
                      <w:bCs/>
                      <w:color w:val="auto"/>
                      <w:highlight w:val="none"/>
                    </w:rPr>
                  </w:pPr>
                  <w:r>
                    <w:rPr>
                      <w:rFonts w:hint="default"/>
                      <w:b/>
                      <w:bCs/>
                      <w:color w:val="auto"/>
                      <w:highlight w:val="none"/>
                    </w:rPr>
                    <w:t>潜在事故类型</w:t>
                  </w:r>
                </w:p>
              </w:tc>
              <w:tc>
                <w:tcPr>
                  <w:tcW w:w="1872" w:type="dxa"/>
                  <w:vAlign w:val="center"/>
                </w:tcPr>
                <w:p>
                  <w:pPr>
                    <w:pStyle w:val="28"/>
                    <w:bidi w:val="0"/>
                    <w:rPr>
                      <w:rFonts w:hint="default"/>
                      <w:b/>
                      <w:bCs/>
                      <w:color w:val="auto"/>
                      <w:highlight w:val="none"/>
                    </w:rPr>
                  </w:pPr>
                  <w:r>
                    <w:rPr>
                      <w:rFonts w:hint="default"/>
                      <w:b/>
                      <w:bCs/>
                      <w:color w:val="auto"/>
                      <w:highlight w:val="none"/>
                    </w:rPr>
                    <w:t>事故原因</w:t>
                  </w:r>
                </w:p>
              </w:tc>
              <w:tc>
                <w:tcPr>
                  <w:tcW w:w="1105" w:type="dxa"/>
                  <w:vAlign w:val="center"/>
                </w:tcPr>
                <w:p>
                  <w:pPr>
                    <w:pStyle w:val="28"/>
                    <w:bidi w:val="0"/>
                    <w:rPr>
                      <w:rFonts w:hint="default"/>
                      <w:b/>
                      <w:bCs/>
                      <w:color w:val="auto"/>
                      <w:highlight w:val="none"/>
                      <w:lang w:val="en-US" w:eastAsia="zh-CN"/>
                    </w:rPr>
                  </w:pPr>
                  <w:r>
                    <w:rPr>
                      <w:rFonts w:hint="eastAsia"/>
                      <w:b/>
                      <w:bCs/>
                      <w:color w:val="auto"/>
                      <w:highlight w:val="none"/>
                      <w:lang w:val="en-US" w:eastAsia="zh-CN"/>
                    </w:rPr>
                    <w:t>危险单位</w:t>
                  </w:r>
                </w:p>
              </w:tc>
              <w:tc>
                <w:tcPr>
                  <w:tcW w:w="1024" w:type="dxa"/>
                  <w:vAlign w:val="center"/>
                </w:tcPr>
                <w:p>
                  <w:pPr>
                    <w:pStyle w:val="28"/>
                    <w:bidi w:val="0"/>
                    <w:rPr>
                      <w:rFonts w:hint="default"/>
                      <w:b/>
                      <w:bCs/>
                      <w:color w:val="auto"/>
                      <w:highlight w:val="none"/>
                      <w:lang w:val="en-US" w:eastAsia="zh-CN"/>
                    </w:rPr>
                  </w:pPr>
                  <w:r>
                    <w:rPr>
                      <w:rFonts w:hint="eastAsia"/>
                      <w:b/>
                      <w:bCs/>
                      <w:color w:val="auto"/>
                      <w:highlight w:val="none"/>
                      <w:lang w:val="en-US" w:eastAsia="zh-CN"/>
                    </w:rPr>
                    <w:t>危险物质</w:t>
                  </w:r>
                </w:p>
              </w:tc>
              <w:tc>
                <w:tcPr>
                  <w:tcW w:w="1812" w:type="dxa"/>
                  <w:vAlign w:val="center"/>
                </w:tcPr>
                <w:p>
                  <w:pPr>
                    <w:pStyle w:val="28"/>
                    <w:bidi w:val="0"/>
                    <w:rPr>
                      <w:rFonts w:hint="default"/>
                      <w:b/>
                      <w:bCs/>
                      <w:color w:val="auto"/>
                      <w:highlight w:val="none"/>
                    </w:rPr>
                  </w:pPr>
                  <w:r>
                    <w:rPr>
                      <w:rFonts w:hint="default"/>
                      <w:b/>
                      <w:bCs/>
                      <w:color w:val="auto"/>
                      <w:highlight w:val="none"/>
                      <w:lang w:val="en-US" w:eastAsia="zh-CN"/>
                    </w:rPr>
                    <w:t>环境影响途径</w:t>
                  </w:r>
                </w:p>
              </w:tc>
              <w:tc>
                <w:tcPr>
                  <w:tcW w:w="1624" w:type="dxa"/>
                  <w:vAlign w:val="center"/>
                </w:tcPr>
                <w:p>
                  <w:pPr>
                    <w:pStyle w:val="28"/>
                    <w:bidi w:val="0"/>
                    <w:rPr>
                      <w:rFonts w:hint="default"/>
                      <w:b/>
                      <w:bCs/>
                      <w:color w:val="auto"/>
                      <w:highlight w:val="none"/>
                    </w:rPr>
                  </w:pPr>
                  <w:r>
                    <w:rPr>
                      <w:rFonts w:hint="default"/>
                      <w:b/>
                      <w:bCs/>
                      <w:color w:val="auto"/>
                      <w:highlight w:val="none"/>
                      <w:lang w:val="en-US" w:eastAsia="zh-CN"/>
                    </w:rPr>
                    <w:t>环境危害后果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6" w:hRule="atLeast"/>
                <w:jc w:val="center"/>
              </w:trPr>
              <w:tc>
                <w:tcPr>
                  <w:tcW w:w="890" w:type="dxa"/>
                  <w:vAlign w:val="center"/>
                </w:tcPr>
                <w:p>
                  <w:pPr>
                    <w:pStyle w:val="28"/>
                    <w:bidi w:val="0"/>
                    <w:rPr>
                      <w:rFonts w:hint="default"/>
                      <w:color w:val="auto"/>
                      <w:highlight w:val="none"/>
                      <w:lang w:val="en-US" w:eastAsia="zh-CN"/>
                    </w:rPr>
                  </w:pPr>
                  <w:r>
                    <w:rPr>
                      <w:rFonts w:hint="eastAsia"/>
                      <w:color w:val="auto"/>
                      <w:highlight w:val="none"/>
                      <w:lang w:val="en-US" w:eastAsia="zh-CN"/>
                    </w:rPr>
                    <w:t>废气事故排放</w:t>
                  </w:r>
                </w:p>
              </w:tc>
              <w:tc>
                <w:tcPr>
                  <w:tcW w:w="1872" w:type="dxa"/>
                  <w:vAlign w:val="center"/>
                </w:tcPr>
                <w:p>
                  <w:pPr>
                    <w:pStyle w:val="28"/>
                    <w:bidi w:val="0"/>
                    <w:rPr>
                      <w:rFonts w:hint="eastAsia"/>
                      <w:color w:val="auto"/>
                      <w:highlight w:val="none"/>
                      <w:lang w:val="en-US" w:eastAsia="zh-CN"/>
                    </w:rPr>
                  </w:pPr>
                  <w:r>
                    <w:rPr>
                      <w:rFonts w:hint="eastAsia"/>
                      <w:color w:val="auto"/>
                      <w:highlight w:val="none"/>
                      <w:lang w:val="en-US" w:eastAsia="zh-CN"/>
                    </w:rPr>
                    <w:t>废气处理</w:t>
                  </w:r>
                </w:p>
                <w:p>
                  <w:pPr>
                    <w:pStyle w:val="28"/>
                    <w:bidi w:val="0"/>
                    <w:rPr>
                      <w:rFonts w:hint="default"/>
                      <w:color w:val="auto"/>
                      <w:highlight w:val="none"/>
                      <w:lang w:val="en-US" w:eastAsia="zh-CN"/>
                    </w:rPr>
                  </w:pPr>
                  <w:r>
                    <w:rPr>
                      <w:rFonts w:hint="eastAsia"/>
                      <w:color w:val="auto"/>
                      <w:highlight w:val="none"/>
                      <w:lang w:val="en-US" w:eastAsia="zh-CN"/>
                    </w:rPr>
                    <w:t>设施故障</w:t>
                  </w:r>
                </w:p>
              </w:tc>
              <w:tc>
                <w:tcPr>
                  <w:tcW w:w="1105" w:type="dxa"/>
                  <w:vAlign w:val="center"/>
                </w:tcPr>
                <w:p>
                  <w:pPr>
                    <w:pStyle w:val="28"/>
                    <w:bidi w:val="0"/>
                    <w:rPr>
                      <w:rFonts w:hint="default"/>
                      <w:color w:val="auto"/>
                      <w:highlight w:val="none"/>
                      <w:lang w:val="en-US" w:eastAsia="zh-CN"/>
                    </w:rPr>
                  </w:pPr>
                  <w:r>
                    <w:rPr>
                      <w:rFonts w:hint="eastAsia"/>
                      <w:color w:val="auto"/>
                      <w:highlight w:val="none"/>
                      <w:lang w:val="en-US" w:eastAsia="zh-CN"/>
                    </w:rPr>
                    <w:t>粉料仓</w:t>
                  </w:r>
                </w:p>
              </w:tc>
              <w:tc>
                <w:tcPr>
                  <w:tcW w:w="1024" w:type="dxa"/>
                  <w:vAlign w:val="center"/>
                </w:tcPr>
                <w:p>
                  <w:pPr>
                    <w:pStyle w:val="28"/>
                    <w:bidi w:val="0"/>
                    <w:rPr>
                      <w:rFonts w:hint="default"/>
                      <w:color w:val="auto"/>
                      <w:highlight w:val="none"/>
                      <w:lang w:val="en-US" w:eastAsia="zh-CN"/>
                    </w:rPr>
                  </w:pPr>
                  <w:r>
                    <w:rPr>
                      <w:rFonts w:hint="eastAsia"/>
                      <w:color w:val="auto"/>
                      <w:highlight w:val="none"/>
                      <w:lang w:val="en-US" w:eastAsia="zh-CN"/>
                    </w:rPr>
                    <w:t>未经处理废气</w:t>
                  </w:r>
                </w:p>
              </w:tc>
              <w:tc>
                <w:tcPr>
                  <w:tcW w:w="1812" w:type="dxa"/>
                  <w:vAlign w:val="center"/>
                </w:tcPr>
                <w:p>
                  <w:pPr>
                    <w:pStyle w:val="28"/>
                    <w:bidi w:val="0"/>
                    <w:rPr>
                      <w:rFonts w:hint="default"/>
                      <w:color w:val="auto"/>
                      <w:highlight w:val="none"/>
                      <w:lang w:val="en-US" w:eastAsia="zh-CN"/>
                    </w:rPr>
                  </w:pPr>
                  <w:r>
                    <w:rPr>
                      <w:rFonts w:hint="eastAsia"/>
                      <w:color w:val="auto"/>
                      <w:highlight w:val="none"/>
                      <w:lang w:val="en-US" w:eastAsia="zh-CN"/>
                    </w:rPr>
                    <w:t>粉尘未经处理</w:t>
                  </w:r>
                  <w:r>
                    <w:rPr>
                      <w:rFonts w:hint="default"/>
                      <w:color w:val="auto"/>
                      <w:highlight w:val="none"/>
                    </w:rPr>
                    <w:t>全部</w:t>
                  </w:r>
                  <w:r>
                    <w:rPr>
                      <w:rFonts w:hint="eastAsia"/>
                      <w:color w:val="auto"/>
                      <w:highlight w:val="none"/>
                      <w:lang w:val="en-US" w:eastAsia="zh-CN"/>
                    </w:rPr>
                    <w:t>直接</w:t>
                  </w:r>
                  <w:r>
                    <w:rPr>
                      <w:rFonts w:hint="default"/>
                      <w:color w:val="auto"/>
                      <w:highlight w:val="none"/>
                    </w:rPr>
                    <w:t>排放扩散</w:t>
                  </w:r>
                </w:p>
              </w:tc>
              <w:tc>
                <w:tcPr>
                  <w:tcW w:w="1624" w:type="dxa"/>
                  <w:vAlign w:val="center"/>
                </w:tcPr>
                <w:p>
                  <w:pPr>
                    <w:pStyle w:val="28"/>
                    <w:bidi w:val="0"/>
                    <w:rPr>
                      <w:rFonts w:hint="default"/>
                      <w:color w:val="auto"/>
                      <w:highlight w:val="none"/>
                      <w:lang w:val="en-US" w:eastAsia="zh-CN"/>
                    </w:rPr>
                  </w:pPr>
                  <w:r>
                    <w:rPr>
                      <w:rFonts w:hint="default"/>
                      <w:color w:val="auto"/>
                      <w:highlight w:val="none"/>
                    </w:rPr>
                    <w:t>对大气环境有</w:t>
                  </w:r>
                  <w:r>
                    <w:rPr>
                      <w:rFonts w:hint="eastAsia"/>
                      <w:color w:val="auto"/>
                      <w:highlight w:val="none"/>
                      <w:lang w:val="en-US" w:eastAsia="zh-CN"/>
                    </w:rPr>
                    <w:t>轻微的</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6" w:hRule="atLeast"/>
                <w:jc w:val="center"/>
              </w:trPr>
              <w:tc>
                <w:tcPr>
                  <w:tcW w:w="890"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废水事故排放</w:t>
                  </w:r>
                </w:p>
              </w:tc>
              <w:tc>
                <w:tcPr>
                  <w:tcW w:w="1872"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废水处理设施故障、管道破裂、人为操作失误</w:t>
                  </w:r>
                </w:p>
              </w:tc>
              <w:tc>
                <w:tcPr>
                  <w:tcW w:w="1105"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生产废水处理系统</w:t>
                  </w:r>
                </w:p>
              </w:tc>
              <w:tc>
                <w:tcPr>
                  <w:tcW w:w="1024"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未经处理的生产废水</w:t>
                  </w:r>
                </w:p>
              </w:tc>
              <w:tc>
                <w:tcPr>
                  <w:tcW w:w="1812"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eastAsia"/>
                      <w:color w:val="auto"/>
                      <w:highlight w:val="none"/>
                      <w:lang w:val="en-US" w:eastAsia="zh-CN"/>
                    </w:rPr>
                  </w:pPr>
                  <w:r>
                    <w:rPr>
                      <w:rFonts w:hint="eastAsia" w:ascii="Times New Roman" w:hAnsi="Times New Roman" w:eastAsia="宋体" w:cs="Times New Roman"/>
                      <w:color w:val="auto"/>
                      <w:sz w:val="21"/>
                      <w:szCs w:val="21"/>
                      <w:highlight w:val="none"/>
                      <w:u w:val="none"/>
                      <w:lang w:val="en-US" w:eastAsia="zh-CN"/>
                    </w:rPr>
                    <w:t>生产废水未经处理泄漏至周边地表水体</w:t>
                  </w:r>
                </w:p>
              </w:tc>
              <w:tc>
                <w:tcPr>
                  <w:tcW w:w="1624" w:type="dxa"/>
                  <w:vAlign w:val="center"/>
                </w:tcPr>
                <w:p>
                  <w:pPr>
                    <w:pStyle w:val="46"/>
                    <w:keepNext w:val="0"/>
                    <w:keepLines w:val="0"/>
                    <w:pageBreakBefore w:val="0"/>
                    <w:widowControl w:val="0"/>
                    <w:kinsoku/>
                    <w:wordWrap/>
                    <w:overflowPunct/>
                    <w:topLinePunct w:val="0"/>
                    <w:autoSpaceDE w:val="0"/>
                    <w:autoSpaceDN w:val="0"/>
                    <w:bidi w:val="0"/>
                    <w:adjustRightInd w:val="0"/>
                    <w:snapToGrid w:val="0"/>
                    <w:spacing w:before="0" w:beforeLines="0" w:beforeAutospacing="0" w:after="0" w:afterLines="0" w:afterAutospacing="0" w:line="340" w:lineRule="exact"/>
                    <w:ind w:left="0" w:leftChars="0" w:firstLine="0" w:firstLineChars="0"/>
                    <w:jc w:val="center"/>
                    <w:textAlignment w:val="auto"/>
                    <w:rPr>
                      <w:rFonts w:hint="default"/>
                      <w:color w:val="auto"/>
                      <w:highlight w:val="none"/>
                    </w:rPr>
                  </w:pPr>
                  <w:r>
                    <w:rPr>
                      <w:rFonts w:hint="default" w:ascii="Times New Roman" w:hAnsi="Times New Roman" w:eastAsia="宋体" w:cs="Times New Roman"/>
                      <w:color w:val="auto"/>
                      <w:sz w:val="21"/>
                      <w:szCs w:val="21"/>
                      <w:highlight w:val="none"/>
                      <w:u w:val="none"/>
                    </w:rPr>
                    <w:t>对周边地表水体有</w:t>
                  </w:r>
                  <w:r>
                    <w:rPr>
                      <w:rFonts w:hint="eastAsia" w:ascii="Times New Roman" w:eastAsia="宋体" w:cs="Times New Roman"/>
                      <w:color w:val="auto"/>
                      <w:sz w:val="21"/>
                      <w:szCs w:val="21"/>
                      <w:highlight w:val="none"/>
                      <w:u w:val="none"/>
                      <w:lang w:val="en-US" w:eastAsia="zh-CN"/>
                    </w:rPr>
                    <w:t>一定</w:t>
                  </w:r>
                  <w:r>
                    <w:rPr>
                      <w:rFonts w:hint="default" w:ascii="Times New Roman" w:hAnsi="Times New Roman" w:eastAsia="宋体" w:cs="Times New Roman"/>
                      <w:color w:val="auto"/>
                      <w:sz w:val="21"/>
                      <w:szCs w:val="21"/>
                      <w:highlight w:val="none"/>
                      <w:u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606" w:hRule="atLeast"/>
                <w:jc w:val="center"/>
              </w:trPr>
              <w:tc>
                <w:tcPr>
                  <w:tcW w:w="890" w:type="dxa"/>
                  <w:vAlign w:val="center"/>
                </w:tcPr>
                <w:p>
                  <w:pPr>
                    <w:pStyle w:val="28"/>
                    <w:bidi w:val="0"/>
                    <w:rPr>
                      <w:rFonts w:hint="default"/>
                      <w:color w:val="auto"/>
                      <w:highlight w:val="none"/>
                    </w:rPr>
                  </w:pPr>
                  <w:r>
                    <w:rPr>
                      <w:rFonts w:hint="eastAsia"/>
                      <w:color w:val="auto"/>
                      <w:highlight w:val="none"/>
                      <w:lang w:val="en-US" w:eastAsia="zh-CN"/>
                    </w:rPr>
                    <w:t>危险废物等</w:t>
                  </w:r>
                  <w:r>
                    <w:rPr>
                      <w:rFonts w:hint="default"/>
                      <w:color w:val="auto"/>
                      <w:highlight w:val="none"/>
                    </w:rPr>
                    <w:t>泄漏</w:t>
                  </w:r>
                </w:p>
              </w:tc>
              <w:tc>
                <w:tcPr>
                  <w:tcW w:w="1872" w:type="dxa"/>
                  <w:vAlign w:val="center"/>
                </w:tcPr>
                <w:p>
                  <w:pPr>
                    <w:pStyle w:val="28"/>
                    <w:bidi w:val="0"/>
                    <w:rPr>
                      <w:rFonts w:hint="default"/>
                      <w:color w:val="auto"/>
                      <w:highlight w:val="none"/>
                    </w:rPr>
                  </w:pPr>
                  <w:r>
                    <w:rPr>
                      <w:rFonts w:hint="eastAsia"/>
                      <w:color w:val="auto"/>
                      <w:highlight w:val="none"/>
                      <w:lang w:val="en-US" w:eastAsia="zh-CN"/>
                    </w:rPr>
                    <w:t>容器</w:t>
                  </w:r>
                  <w:r>
                    <w:rPr>
                      <w:rFonts w:hint="default"/>
                      <w:color w:val="auto"/>
                      <w:highlight w:val="none"/>
                    </w:rPr>
                    <w:t>桶泄漏</w:t>
                  </w:r>
                  <w:r>
                    <w:rPr>
                      <w:rFonts w:hint="eastAsia"/>
                      <w:color w:val="auto"/>
                      <w:highlight w:val="none"/>
                      <w:lang w:eastAsia="zh-CN"/>
                    </w:rPr>
                    <w:t>、</w:t>
                  </w:r>
                  <w:r>
                    <w:rPr>
                      <w:rFonts w:hint="eastAsia"/>
                      <w:color w:val="auto"/>
                      <w:highlight w:val="none"/>
                      <w:lang w:val="en-US" w:eastAsia="zh-CN"/>
                    </w:rPr>
                    <w:t>人为操作不当、</w:t>
                  </w:r>
                  <w:r>
                    <w:rPr>
                      <w:rFonts w:hint="default"/>
                      <w:color w:val="auto"/>
                      <w:highlight w:val="none"/>
                    </w:rPr>
                    <w:t>运输车辆发生事故发生泄漏</w:t>
                  </w:r>
                </w:p>
              </w:tc>
              <w:tc>
                <w:tcPr>
                  <w:tcW w:w="1105" w:type="dxa"/>
                  <w:vAlign w:val="center"/>
                </w:tcPr>
                <w:p>
                  <w:pPr>
                    <w:pStyle w:val="28"/>
                    <w:bidi w:val="0"/>
                    <w:rPr>
                      <w:rFonts w:hint="default"/>
                      <w:color w:val="auto"/>
                      <w:highlight w:val="none"/>
                      <w:lang w:val="en-US" w:eastAsia="zh-CN"/>
                    </w:rPr>
                  </w:pPr>
                  <w:r>
                    <w:rPr>
                      <w:rFonts w:hint="eastAsia"/>
                      <w:color w:val="auto"/>
                      <w:highlight w:val="none"/>
                      <w:lang w:val="en-US" w:eastAsia="zh-CN"/>
                    </w:rPr>
                    <w:t>危险废物贮存库</w:t>
                  </w:r>
                </w:p>
              </w:tc>
              <w:tc>
                <w:tcPr>
                  <w:tcW w:w="1024" w:type="dxa"/>
                  <w:vAlign w:val="center"/>
                </w:tcPr>
                <w:p>
                  <w:pPr>
                    <w:pStyle w:val="28"/>
                    <w:bidi w:val="0"/>
                    <w:rPr>
                      <w:rFonts w:hint="default"/>
                      <w:color w:val="auto"/>
                      <w:highlight w:val="none"/>
                      <w:lang w:val="en-US" w:eastAsia="zh-CN"/>
                    </w:rPr>
                  </w:pPr>
                  <w:r>
                    <w:rPr>
                      <w:rFonts w:hint="eastAsia"/>
                      <w:color w:val="auto"/>
                      <w:highlight w:val="none"/>
                      <w:lang w:val="en-US" w:eastAsia="zh-CN"/>
                    </w:rPr>
                    <w:t>危险废物（废机油、废吸油毡等）</w:t>
                  </w:r>
                </w:p>
              </w:tc>
              <w:tc>
                <w:tcPr>
                  <w:tcW w:w="1812" w:type="dxa"/>
                  <w:vAlign w:val="center"/>
                </w:tcPr>
                <w:p>
                  <w:pPr>
                    <w:pStyle w:val="28"/>
                    <w:bidi w:val="0"/>
                    <w:rPr>
                      <w:rFonts w:hint="default"/>
                      <w:color w:val="auto"/>
                      <w:highlight w:val="none"/>
                    </w:rPr>
                  </w:pPr>
                  <w:r>
                    <w:rPr>
                      <w:rFonts w:hint="default"/>
                      <w:color w:val="auto"/>
                      <w:highlight w:val="none"/>
                    </w:rPr>
                    <w:t>渗入土壤</w:t>
                  </w:r>
                  <w:r>
                    <w:rPr>
                      <w:rFonts w:hint="eastAsia"/>
                      <w:color w:val="auto"/>
                      <w:highlight w:val="none"/>
                      <w:lang w:eastAsia="zh-CN"/>
                    </w:rPr>
                    <w:t>、</w:t>
                  </w:r>
                  <w:r>
                    <w:rPr>
                      <w:rFonts w:hint="eastAsia"/>
                      <w:color w:val="auto"/>
                      <w:highlight w:val="none"/>
                      <w:lang w:val="en-US" w:eastAsia="zh-CN"/>
                    </w:rPr>
                    <w:t>地下水</w:t>
                  </w:r>
                  <w:r>
                    <w:rPr>
                      <w:rFonts w:hint="default"/>
                      <w:color w:val="auto"/>
                      <w:highlight w:val="none"/>
                    </w:rPr>
                    <w:t>及排入周边水体</w:t>
                  </w:r>
                </w:p>
              </w:tc>
              <w:tc>
                <w:tcPr>
                  <w:tcW w:w="1624" w:type="dxa"/>
                  <w:vAlign w:val="center"/>
                </w:tcPr>
                <w:p>
                  <w:pPr>
                    <w:pStyle w:val="28"/>
                    <w:bidi w:val="0"/>
                    <w:rPr>
                      <w:rFonts w:hint="default"/>
                      <w:color w:val="auto"/>
                      <w:highlight w:val="none"/>
                    </w:rPr>
                  </w:pPr>
                  <w:r>
                    <w:rPr>
                      <w:rFonts w:hint="default"/>
                      <w:color w:val="auto"/>
                      <w:highlight w:val="none"/>
                    </w:rPr>
                    <w:t>对周边</w:t>
                  </w:r>
                  <w:r>
                    <w:rPr>
                      <w:rFonts w:hint="eastAsia"/>
                      <w:color w:val="auto"/>
                      <w:highlight w:val="none"/>
                      <w:lang w:val="en-US" w:eastAsia="zh-CN"/>
                    </w:rPr>
                    <w:t>土壤、</w:t>
                  </w:r>
                  <w:r>
                    <w:rPr>
                      <w:rFonts w:hint="default"/>
                      <w:color w:val="auto"/>
                      <w:highlight w:val="none"/>
                    </w:rPr>
                    <w:t>地下水及周边</w:t>
                  </w:r>
                  <w:r>
                    <w:rPr>
                      <w:rFonts w:hint="eastAsia"/>
                      <w:color w:val="auto"/>
                      <w:highlight w:val="none"/>
                      <w:lang w:val="en-US" w:eastAsia="zh-CN"/>
                    </w:rPr>
                    <w:t>地表水</w:t>
                  </w:r>
                  <w:r>
                    <w:rPr>
                      <w:rFonts w:hint="default"/>
                      <w:color w:val="auto"/>
                      <w:highlight w:val="none"/>
                    </w:rPr>
                    <w:t>可能造成</w:t>
                  </w:r>
                  <w:r>
                    <w:rPr>
                      <w:rFonts w:hint="eastAsia"/>
                      <w:color w:val="auto"/>
                      <w:highlight w:val="none"/>
                      <w:lang w:val="en-US" w:eastAsia="zh-CN"/>
                    </w:rPr>
                    <w:t>较大</w:t>
                  </w:r>
                  <w:r>
                    <w:rPr>
                      <w:rFonts w:hint="default"/>
                      <w:color w:val="auto"/>
                      <w:highlight w:val="none"/>
                    </w:rPr>
                    <w:t>影响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2421" w:hRule="atLeast"/>
                <w:jc w:val="center"/>
              </w:trPr>
              <w:tc>
                <w:tcPr>
                  <w:tcW w:w="890" w:type="dxa"/>
                  <w:vAlign w:val="center"/>
                </w:tcPr>
                <w:p>
                  <w:pPr>
                    <w:pStyle w:val="28"/>
                    <w:bidi w:val="0"/>
                    <w:rPr>
                      <w:rFonts w:hint="default"/>
                      <w:color w:val="auto"/>
                      <w:highlight w:val="none"/>
                      <w:lang w:val="en-US" w:eastAsia="zh-CN"/>
                    </w:rPr>
                  </w:pPr>
                  <w:r>
                    <w:rPr>
                      <w:rFonts w:hint="default"/>
                      <w:color w:val="auto"/>
                      <w:highlight w:val="none"/>
                    </w:rPr>
                    <w:t>火灾事故</w:t>
                  </w:r>
                </w:p>
              </w:tc>
              <w:tc>
                <w:tcPr>
                  <w:tcW w:w="1872" w:type="dxa"/>
                  <w:vAlign w:val="center"/>
                </w:tcPr>
                <w:p>
                  <w:pPr>
                    <w:pStyle w:val="28"/>
                    <w:bidi w:val="0"/>
                    <w:rPr>
                      <w:rFonts w:hint="default"/>
                      <w:color w:val="auto"/>
                      <w:highlight w:val="none"/>
                      <w:lang w:val="en-US" w:eastAsia="zh-CN"/>
                    </w:rPr>
                  </w:pPr>
                  <w:r>
                    <w:rPr>
                      <w:rFonts w:hint="default"/>
                      <w:color w:val="auto"/>
                      <w:highlight w:val="none"/>
                    </w:rPr>
                    <w:t>电线短路</w:t>
                  </w:r>
                  <w:r>
                    <w:rPr>
                      <w:rFonts w:hint="eastAsia"/>
                      <w:color w:val="auto"/>
                      <w:highlight w:val="none"/>
                      <w:lang w:eastAsia="zh-CN"/>
                    </w:rPr>
                    <w:t>、</w:t>
                  </w:r>
                  <w:r>
                    <w:rPr>
                      <w:rFonts w:hint="default"/>
                      <w:color w:val="auto"/>
                      <w:highlight w:val="none"/>
                    </w:rPr>
                    <w:t>静电火花等</w:t>
                  </w:r>
                  <w:r>
                    <w:rPr>
                      <w:rFonts w:hint="eastAsia"/>
                      <w:color w:val="auto"/>
                      <w:highlight w:val="none"/>
                      <w:lang w:eastAsia="zh-CN"/>
                    </w:rPr>
                    <w:t>，</w:t>
                  </w:r>
                  <w:r>
                    <w:rPr>
                      <w:rFonts w:hint="eastAsia"/>
                      <w:color w:val="auto"/>
                      <w:highlight w:val="none"/>
                      <w:lang w:val="en-US" w:eastAsia="zh-CN"/>
                    </w:rPr>
                    <w:t>废机油等泄漏</w:t>
                  </w:r>
                  <w:r>
                    <w:rPr>
                      <w:rFonts w:hint="default"/>
                      <w:color w:val="auto"/>
                      <w:highlight w:val="none"/>
                    </w:rPr>
                    <w:t>遇明火或高热发生火灾</w:t>
                  </w:r>
                </w:p>
              </w:tc>
              <w:tc>
                <w:tcPr>
                  <w:tcW w:w="1105" w:type="dxa"/>
                  <w:vAlign w:val="center"/>
                </w:tcPr>
                <w:p>
                  <w:pPr>
                    <w:pStyle w:val="28"/>
                    <w:bidi w:val="0"/>
                    <w:rPr>
                      <w:rFonts w:hint="default"/>
                      <w:color w:val="auto"/>
                      <w:highlight w:val="none"/>
                      <w:lang w:val="en-US" w:eastAsia="zh-CN"/>
                    </w:rPr>
                  </w:pPr>
                  <w:r>
                    <w:rPr>
                      <w:rFonts w:hint="eastAsia"/>
                      <w:color w:val="auto"/>
                      <w:highlight w:val="none"/>
                      <w:lang w:val="en-US" w:eastAsia="zh-CN"/>
                    </w:rPr>
                    <w:t>危险废物贮存库</w:t>
                  </w:r>
                </w:p>
              </w:tc>
              <w:tc>
                <w:tcPr>
                  <w:tcW w:w="1024" w:type="dxa"/>
                  <w:vAlign w:val="center"/>
                </w:tcPr>
                <w:p>
                  <w:pPr>
                    <w:pStyle w:val="28"/>
                    <w:bidi w:val="0"/>
                    <w:rPr>
                      <w:rFonts w:hint="default"/>
                      <w:color w:val="auto"/>
                      <w:highlight w:val="none"/>
                      <w:lang w:val="en-US" w:eastAsia="zh-CN"/>
                    </w:rPr>
                  </w:pPr>
                  <w:r>
                    <w:rPr>
                      <w:rFonts w:hint="eastAsia"/>
                      <w:color w:val="auto"/>
                      <w:highlight w:val="none"/>
                      <w:lang w:val="en-US" w:eastAsia="zh-CN"/>
                    </w:rPr>
                    <w:t>废机油</w:t>
                  </w:r>
                </w:p>
              </w:tc>
              <w:tc>
                <w:tcPr>
                  <w:tcW w:w="1812" w:type="dxa"/>
                  <w:vAlign w:val="center"/>
                </w:tcPr>
                <w:p>
                  <w:pPr>
                    <w:pStyle w:val="28"/>
                    <w:bidi w:val="0"/>
                    <w:rPr>
                      <w:rFonts w:hint="default"/>
                      <w:color w:val="auto"/>
                      <w:highlight w:val="none"/>
                      <w:lang w:val="en-US" w:eastAsia="zh-CN"/>
                    </w:rPr>
                  </w:pPr>
                  <w:r>
                    <w:rPr>
                      <w:rFonts w:hint="default"/>
                      <w:color w:val="auto"/>
                      <w:highlight w:val="none"/>
                    </w:rPr>
                    <w:t>火灾产生的热辐射、浓烟、有害气体等直接进入环境，火灾扑救</w:t>
                  </w:r>
                  <w:r>
                    <w:rPr>
                      <w:rFonts w:hint="eastAsia"/>
                      <w:color w:val="auto"/>
                      <w:highlight w:val="none"/>
                      <w:lang w:val="en-US" w:eastAsia="zh-CN"/>
                    </w:rPr>
                    <w:t>采用干粉或二氧化碳灭火器，不产生</w:t>
                  </w:r>
                  <w:r>
                    <w:rPr>
                      <w:rFonts w:hint="default"/>
                      <w:color w:val="auto"/>
                      <w:highlight w:val="none"/>
                    </w:rPr>
                    <w:t>消防废水</w:t>
                  </w:r>
                </w:p>
              </w:tc>
              <w:tc>
                <w:tcPr>
                  <w:tcW w:w="1624" w:type="dxa"/>
                  <w:vAlign w:val="center"/>
                </w:tcPr>
                <w:p>
                  <w:pPr>
                    <w:pStyle w:val="28"/>
                    <w:bidi w:val="0"/>
                    <w:rPr>
                      <w:rFonts w:hint="default"/>
                      <w:color w:val="auto"/>
                      <w:highlight w:val="none"/>
                      <w:lang w:val="en-US" w:eastAsia="zh-CN"/>
                    </w:rPr>
                  </w:pPr>
                  <w:r>
                    <w:rPr>
                      <w:rFonts w:hint="default"/>
                      <w:color w:val="auto"/>
                      <w:highlight w:val="none"/>
                    </w:rPr>
                    <w:t>对</w:t>
                  </w:r>
                  <w:r>
                    <w:rPr>
                      <w:rFonts w:hint="eastAsia"/>
                      <w:color w:val="auto"/>
                      <w:highlight w:val="none"/>
                      <w:lang w:val="en-US" w:eastAsia="zh-CN"/>
                    </w:rPr>
                    <w:t>周边环境空气等造成一定影响</w:t>
                  </w:r>
                </w:p>
              </w:tc>
            </w:tr>
          </w:tbl>
          <w:p>
            <w:pPr>
              <w:pStyle w:val="4"/>
              <w:bidi w:val="0"/>
              <w:rPr>
                <w:rFonts w:hint="eastAsia"/>
                <w:color w:val="auto"/>
                <w:highlight w:val="none"/>
                <w:lang w:val="en-US" w:eastAsia="zh-CN"/>
              </w:rPr>
            </w:pPr>
            <w:bookmarkStart w:id="42" w:name="_Toc215736207"/>
            <w:r>
              <w:rPr>
                <w:rFonts w:hint="eastAsia"/>
                <w:color w:val="auto"/>
                <w:highlight w:val="none"/>
              </w:rPr>
              <w:t>4.</w:t>
            </w:r>
            <w:r>
              <w:rPr>
                <w:rFonts w:hint="eastAsia"/>
                <w:color w:val="auto"/>
                <w:highlight w:val="none"/>
                <w:lang w:val="en-US" w:eastAsia="zh-CN"/>
              </w:rPr>
              <w:t>7</w:t>
            </w:r>
            <w:r>
              <w:rPr>
                <w:rFonts w:hint="eastAsia"/>
                <w:color w:val="auto"/>
                <w:highlight w:val="none"/>
              </w:rPr>
              <w:t>.</w:t>
            </w:r>
            <w:r>
              <w:rPr>
                <w:rFonts w:hint="eastAsia"/>
                <w:color w:val="auto"/>
                <w:highlight w:val="none"/>
                <w:lang w:val="en-US" w:eastAsia="zh-CN"/>
              </w:rPr>
              <w:t>3</w:t>
            </w:r>
            <w:r>
              <w:rPr>
                <w:rFonts w:hint="eastAsia"/>
                <w:color w:val="auto"/>
                <w:highlight w:val="none"/>
              </w:rPr>
              <w:t xml:space="preserve"> </w:t>
            </w:r>
            <w:r>
              <w:rPr>
                <w:rFonts w:hint="eastAsia"/>
                <w:color w:val="auto"/>
                <w:highlight w:val="none"/>
                <w:lang w:eastAsia="zh-CN"/>
              </w:rPr>
              <w:t>环境敏感目标概况</w:t>
            </w:r>
          </w:p>
          <w:p>
            <w:pPr>
              <w:spacing w:line="360" w:lineRule="auto"/>
              <w:ind w:firstLine="480" w:firstLineChars="200"/>
              <w:jc w:val="left"/>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zh-CN" w:eastAsia="zh-CN"/>
              </w:rPr>
              <w:t>项目周边主要环境敏感目标为西北侧约</w:t>
            </w:r>
            <w:r>
              <w:rPr>
                <w:rFonts w:hint="eastAsia" w:cs="Times New Roman"/>
                <w:color w:val="auto"/>
                <w:sz w:val="24"/>
                <w:highlight w:val="none"/>
                <w:lang w:val="en-US" w:eastAsia="zh-CN"/>
              </w:rPr>
              <w:t>260</w:t>
            </w:r>
            <w:r>
              <w:rPr>
                <w:rFonts w:hint="eastAsia" w:ascii="Times New Roman" w:hAnsi="Times New Roman" w:eastAsia="宋体" w:cs="Times New Roman"/>
                <w:color w:val="auto"/>
                <w:sz w:val="24"/>
                <w:highlight w:val="none"/>
                <w:lang w:val="en-US" w:eastAsia="zh-CN"/>
              </w:rPr>
              <w:t>m的</w:t>
            </w:r>
            <w:r>
              <w:rPr>
                <w:rFonts w:hint="eastAsia" w:cs="Times New Roman"/>
                <w:color w:val="auto"/>
                <w:sz w:val="24"/>
                <w:highlight w:val="none"/>
                <w:lang w:val="en-US" w:eastAsia="zh-CN"/>
              </w:rPr>
              <w:t>石溪村</w:t>
            </w:r>
            <w:r>
              <w:rPr>
                <w:rFonts w:hint="eastAsia" w:ascii="Times New Roman" w:hAnsi="Times New Roman" w:eastAsia="宋体" w:cs="Times New Roman"/>
                <w:color w:val="auto"/>
                <w:sz w:val="24"/>
                <w:highlight w:val="none"/>
                <w:lang w:val="zh-CN" w:eastAsia="zh-CN"/>
              </w:rPr>
              <w:t>，具体见表</w:t>
            </w:r>
            <w:r>
              <w:rPr>
                <w:rFonts w:hint="eastAsia" w:ascii="Times New Roman" w:hAnsi="Times New Roman" w:eastAsia="宋体" w:cs="Times New Roman"/>
                <w:color w:val="auto"/>
                <w:sz w:val="24"/>
                <w:highlight w:val="none"/>
                <w:lang w:val="en-US" w:eastAsia="zh-CN"/>
              </w:rPr>
              <w:t>3.6-1。</w:t>
            </w:r>
          </w:p>
          <w:p>
            <w:pPr>
              <w:pStyle w:val="4"/>
              <w:bidi w:val="0"/>
              <w:rPr>
                <w:rFonts w:hint="default"/>
                <w:color w:val="auto"/>
                <w:highlight w:val="none"/>
                <w:lang w:val="en-US" w:eastAsia="zh-CN"/>
              </w:rPr>
            </w:pPr>
            <w:r>
              <w:rPr>
                <w:rFonts w:hint="eastAsia"/>
                <w:color w:val="auto"/>
                <w:highlight w:val="none"/>
              </w:rPr>
              <w:t>4.</w:t>
            </w:r>
            <w:r>
              <w:rPr>
                <w:rFonts w:hint="eastAsia"/>
                <w:color w:val="auto"/>
                <w:highlight w:val="none"/>
                <w:lang w:val="en-US" w:eastAsia="zh-CN"/>
              </w:rPr>
              <w:t>7.4</w:t>
            </w:r>
            <w:r>
              <w:rPr>
                <w:rFonts w:hint="eastAsia"/>
                <w:color w:val="auto"/>
                <w:highlight w:val="none"/>
              </w:rPr>
              <w:t xml:space="preserve"> </w:t>
            </w:r>
            <w:r>
              <w:rPr>
                <w:color w:val="auto"/>
                <w:highlight w:val="none"/>
              </w:rPr>
              <w:t>环境风险</w:t>
            </w:r>
            <w:r>
              <w:rPr>
                <w:rFonts w:hint="eastAsia"/>
                <w:color w:val="auto"/>
                <w:highlight w:val="none"/>
                <w:lang w:val="en-US" w:eastAsia="zh-CN"/>
              </w:rPr>
              <w:t>影响分析</w:t>
            </w:r>
          </w:p>
          <w:p>
            <w:pPr>
              <w:spacing w:line="360" w:lineRule="auto"/>
              <w:ind w:firstLine="482" w:firstLineChars="200"/>
              <w:jc w:val="left"/>
              <w:rPr>
                <w:rFonts w:ascii="Times New Roman" w:hAnsi="Times New Roman" w:eastAsia="宋体" w:cs="Times New Roman"/>
                <w:b/>
                <w:bCs/>
                <w:color w:val="auto"/>
                <w:sz w:val="24"/>
                <w:szCs w:val="24"/>
                <w:highlight w:val="none"/>
                <w:lang w:val="zh-CN"/>
              </w:rPr>
            </w:pPr>
            <w:r>
              <w:rPr>
                <w:rFonts w:hint="eastAsia" w:ascii="Times New Roman" w:hAnsi="Times New Roman" w:eastAsia="宋体" w:cs="Times New Roman"/>
                <w:b/>
                <w:bCs/>
                <w:color w:val="auto"/>
                <w:sz w:val="24"/>
                <w:szCs w:val="24"/>
                <w:highlight w:val="none"/>
                <w:lang w:val="zh-CN"/>
              </w:rPr>
              <w:t>（</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zh-CN"/>
              </w:rPr>
              <w:t>）危险废物泄漏</w:t>
            </w:r>
            <w:r>
              <w:rPr>
                <w:rFonts w:ascii="Times New Roman" w:hAnsi="Times New Roman" w:eastAsia="宋体" w:cs="Times New Roman"/>
                <w:b/>
                <w:bCs/>
                <w:color w:val="auto"/>
                <w:sz w:val="24"/>
                <w:szCs w:val="24"/>
                <w:highlight w:val="none"/>
                <w:lang w:val="zh-CN"/>
              </w:rPr>
              <w:t>风险影响分析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zh-CN" w:eastAsia="zh-CN"/>
              </w:rPr>
              <w:t>本项目危险废物，特别是液态危险废物（废机油），在贮运过程中，可能因为储存容器破损、人为操作不当等原因泄漏；在运输过程中因交通事故等原因造成泄漏。</w:t>
            </w:r>
          </w:p>
          <w:p>
            <w:pPr>
              <w:spacing w:line="360" w:lineRule="auto"/>
              <w:ind w:firstLine="480" w:firstLineChars="200"/>
              <w:jc w:val="left"/>
              <w:rPr>
                <w:rFonts w:ascii="Times New Roman" w:hAnsi="Times New Roman" w:eastAsia="宋体" w:cs="Times New Roman"/>
                <w:color w:val="auto"/>
                <w:sz w:val="24"/>
                <w:szCs w:val="24"/>
                <w:highlight w:val="none"/>
                <w:lang w:val="zh-CN"/>
              </w:rPr>
            </w:pPr>
            <w:r>
              <w:rPr>
                <w:rFonts w:ascii="Times New Roman" w:hAnsi="Times New Roman" w:eastAsia="宋体" w:cs="Times New Roman"/>
                <w:color w:val="auto"/>
                <w:sz w:val="24"/>
                <w:szCs w:val="24"/>
                <w:highlight w:val="none"/>
                <w:lang w:val="zh-CN"/>
              </w:rPr>
              <w:t>本项目</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hint="eastAsia" w:ascii="Times New Roman" w:hAnsi="Times New Roman" w:eastAsia="宋体" w:cs="Times New Roman"/>
                <w:color w:val="auto"/>
                <w:sz w:val="24"/>
                <w:szCs w:val="24"/>
                <w:highlight w:val="none"/>
                <w:lang w:val="zh-CN"/>
              </w:rPr>
              <w:t>严格按照《危险废物贮存污染控制标准》（GB18597-2023），对地面、裙角等进行防渗处理，危险废物采用密闭容器装存，并及时委托资质单位清运处置，故在</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危险废物贮存</w:t>
            </w:r>
            <w:r>
              <w:rPr>
                <w:rFonts w:hint="eastAsia" w:cs="Times New Roman"/>
                <w:color w:val="auto"/>
                <w:sz w:val="24"/>
                <w:szCs w:val="24"/>
                <w:highlight w:val="none"/>
                <w:lang w:val="zh-CN"/>
              </w:rPr>
              <w:t>库</w:t>
            </w:r>
            <w:r>
              <w:rPr>
                <w:rFonts w:ascii="Times New Roman" w:hAnsi="Times New Roman" w:eastAsia="宋体" w:cs="Times New Roman"/>
                <w:color w:val="auto"/>
                <w:sz w:val="24"/>
                <w:szCs w:val="24"/>
                <w:highlight w:val="none"/>
                <w:lang w:val="zh-CN"/>
              </w:rPr>
              <w:t>管理和泄漏事故防范，可以</w:t>
            </w:r>
            <w:r>
              <w:rPr>
                <w:rFonts w:hint="eastAsia" w:ascii="Times New Roman" w:hAnsi="Times New Roman" w:eastAsia="宋体" w:cs="Times New Roman"/>
                <w:color w:val="auto"/>
                <w:sz w:val="24"/>
                <w:szCs w:val="24"/>
                <w:highlight w:val="none"/>
                <w:lang w:val="zh-CN"/>
              </w:rPr>
              <w:t>减少</w:t>
            </w:r>
            <w:r>
              <w:rPr>
                <w:rFonts w:ascii="Times New Roman" w:hAnsi="Times New Roman" w:eastAsia="宋体" w:cs="Times New Roman"/>
                <w:color w:val="auto"/>
                <w:sz w:val="24"/>
                <w:szCs w:val="24"/>
                <w:highlight w:val="none"/>
                <w:lang w:val="zh-CN"/>
              </w:rPr>
              <w:t>泄漏事故的发生</w:t>
            </w:r>
            <w:r>
              <w:rPr>
                <w:rFonts w:hint="eastAsia" w:ascii="Times New Roman" w:hAnsi="Times New Roman" w:eastAsia="宋体" w:cs="Times New Roman"/>
                <w:color w:val="auto"/>
                <w:sz w:val="24"/>
                <w:szCs w:val="24"/>
                <w:highlight w:val="none"/>
                <w:lang w:val="zh-CN"/>
              </w:rPr>
              <w:t>，即使发生泄漏事故，通过地面防渗层和液态容器底部防渗托盘拦截，泄漏危险废物不会外溢至室外，不会直接进入地表水水体或渗漏进入土壤和地下水环境，对周边环境影响小。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outlineLvl w:val="2"/>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w:t>
            </w:r>
            <w:r>
              <w:rPr>
                <w:rFonts w:hint="eastAsia" w:cs="Times New Roman"/>
                <w:b/>
                <w:bCs/>
                <w:color w:val="auto"/>
                <w:sz w:val="24"/>
                <w:szCs w:val="24"/>
                <w:highlight w:val="none"/>
                <w:lang w:val="en-US" w:eastAsia="zh-CN"/>
              </w:rPr>
              <w:t>2</w:t>
            </w:r>
            <w:r>
              <w:rPr>
                <w:rFonts w:hint="eastAsia" w:ascii="Times New Roman" w:hAnsi="Times New Roman" w:eastAsia="宋体" w:cs="Times New Roman"/>
                <w:b/>
                <w:bCs/>
                <w:color w:val="auto"/>
                <w:sz w:val="24"/>
                <w:szCs w:val="24"/>
                <w:highlight w:val="none"/>
                <w:lang w:val="en-US" w:eastAsia="zh-CN"/>
              </w:rPr>
              <w:t>）</w:t>
            </w:r>
            <w:r>
              <w:rPr>
                <w:rFonts w:hint="eastAsia" w:ascii="Times New Roman" w:hAnsi="Times New Roman" w:eastAsia="宋体" w:cs="Times New Roman"/>
                <w:b/>
                <w:bCs/>
                <w:color w:val="auto"/>
                <w:sz w:val="24"/>
                <w:szCs w:val="24"/>
                <w:highlight w:val="none"/>
                <w:lang w:val="zh-CN"/>
              </w:rPr>
              <w:t>废气事故排放风险影响分析</w:t>
            </w:r>
          </w:p>
          <w:p>
            <w:pPr>
              <w:spacing w:line="360" w:lineRule="auto"/>
              <w:ind w:firstLine="480" w:firstLineChars="200"/>
              <w:jc w:val="left"/>
              <w:rPr>
                <w:rFonts w:hint="eastAsia" w:ascii="Times New Roman" w:hAnsi="Times New Roman" w:eastAsia="宋体" w:cs="Times New Roman"/>
                <w:color w:val="auto"/>
                <w:sz w:val="24"/>
                <w:szCs w:val="24"/>
                <w:highlight w:val="none"/>
                <w:lang w:val="zh-CN"/>
              </w:rPr>
            </w:pPr>
            <w:r>
              <w:rPr>
                <w:rFonts w:hint="eastAsia" w:ascii="Times New Roman" w:hAnsi="Times New Roman" w:eastAsia="宋体" w:cs="Times New Roman"/>
                <w:color w:val="auto"/>
                <w:sz w:val="24"/>
                <w:szCs w:val="24"/>
                <w:highlight w:val="none"/>
                <w:lang w:val="en-US" w:eastAsia="zh-CN"/>
              </w:rPr>
              <w:t>项目生产废气配套治理措施处理后达标排放；在废气装置</w:t>
            </w:r>
            <w:r>
              <w:rPr>
                <w:rFonts w:hint="eastAsia" w:ascii="Times New Roman" w:hAnsi="Times New Roman" w:eastAsia="宋体" w:cs="Times New Roman"/>
                <w:color w:val="auto"/>
                <w:sz w:val="24"/>
                <w:szCs w:val="24"/>
                <w:highlight w:val="none"/>
                <w:lang w:val="zh-CN"/>
              </w:rPr>
              <w:t>故障</w:t>
            </w:r>
            <w:r>
              <w:rPr>
                <w:rFonts w:hint="eastAsia" w:ascii="Times New Roman" w:hAnsi="Times New Roman" w:eastAsia="宋体" w:cs="Times New Roman"/>
                <w:color w:val="auto"/>
                <w:sz w:val="24"/>
                <w:szCs w:val="24"/>
                <w:highlight w:val="none"/>
                <w:lang w:val="en-US" w:eastAsia="zh-CN"/>
              </w:rPr>
              <w:t>等事故情况下，废气中各污染物未经处理排放，排放源强将增大。</w:t>
            </w:r>
            <w:r>
              <w:rPr>
                <w:rFonts w:hint="eastAsia" w:ascii="Times New Roman" w:hAnsi="Times New Roman" w:eastAsia="宋体" w:cs="Times New Roman"/>
                <w:color w:val="auto"/>
                <w:sz w:val="24"/>
                <w:szCs w:val="24"/>
                <w:highlight w:val="none"/>
                <w:lang w:val="zh-CN"/>
              </w:rPr>
              <w:t>项目</w:t>
            </w:r>
            <w:r>
              <w:rPr>
                <w:rFonts w:ascii="Times New Roman" w:hAnsi="Times New Roman" w:eastAsia="宋体" w:cs="Times New Roman"/>
                <w:color w:val="auto"/>
                <w:sz w:val="24"/>
                <w:szCs w:val="24"/>
                <w:highlight w:val="none"/>
                <w:lang w:val="zh-CN"/>
              </w:rPr>
              <w:t>加强</w:t>
            </w:r>
            <w:r>
              <w:rPr>
                <w:rFonts w:hint="eastAsia" w:ascii="Times New Roman" w:hAnsi="Times New Roman" w:eastAsia="宋体" w:cs="Times New Roman"/>
                <w:color w:val="auto"/>
                <w:sz w:val="24"/>
                <w:szCs w:val="24"/>
                <w:highlight w:val="none"/>
                <w:lang w:val="zh-CN"/>
              </w:rPr>
              <w:t>废气收集治理措施的日常维护，定期更换</w:t>
            </w:r>
            <w:r>
              <w:rPr>
                <w:rFonts w:hint="eastAsia" w:cs="Times New Roman"/>
                <w:color w:val="auto"/>
                <w:sz w:val="24"/>
                <w:szCs w:val="24"/>
                <w:highlight w:val="none"/>
                <w:lang w:val="zh-CN"/>
              </w:rPr>
              <w:t>过滤材料</w:t>
            </w:r>
            <w:r>
              <w:rPr>
                <w:rFonts w:hint="eastAsia" w:ascii="Times New Roman" w:hAnsi="Times New Roman" w:eastAsia="宋体" w:cs="Times New Roman"/>
                <w:color w:val="auto"/>
                <w:sz w:val="24"/>
                <w:szCs w:val="24"/>
                <w:highlight w:val="none"/>
                <w:lang w:val="zh-CN"/>
              </w:rPr>
              <w:t>，在废气装置故障等</w:t>
            </w:r>
            <w:r>
              <w:rPr>
                <w:rFonts w:hint="eastAsia" w:cs="Times New Roman"/>
                <w:color w:val="auto"/>
                <w:sz w:val="24"/>
                <w:szCs w:val="24"/>
                <w:highlight w:val="none"/>
                <w:lang w:val="zh-CN"/>
              </w:rPr>
              <w:t>事故</w:t>
            </w:r>
            <w:r>
              <w:rPr>
                <w:rFonts w:hint="eastAsia" w:ascii="Times New Roman" w:hAnsi="Times New Roman" w:eastAsia="宋体" w:cs="Times New Roman"/>
                <w:color w:val="auto"/>
                <w:sz w:val="24"/>
                <w:szCs w:val="24"/>
                <w:highlight w:val="none"/>
                <w:lang w:val="zh-CN"/>
              </w:rPr>
              <w:t>情况下立即停止相关生产工段作业，待装置完成维修后</w:t>
            </w:r>
            <w:r>
              <w:rPr>
                <w:rFonts w:hint="eastAsia" w:cs="Times New Roman"/>
                <w:color w:val="auto"/>
                <w:sz w:val="24"/>
                <w:szCs w:val="24"/>
                <w:highlight w:val="none"/>
                <w:lang w:val="zh-CN"/>
              </w:rPr>
              <w:t>再</w:t>
            </w:r>
            <w:r>
              <w:rPr>
                <w:rFonts w:hint="eastAsia" w:ascii="Times New Roman" w:hAnsi="Times New Roman" w:eastAsia="宋体" w:cs="Times New Roman"/>
                <w:color w:val="auto"/>
                <w:sz w:val="24"/>
                <w:szCs w:val="24"/>
                <w:highlight w:val="none"/>
                <w:lang w:val="zh-CN"/>
              </w:rPr>
              <w:t>启动，可减少废气事故排放影响，对周边环境影响较小。</w:t>
            </w:r>
          </w:p>
          <w:p>
            <w:pPr>
              <w:spacing w:line="360" w:lineRule="auto"/>
              <w:ind w:firstLine="482" w:firstLineChars="200"/>
              <w:jc w:val="left"/>
              <w:rPr>
                <w:rFonts w:hint="eastAsia" w:ascii="Times New Roman" w:hAnsi="Times New Roman" w:eastAsia="宋体" w:cs="Times New Roman"/>
                <w:b/>
                <w:bCs/>
                <w:color w:val="auto"/>
                <w:sz w:val="24"/>
                <w:highlight w:val="none"/>
                <w:lang w:val="zh-CN"/>
              </w:rPr>
            </w:pPr>
            <w:r>
              <w:rPr>
                <w:rFonts w:hint="eastAsia" w:ascii="Times New Roman" w:hAnsi="Times New Roman" w:eastAsia="宋体" w:cs="Times New Roman"/>
                <w:b/>
                <w:bCs/>
                <w:color w:val="auto"/>
                <w:sz w:val="24"/>
                <w:highlight w:val="none"/>
                <w:lang w:val="zh-CN"/>
              </w:rPr>
              <w:t>（</w:t>
            </w:r>
            <w:r>
              <w:rPr>
                <w:rFonts w:hint="eastAsia" w:ascii="Times New Roman" w:hAnsi="Times New Roman" w:eastAsia="宋体" w:cs="Times New Roman"/>
                <w:b/>
                <w:bCs/>
                <w:color w:val="auto"/>
                <w:sz w:val="24"/>
                <w:highlight w:val="none"/>
                <w:lang w:val="en-US" w:eastAsia="zh-CN"/>
              </w:rPr>
              <w:t>3</w:t>
            </w:r>
            <w:r>
              <w:rPr>
                <w:rFonts w:hint="eastAsia" w:ascii="Times New Roman" w:hAnsi="Times New Roman" w:eastAsia="宋体" w:cs="Times New Roman"/>
                <w:b/>
                <w:bCs/>
                <w:color w:val="auto"/>
                <w:sz w:val="24"/>
                <w:highlight w:val="none"/>
                <w:lang w:val="zh-CN"/>
              </w:rPr>
              <w:t>）废水泄漏风险影响分析</w:t>
            </w:r>
          </w:p>
          <w:p>
            <w:pPr>
              <w:spacing w:line="360" w:lineRule="auto"/>
              <w:ind w:firstLine="480" w:firstLineChars="200"/>
              <w:jc w:val="left"/>
              <w:rPr>
                <w:rFonts w:ascii="Times New Roman" w:hAnsi="Times New Roman" w:eastAsia="宋体" w:cs="Times New Roman"/>
                <w:color w:val="auto"/>
                <w:sz w:val="24"/>
                <w:highlight w:val="none"/>
                <w:lang w:val="zh-CN"/>
              </w:rPr>
            </w:pPr>
            <w:r>
              <w:rPr>
                <w:rFonts w:hint="eastAsia" w:ascii="Times New Roman" w:hAnsi="Times New Roman" w:eastAsia="宋体" w:cs="Times New Roman"/>
                <w:color w:val="auto"/>
                <w:sz w:val="24"/>
                <w:highlight w:val="none"/>
                <w:lang w:val="zh-CN"/>
              </w:rPr>
              <w:t>项目产生的生产废水经生产废水处理系统处理后全部回用，在</w:t>
            </w:r>
            <w:r>
              <w:rPr>
                <w:rFonts w:hint="eastAsia" w:ascii="Times New Roman" w:hAnsi="Times New Roman" w:eastAsia="宋体" w:cs="Times New Roman"/>
                <w:color w:val="auto"/>
                <w:sz w:val="24"/>
                <w:highlight w:val="none"/>
                <w:lang w:val="zh-CN" w:eastAsia="zh-CN"/>
              </w:rPr>
              <w:t>处理</w:t>
            </w:r>
            <w:r>
              <w:rPr>
                <w:rFonts w:hint="eastAsia" w:ascii="Times New Roman" w:hAnsi="Times New Roman" w:eastAsia="宋体" w:cs="Times New Roman"/>
                <w:color w:val="auto"/>
                <w:sz w:val="24"/>
                <w:highlight w:val="none"/>
                <w:lang w:val="zh-CN"/>
              </w:rPr>
              <w:t>过程中，若废水处理设施、管道破裂、人为操作失误等可能发生泄漏。项目生产废水</w:t>
            </w:r>
            <w:r>
              <w:rPr>
                <w:rFonts w:hint="eastAsia" w:cs="Times New Roman"/>
                <w:color w:val="auto"/>
                <w:sz w:val="24"/>
                <w:highlight w:val="none"/>
                <w:lang w:val="zh-CN"/>
              </w:rPr>
              <w:t>不含有毒有害和腐蚀性成分</w:t>
            </w:r>
            <w:r>
              <w:rPr>
                <w:rFonts w:hint="eastAsia" w:ascii="Times New Roman" w:hAnsi="Times New Roman" w:eastAsia="宋体" w:cs="Times New Roman"/>
                <w:color w:val="auto"/>
                <w:sz w:val="24"/>
                <w:highlight w:val="none"/>
                <w:lang w:val="zh-CN"/>
              </w:rPr>
              <w:t>，废水处理设施均硬化防渗，即使发生泄漏，通过及时收集，并对破裂处进行检修，影响较小。日常通过加强废水处理设施、管道检查，减少泄漏事故的发生。</w:t>
            </w:r>
          </w:p>
          <w:p>
            <w:pPr>
              <w:pStyle w:val="4"/>
              <w:bidi w:val="0"/>
              <w:rPr>
                <w:rFonts w:hint="default"/>
                <w:color w:val="auto"/>
                <w:lang w:val="en-US" w:eastAsia="zh-CN"/>
              </w:rPr>
            </w:pPr>
            <w:r>
              <w:rPr>
                <w:rFonts w:hint="eastAsia"/>
                <w:color w:val="auto"/>
                <w:lang w:val="en-US" w:eastAsia="zh-CN"/>
              </w:rPr>
              <w:t xml:space="preserve">4.7.5 </w:t>
            </w:r>
            <w:r>
              <w:rPr>
                <w:rFonts w:hint="default"/>
                <w:color w:val="auto"/>
                <w:lang w:val="en-US" w:eastAsia="zh-CN"/>
              </w:rPr>
              <w:t>环境风险防范措施</w:t>
            </w:r>
          </w:p>
          <w:p>
            <w:pPr>
              <w:spacing w:line="360" w:lineRule="auto"/>
              <w:ind w:firstLine="480" w:firstLineChars="200"/>
              <w:jc w:val="left"/>
              <w:rPr>
                <w:rFonts w:ascii="Times New Roman" w:hAnsi="Times New Roman" w:eastAsia="宋体"/>
                <w:color w:val="auto"/>
                <w:sz w:val="24"/>
                <w:szCs w:val="24"/>
                <w:highlight w:val="none"/>
                <w:lang w:val="zh-CN"/>
              </w:rPr>
            </w:pPr>
            <w:r>
              <w:rPr>
                <w:rFonts w:ascii="Times New Roman" w:hAnsi="Times New Roman" w:eastAsia="宋体"/>
                <w:color w:val="auto"/>
                <w:sz w:val="24"/>
                <w:szCs w:val="24"/>
                <w:highlight w:val="none"/>
                <w:lang w:val="zh-CN"/>
              </w:rPr>
              <w:t>由于环境风险具有突发性和短暂性及危害较大等特点，必须采取相应有效预防措施加以防范，加强控制和管理，杜绝、减轻和避免环境风险。为了防止</w:t>
            </w:r>
            <w:r>
              <w:rPr>
                <w:rFonts w:hint="eastAsia" w:ascii="Times New Roman" w:hAnsi="Times New Roman" w:eastAsia="宋体"/>
                <w:color w:val="auto"/>
                <w:sz w:val="24"/>
                <w:szCs w:val="24"/>
                <w:highlight w:val="none"/>
              </w:rPr>
              <w:t>风险事故</w:t>
            </w:r>
            <w:r>
              <w:rPr>
                <w:rFonts w:ascii="Times New Roman" w:hAnsi="Times New Roman" w:eastAsia="宋体"/>
                <w:color w:val="auto"/>
                <w:sz w:val="24"/>
                <w:szCs w:val="24"/>
                <w:highlight w:val="none"/>
                <w:lang w:val="zh-CN"/>
              </w:rPr>
              <w:t>对周边环境造成影响，应严格按照相关要求进行设计与施工，同时项目还应加强安全管理。</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（1）废气事故排放</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定期对废气处理设施从设备到运输管道进行检修，发现问题及时解决。</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w:t>
            </w:r>
            <w:r>
              <w:rPr>
                <w:rFonts w:hint="eastAsia" w:ascii="Times New Roman" w:hAnsi="Times New Roman" w:eastAsia="宋体" w:cs="Times New Roman"/>
                <w:color w:val="auto"/>
                <w:kern w:val="0"/>
                <w:sz w:val="24"/>
                <w:szCs w:val="24"/>
                <w:highlight w:val="none"/>
                <w:u w:val="none"/>
                <w:lang w:val="en-US" w:eastAsia="zh-CN"/>
              </w:rPr>
              <w:t>各生产岗位制定严格的操作规程和注意事项，车间工人需熟悉工作流程，严格按操作规程进行运行控制，防止操作失误导致废气事故排放。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vertAlign w:val="baseline"/>
                <w:lang w:val="en-US" w:eastAsia="zh-CN"/>
              </w:rPr>
            </w:pPr>
            <w:r>
              <w:rPr>
                <w:rFonts w:hint="default" w:ascii="Times New Roman" w:hAnsi="Times New Roman" w:eastAsia="宋体" w:cs="Times New Roman"/>
                <w:color w:val="auto"/>
                <w:kern w:val="0"/>
                <w:sz w:val="24"/>
                <w:szCs w:val="24"/>
                <w:highlight w:val="none"/>
                <w:u w:val="none"/>
                <w:lang w:val="en-US" w:eastAsia="zh-CN"/>
              </w:rPr>
              <w:t>③</w:t>
            </w:r>
            <w:r>
              <w:rPr>
                <w:rFonts w:hint="eastAsia" w:ascii="Times New Roman" w:hAnsi="Times New Roman" w:eastAsia="宋体" w:cs="Times New Roman"/>
                <w:color w:val="auto"/>
                <w:kern w:val="0"/>
                <w:sz w:val="24"/>
                <w:szCs w:val="24"/>
                <w:highlight w:val="none"/>
                <w:u w:val="none"/>
                <w:lang w:val="en-US" w:eastAsia="zh-CN"/>
              </w:rPr>
              <w:t>定期更换过滤</w:t>
            </w:r>
            <w:r>
              <w:rPr>
                <w:rFonts w:hint="eastAsia" w:cs="Times New Roman"/>
                <w:color w:val="auto"/>
                <w:kern w:val="0"/>
                <w:sz w:val="24"/>
                <w:szCs w:val="24"/>
                <w:highlight w:val="none"/>
                <w:u w:val="none"/>
                <w:lang w:val="en-US" w:eastAsia="zh-CN"/>
              </w:rPr>
              <w:t>材料</w:t>
            </w:r>
            <w:r>
              <w:rPr>
                <w:rFonts w:hint="eastAsia" w:ascii="Times New Roman" w:hAnsi="Times New Roman" w:eastAsia="宋体" w:cs="Times New Roman"/>
                <w:color w:val="auto"/>
                <w:kern w:val="0"/>
                <w:sz w:val="24"/>
                <w:szCs w:val="24"/>
                <w:highlight w:val="none"/>
                <w:u w:val="none"/>
                <w:lang w:val="en-US" w:eastAsia="zh-CN"/>
              </w:rPr>
              <w:t>，</w:t>
            </w:r>
            <w:r>
              <w:rPr>
                <w:rFonts w:hint="eastAsia" w:ascii="Times New Roman" w:hAnsi="Times New Roman" w:eastAsia="宋体" w:cs="Times New Roman"/>
                <w:color w:val="auto"/>
                <w:sz w:val="24"/>
                <w:szCs w:val="24"/>
                <w:highlight w:val="none"/>
                <w:u w:val="none"/>
                <w:vertAlign w:val="baseline"/>
                <w:lang w:val="en-US" w:eastAsia="zh-CN"/>
              </w:rPr>
              <w:t>按废气自行监测要求，定期委托有资质单位进行检测。</w:t>
            </w:r>
          </w:p>
          <w:p>
            <w:pPr>
              <w:autoSpaceDE w:val="0"/>
              <w:autoSpaceDN w:val="0"/>
              <w:adjustRightInd w:val="0"/>
              <w:spacing w:line="360" w:lineRule="auto"/>
              <w:ind w:firstLine="482" w:firstLineChars="200"/>
              <w:jc w:val="both"/>
              <w:rPr>
                <w:rFonts w:hint="default" w:ascii="Times New Roman" w:hAnsi="Times New Roman" w:eastAsia="宋体"/>
                <w:b/>
                <w:bCs/>
                <w:color w:val="auto"/>
                <w:sz w:val="24"/>
                <w:lang w:val="en-US" w:eastAsia="zh-CN"/>
              </w:rPr>
            </w:pPr>
            <w:r>
              <w:rPr>
                <w:rFonts w:hint="eastAsia" w:ascii="Times New Roman" w:hAnsi="Times New Roman" w:eastAsia="宋体"/>
                <w:b/>
                <w:bCs/>
                <w:color w:val="auto"/>
                <w:sz w:val="24"/>
                <w:lang w:eastAsia="zh-CN"/>
              </w:rPr>
              <w:t>（</w:t>
            </w:r>
            <w:r>
              <w:rPr>
                <w:rFonts w:hint="eastAsia" w:ascii="Times New Roman" w:hAnsi="Times New Roman" w:eastAsia="宋体"/>
                <w:b/>
                <w:bCs/>
                <w:color w:val="auto"/>
                <w:sz w:val="24"/>
                <w:lang w:val="en-US" w:eastAsia="zh-CN"/>
              </w:rPr>
              <w:t>2）废水事故排放风险防范措施</w:t>
            </w:r>
          </w:p>
          <w:p>
            <w:pPr>
              <w:autoSpaceDE w:val="0"/>
              <w:autoSpaceDN w:val="0"/>
              <w:adjustRightInd w:val="0"/>
              <w:spacing w:line="360" w:lineRule="auto"/>
              <w:ind w:firstLine="480" w:firstLineChars="200"/>
              <w:jc w:val="both"/>
              <w:rPr>
                <w:rFonts w:hint="eastAsia" w:ascii="Times New Roman" w:hAnsi="Times New Roman" w:eastAsia="宋体"/>
                <w:color w:val="auto"/>
                <w:sz w:val="24"/>
              </w:rPr>
            </w:pPr>
            <w:r>
              <w:rPr>
                <w:rFonts w:hint="eastAsia" w:ascii="Times New Roman" w:hAnsi="Times New Roman" w:eastAsia="宋体"/>
                <w:color w:val="auto"/>
                <w:sz w:val="24"/>
              </w:rPr>
              <w:t>①定期对</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rPr>
              <w:t>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w:t>
            </w:r>
            <w:r>
              <w:rPr>
                <w:rFonts w:hint="eastAsia" w:ascii="Times New Roman" w:hAnsi="Times New Roman" w:eastAsia="宋体"/>
                <w:color w:val="auto"/>
                <w:sz w:val="24"/>
              </w:rPr>
              <w:t>进行检查和维修。废水处理站各构筑物</w:t>
            </w:r>
            <w:r>
              <w:rPr>
                <w:rFonts w:hint="eastAsia" w:ascii="Times New Roman" w:hAnsi="Times New Roman" w:eastAsia="宋体"/>
                <w:color w:val="auto"/>
                <w:sz w:val="24"/>
                <w:lang w:eastAsia="zh-CN"/>
              </w:rPr>
              <w:t>、</w:t>
            </w:r>
            <w:r>
              <w:rPr>
                <w:rFonts w:hint="eastAsia" w:ascii="Times New Roman" w:hAnsi="Times New Roman" w:eastAsia="宋体"/>
                <w:color w:val="auto"/>
                <w:sz w:val="24"/>
                <w:lang w:val="en-US" w:eastAsia="zh-CN"/>
              </w:rPr>
              <w:t>废水管道按防渗要求建设。</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highlight w:val="none"/>
                <w:u w:val="none"/>
                <w:vertAlign w:val="baseline"/>
                <w:lang w:val="en-US" w:eastAsia="zh-CN"/>
              </w:rPr>
            </w:pPr>
            <w:r>
              <w:rPr>
                <w:rFonts w:hint="eastAsia" w:ascii="Times New Roman" w:hAnsi="Times New Roman" w:eastAsia="宋体"/>
                <w:color w:val="auto"/>
                <w:sz w:val="24"/>
              </w:rPr>
              <w:t>②</w:t>
            </w:r>
            <w:r>
              <w:rPr>
                <w:rFonts w:hint="eastAsia" w:ascii="Times New Roman" w:hAnsi="Times New Roman" w:eastAsia="宋体"/>
                <w:color w:val="auto"/>
                <w:sz w:val="24"/>
                <w:lang w:val="en-US" w:eastAsia="zh-CN"/>
              </w:rPr>
              <w:t>生产废水</w:t>
            </w:r>
            <w:r>
              <w:rPr>
                <w:rFonts w:hint="eastAsia" w:ascii="Times New Roman" w:hAnsi="Times New Roman" w:eastAsia="宋体"/>
                <w:color w:val="auto"/>
                <w:sz w:val="24"/>
              </w:rPr>
              <w:t>严禁偷排、漏排现象，</w:t>
            </w:r>
            <w:r>
              <w:rPr>
                <w:rFonts w:hint="eastAsia" w:ascii="Times New Roman" w:hAnsi="Times New Roman" w:eastAsia="宋体"/>
                <w:color w:val="auto"/>
                <w:sz w:val="24"/>
                <w:lang w:val="en-US" w:eastAsia="zh-CN"/>
              </w:rPr>
              <w:t>应</w:t>
            </w:r>
            <w:r>
              <w:rPr>
                <w:rFonts w:hint="eastAsia" w:ascii="Times New Roman" w:hAnsi="Times New Roman" w:eastAsia="宋体"/>
                <w:color w:val="auto"/>
                <w:sz w:val="24"/>
              </w:rPr>
              <w:t>经处理后</w:t>
            </w:r>
            <w:r>
              <w:rPr>
                <w:rFonts w:hint="eastAsia" w:ascii="Times New Roman" w:hAnsi="Times New Roman" w:eastAsia="宋体"/>
                <w:color w:val="auto"/>
                <w:sz w:val="24"/>
                <w:lang w:eastAsia="zh-CN"/>
              </w:rPr>
              <w:t>全部回用</w:t>
            </w:r>
            <w:r>
              <w:rPr>
                <w:rFonts w:hint="eastAsia" w:ascii="Times New Roman" w:hAnsi="Times New Roman" w:eastAsia="宋体"/>
                <w:color w:val="auto"/>
                <w:sz w:val="24"/>
              </w:rPr>
              <w:t>。</w:t>
            </w:r>
            <w:r>
              <w:rPr>
                <w:rFonts w:hint="eastAsia" w:ascii="Times New Roman" w:hAnsi="Times New Roman" w:eastAsia="宋体"/>
                <w:color w:val="auto"/>
                <w:sz w:val="24"/>
                <w:lang w:eastAsia="zh-CN"/>
              </w:rPr>
              <w:t>生产废水处理系统</w:t>
            </w:r>
            <w:r>
              <w:rPr>
                <w:rFonts w:hint="eastAsia" w:ascii="Times New Roman" w:hAnsi="Times New Roman" w:eastAsia="宋体"/>
                <w:color w:val="auto"/>
                <w:sz w:val="24"/>
                <w:lang w:val="en-US" w:eastAsia="zh-CN"/>
              </w:rPr>
              <w:t>进出口设置阀门控制。</w:t>
            </w:r>
          </w:p>
          <w:p>
            <w:pPr>
              <w:autoSpaceDE w:val="0"/>
              <w:autoSpaceDN w:val="0"/>
              <w:adjustRightInd w:val="0"/>
              <w:spacing w:line="360" w:lineRule="auto"/>
              <w:ind w:firstLine="480" w:firstLineChars="200"/>
              <w:jc w:val="both"/>
              <w:rPr>
                <w:rFonts w:hint="default" w:ascii="Times New Roman" w:hAnsi="Times New Roman" w:eastAsia="宋体"/>
                <w:color w:val="auto"/>
                <w:sz w:val="24"/>
                <w:lang w:val="en-US" w:eastAsia="zh-CN"/>
              </w:rPr>
            </w:pPr>
            <w:r>
              <w:rPr>
                <w:rFonts w:hint="eastAsia" w:ascii="Times New Roman" w:hAnsi="Times New Roman" w:eastAsia="宋体"/>
                <w:color w:val="auto"/>
                <w:sz w:val="24"/>
              </w:rPr>
              <w:t>③项目应急物资仓库应储备堵漏工具及物资</w:t>
            </w:r>
            <w:r>
              <w:rPr>
                <w:rFonts w:hint="eastAsia" w:ascii="Times New Roman" w:hAnsi="Times New Roman" w:eastAsia="宋体"/>
                <w:color w:val="auto"/>
                <w:sz w:val="24"/>
                <w:lang w:eastAsia="zh-CN"/>
              </w:rPr>
              <w:t>（</w:t>
            </w:r>
            <w:r>
              <w:rPr>
                <w:rFonts w:hint="eastAsia" w:ascii="Times New Roman" w:hAnsi="Times New Roman" w:eastAsia="宋体"/>
                <w:color w:val="auto"/>
                <w:sz w:val="24"/>
              </w:rPr>
              <w:t>如抽水泵、沙袋等</w:t>
            </w:r>
            <w:r>
              <w:rPr>
                <w:rFonts w:hint="eastAsia" w:ascii="Times New Roman" w:hAnsi="Times New Roman" w:eastAsia="宋体"/>
                <w:color w:val="auto"/>
                <w:sz w:val="24"/>
                <w:lang w:eastAsia="zh-CN"/>
              </w:rPr>
              <w:t>）。</w:t>
            </w:r>
          </w:p>
          <w:p>
            <w:pPr>
              <w:autoSpaceDE w:val="0"/>
              <w:autoSpaceDN w:val="0"/>
              <w:adjustRightIn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b/>
                <w:bCs/>
                <w:color w:val="auto"/>
                <w:sz w:val="24"/>
                <w:szCs w:val="24"/>
                <w:highlight w:val="none"/>
                <w:lang w:eastAsia="zh-CN"/>
              </w:rPr>
              <w:t>（</w:t>
            </w:r>
            <w:r>
              <w:rPr>
                <w:rFonts w:hint="eastAsia"/>
                <w:b/>
                <w:bCs/>
                <w:color w:val="auto"/>
                <w:sz w:val="24"/>
                <w:szCs w:val="24"/>
                <w:highlight w:val="none"/>
                <w:lang w:val="en-US" w:eastAsia="zh-CN"/>
              </w:rPr>
              <w:t>3</w:t>
            </w:r>
            <w:r>
              <w:rPr>
                <w:rFonts w:hint="eastAsia" w:ascii="Times New Roman" w:hAnsi="Times New Roman" w:eastAsia="宋体"/>
                <w:b/>
                <w:bCs/>
                <w:color w:val="auto"/>
                <w:sz w:val="24"/>
                <w:szCs w:val="24"/>
                <w:highlight w:val="none"/>
                <w:lang w:val="en-US" w:eastAsia="zh-CN"/>
              </w:rPr>
              <w:t>）</w:t>
            </w:r>
            <w:r>
              <w:rPr>
                <w:rFonts w:hint="eastAsia" w:ascii="Times New Roman" w:hAnsi="Times New Roman" w:eastAsia="宋体" w:cs="Times New Roman"/>
                <w:b/>
                <w:bCs/>
                <w:color w:val="auto"/>
                <w:kern w:val="0"/>
                <w:sz w:val="24"/>
                <w:szCs w:val="24"/>
                <w:highlight w:val="none"/>
                <w:u w:val="none"/>
                <w:lang w:val="en-US" w:eastAsia="zh-CN"/>
              </w:rPr>
              <w:t>危险废物泄漏</w:t>
            </w:r>
            <w:r>
              <w:rPr>
                <w:rFonts w:hint="default" w:ascii="Times New Roman" w:hAnsi="Times New Roman" w:eastAsia="宋体" w:cs="Times New Roman"/>
                <w:b/>
                <w:bCs/>
                <w:color w:val="auto"/>
                <w:kern w:val="0"/>
                <w:sz w:val="24"/>
                <w:szCs w:val="24"/>
                <w:highlight w:val="none"/>
                <w:u w:val="none"/>
                <w:lang w:val="en-US" w:eastAsia="zh-CN"/>
              </w:rPr>
              <w:t>风险防范措施</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①</w:t>
            </w:r>
            <w:r>
              <w:rPr>
                <w:rFonts w:hint="eastAsia" w:ascii="Times New Roman" w:hAnsi="Times New Roman" w:eastAsia="宋体" w:cs="Times New Roman"/>
                <w:color w:val="auto"/>
                <w:kern w:val="0"/>
                <w:sz w:val="24"/>
                <w:szCs w:val="24"/>
                <w:highlight w:val="none"/>
                <w:u w:val="none"/>
                <w:lang w:val="en-US" w:eastAsia="zh-CN"/>
              </w:rPr>
              <w:t>危险废物</w:t>
            </w:r>
            <w:r>
              <w:rPr>
                <w:rFonts w:hint="eastAsia" w:cs="Times New Roman"/>
                <w:color w:val="auto"/>
                <w:kern w:val="0"/>
                <w:sz w:val="24"/>
                <w:szCs w:val="24"/>
                <w:highlight w:val="none"/>
                <w:u w:val="none"/>
                <w:lang w:val="en-US" w:eastAsia="zh-CN"/>
              </w:rPr>
              <w:t>贮存</w:t>
            </w:r>
            <w:r>
              <w:rPr>
                <w:rFonts w:hint="eastAsia" w:ascii="Times New Roman" w:hAnsi="Times New Roman" w:eastAsia="宋体" w:cs="Times New Roman"/>
                <w:color w:val="auto"/>
                <w:kern w:val="0"/>
                <w:sz w:val="24"/>
                <w:szCs w:val="24"/>
                <w:highlight w:val="none"/>
                <w:u w:val="none"/>
                <w:lang w:val="en-US" w:eastAsia="zh-CN"/>
              </w:rPr>
              <w:t>间应按照《危险废物贮存污染控制标准》（GB 18597-2023）要求建设，</w:t>
            </w:r>
            <w:r>
              <w:rPr>
                <w:rFonts w:hint="default" w:ascii="Times New Roman" w:hAnsi="Times New Roman" w:eastAsia="宋体" w:cs="Times New Roman"/>
                <w:color w:val="auto"/>
                <w:sz w:val="24"/>
                <w:szCs w:val="24"/>
                <w:highlight w:val="none"/>
                <w:lang w:val="en-US" w:eastAsia="zh-CN"/>
              </w:rPr>
              <w:t>具备防风、防雨、防晒、</w:t>
            </w:r>
            <w:r>
              <w:rPr>
                <w:rFonts w:hint="eastAsia" w:ascii="Times New Roman" w:hAnsi="Times New Roman" w:eastAsia="宋体" w:cs="Times New Roman"/>
                <w:color w:val="auto"/>
                <w:sz w:val="24"/>
                <w:szCs w:val="24"/>
                <w:highlight w:val="none"/>
                <w:lang w:val="en-US" w:eastAsia="zh-CN"/>
              </w:rPr>
              <w:t>防渗漏措施，</w:t>
            </w:r>
            <w:r>
              <w:rPr>
                <w:rFonts w:hint="eastAsia" w:ascii="Times New Roman" w:hAnsi="Times New Roman" w:eastAsia="宋体" w:cs="Times New Roman"/>
                <w:color w:val="auto"/>
                <w:kern w:val="0"/>
                <w:sz w:val="24"/>
                <w:szCs w:val="24"/>
                <w:highlight w:val="none"/>
                <w:u w:val="none"/>
                <w:lang w:val="en-US" w:eastAsia="zh-CN"/>
              </w:rPr>
              <w:t>液态容器底部设置防渗托盘防渗。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②设置警示标识等</w:t>
            </w:r>
            <w:r>
              <w:rPr>
                <w:rFonts w:hint="eastAsia" w:ascii="Times New Roman" w:hAnsi="Times New Roman" w:eastAsia="宋体" w:cs="Times New Roman"/>
                <w:color w:val="auto"/>
                <w:kern w:val="0"/>
                <w:sz w:val="24"/>
                <w:szCs w:val="24"/>
                <w:highlight w:val="none"/>
                <w:u w:val="none"/>
                <w:lang w:val="en-US" w:eastAsia="zh-CN"/>
              </w:rPr>
              <w:t>。设置专人管理；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③危险废物</w:t>
            </w:r>
            <w:r>
              <w:rPr>
                <w:rFonts w:hint="eastAsia" w:cs="Times New Roman"/>
                <w:color w:val="auto"/>
                <w:kern w:val="0"/>
                <w:sz w:val="24"/>
                <w:szCs w:val="24"/>
                <w:highlight w:val="none"/>
                <w:u w:val="none"/>
                <w:lang w:val="en-US" w:eastAsia="zh-CN"/>
              </w:rPr>
              <w:t>贮存库</w:t>
            </w:r>
            <w:r>
              <w:rPr>
                <w:rFonts w:hint="default" w:ascii="Times New Roman" w:hAnsi="Times New Roman" w:eastAsia="宋体" w:cs="Times New Roman"/>
                <w:color w:val="auto"/>
                <w:kern w:val="0"/>
                <w:sz w:val="24"/>
                <w:szCs w:val="24"/>
                <w:highlight w:val="none"/>
                <w:u w:val="none"/>
                <w:lang w:val="en-US" w:eastAsia="zh-CN"/>
              </w:rPr>
              <w:t>严禁明火，严格遵守操作规程，避免因操作失误发生事故</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sz w:val="24"/>
                <w:szCs w:val="24"/>
                <w:highlight w:val="none"/>
                <w:u w:val="none"/>
                <w:lang w:eastAsia="zh-CN"/>
              </w:rPr>
            </w:pPr>
            <w:r>
              <w:rPr>
                <w:rFonts w:hint="default" w:ascii="Times New Roman" w:hAnsi="Times New Roman" w:eastAsia="宋体" w:cs="Times New Roman"/>
                <w:color w:val="auto"/>
                <w:sz w:val="24"/>
                <w:szCs w:val="24"/>
                <w:highlight w:val="none"/>
                <w:u w:val="none"/>
                <w:lang w:eastAsia="zh-CN"/>
              </w:rPr>
              <w:t>④</w:t>
            </w:r>
            <w:r>
              <w:rPr>
                <w:rFonts w:hint="default" w:ascii="Times New Roman" w:hAnsi="Times New Roman" w:eastAsia="宋体" w:cs="Times New Roman"/>
                <w:color w:val="auto"/>
                <w:kern w:val="0"/>
                <w:sz w:val="24"/>
                <w:szCs w:val="24"/>
                <w:highlight w:val="none"/>
                <w:u w:val="none"/>
                <w:lang w:val="en-US" w:eastAsia="zh-CN"/>
              </w:rPr>
              <w:t>贮存所内配备通讯设备、照明设备、安全防护服装及工具，并有应急防护措施；配备相应的堵漏材料</w:t>
            </w:r>
            <w:r>
              <w:rPr>
                <w:rFonts w:hint="eastAsia" w:ascii="Times New Roman" w:hAnsi="Times New Roman" w:eastAsia="宋体" w:cs="Times New Roman"/>
                <w:color w:val="auto"/>
                <w:kern w:val="0"/>
                <w:sz w:val="24"/>
                <w:szCs w:val="24"/>
                <w:highlight w:val="none"/>
                <w:u w:val="none"/>
                <w:lang w:val="en-US" w:eastAsia="zh-CN"/>
              </w:rPr>
              <w:t>（</w:t>
            </w:r>
            <w:r>
              <w:rPr>
                <w:rFonts w:hint="default" w:ascii="Times New Roman" w:hAnsi="Times New Roman" w:eastAsia="宋体" w:cs="Times New Roman"/>
                <w:color w:val="auto"/>
                <w:kern w:val="0"/>
                <w:sz w:val="24"/>
                <w:szCs w:val="24"/>
                <w:highlight w:val="none"/>
                <w:u w:val="none"/>
                <w:lang w:val="en-US" w:eastAsia="zh-CN"/>
              </w:rPr>
              <w:t>沙袋、吸油毡等</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④根据</w:t>
            </w:r>
            <w:r>
              <w:rPr>
                <w:rFonts w:hint="eastAsia" w:ascii="Times New Roman" w:hAnsi="Times New Roman" w:eastAsia="宋体" w:cs="Times New Roman"/>
                <w:color w:val="auto"/>
                <w:kern w:val="0"/>
                <w:sz w:val="24"/>
                <w:szCs w:val="24"/>
                <w:highlight w:val="none"/>
                <w:u w:val="none"/>
                <w:lang w:val="en-US" w:eastAsia="zh-CN"/>
              </w:rPr>
              <w:t>危险废物的</w:t>
            </w:r>
            <w:r>
              <w:rPr>
                <w:rFonts w:hint="default" w:ascii="Times New Roman" w:hAnsi="Times New Roman" w:eastAsia="宋体" w:cs="Times New Roman"/>
                <w:color w:val="auto"/>
                <w:kern w:val="0"/>
                <w:sz w:val="24"/>
                <w:szCs w:val="24"/>
                <w:highlight w:val="none"/>
                <w:u w:val="none"/>
                <w:lang w:val="en-US" w:eastAsia="zh-CN"/>
              </w:rPr>
              <w:t>特性</w:t>
            </w:r>
            <w:r>
              <w:rPr>
                <w:rFonts w:hint="eastAsia" w:ascii="Times New Roman" w:hAnsi="Times New Roman" w:eastAsia="宋体" w:cs="Times New Roman"/>
                <w:color w:val="auto"/>
                <w:kern w:val="0"/>
                <w:sz w:val="24"/>
                <w:szCs w:val="24"/>
                <w:highlight w:val="none"/>
                <w:u w:val="none"/>
                <w:lang w:val="en-US" w:eastAsia="zh-CN"/>
              </w:rPr>
              <w:t>进行</w:t>
            </w:r>
            <w:r>
              <w:rPr>
                <w:rFonts w:hint="default" w:ascii="Times New Roman" w:hAnsi="Times New Roman" w:eastAsia="宋体" w:cs="Times New Roman"/>
                <w:color w:val="auto"/>
                <w:kern w:val="0"/>
                <w:sz w:val="24"/>
                <w:szCs w:val="24"/>
                <w:highlight w:val="none"/>
                <w:u w:val="none"/>
                <w:lang w:val="en-US" w:eastAsia="zh-CN"/>
              </w:rPr>
              <w:t>分区、分类、分库贮存。各类</w:t>
            </w:r>
            <w:r>
              <w:rPr>
                <w:rFonts w:hint="eastAsia" w:ascii="Times New Roman" w:hAnsi="Times New Roman" w:eastAsia="宋体" w:cs="Times New Roman"/>
                <w:color w:val="auto"/>
                <w:kern w:val="0"/>
                <w:sz w:val="24"/>
                <w:szCs w:val="24"/>
                <w:highlight w:val="none"/>
                <w:u w:val="none"/>
                <w:lang w:val="en-US" w:eastAsia="zh-CN"/>
              </w:rPr>
              <w:t>危险废物等</w:t>
            </w:r>
            <w:r>
              <w:rPr>
                <w:rFonts w:hint="default" w:ascii="Times New Roman" w:hAnsi="Times New Roman" w:eastAsia="宋体" w:cs="Times New Roman"/>
                <w:color w:val="auto"/>
                <w:kern w:val="0"/>
                <w:sz w:val="24"/>
                <w:szCs w:val="24"/>
                <w:highlight w:val="none"/>
                <w:u w:val="none"/>
                <w:lang w:val="en-US" w:eastAsia="zh-CN"/>
              </w:rPr>
              <w:t>不得与禁忌化学品混合贮存</w:t>
            </w:r>
            <w:r>
              <w:rPr>
                <w:rFonts w:hint="eastAsia" w:ascii="Times New Roman" w:hAnsi="Times New Roman" w:eastAsia="宋体" w:cs="Times New Roman"/>
                <w:color w:val="auto"/>
                <w:kern w:val="0"/>
                <w:sz w:val="24"/>
                <w:szCs w:val="24"/>
                <w:highlight w:val="none"/>
                <w:u w:val="none"/>
                <w:lang w:val="en-US"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default" w:ascii="Times New Roman" w:hAnsi="Times New Roman" w:eastAsia="宋体" w:cs="Times New Roman"/>
                <w:color w:val="auto"/>
                <w:kern w:val="0"/>
                <w:sz w:val="24"/>
                <w:szCs w:val="24"/>
                <w:highlight w:val="none"/>
                <w:u w:val="none"/>
                <w:lang w:val="en-US" w:eastAsia="zh-CN"/>
              </w:rPr>
            </w:pPr>
            <w:r>
              <w:rPr>
                <w:rFonts w:hint="default" w:ascii="Times New Roman" w:hAnsi="Times New Roman" w:eastAsia="宋体" w:cs="Times New Roman"/>
                <w:color w:val="auto"/>
                <w:kern w:val="0"/>
                <w:sz w:val="24"/>
                <w:szCs w:val="24"/>
                <w:highlight w:val="none"/>
                <w:u w:val="none"/>
                <w:lang w:val="en-US" w:eastAsia="zh-CN"/>
              </w:rPr>
              <w:t>⑥</w:t>
            </w:r>
            <w:r>
              <w:rPr>
                <w:rFonts w:hint="eastAsia" w:ascii="Times New Roman" w:hAnsi="Times New Roman" w:eastAsia="宋体" w:cs="Times New Roman"/>
                <w:color w:val="auto"/>
                <w:kern w:val="0"/>
                <w:sz w:val="24"/>
                <w:szCs w:val="24"/>
                <w:highlight w:val="none"/>
                <w:u w:val="none"/>
                <w:lang w:val="en-US" w:eastAsia="zh-CN"/>
              </w:rPr>
              <w:t>制定危险废物管理计划及建立危废台账，加强危险废物管理；</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jc w:val="both"/>
              <w:rPr>
                <w:rFonts w:hint="eastAsia" w:ascii="Times New Roman" w:hAnsi="Times New Roman" w:eastAsia="宋体" w:cs="Times New Roman"/>
                <w:color w:val="auto"/>
                <w:kern w:val="0"/>
                <w:sz w:val="24"/>
                <w:szCs w:val="24"/>
                <w:highlight w:val="none"/>
                <w:u w:val="none"/>
                <w:lang w:val="en-US" w:eastAsia="zh-CN"/>
              </w:rPr>
            </w:pPr>
            <w:r>
              <w:rPr>
                <w:rFonts w:hint="eastAsia" w:ascii="Times New Roman" w:hAnsi="Times New Roman" w:eastAsia="宋体" w:cs="Times New Roman"/>
                <w:color w:val="auto"/>
                <w:kern w:val="0"/>
                <w:sz w:val="24"/>
                <w:szCs w:val="24"/>
                <w:highlight w:val="none"/>
                <w:u w:val="none"/>
                <w:lang w:val="en-US" w:eastAsia="zh-CN"/>
              </w:rPr>
              <w:t>⑦及时对危险废物委托资质单位清运处置，对储存容器定期检查，对破损容器及时更换，同时对危废间防渗层定期检查，对破损防渗层进行修补。</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jc w:val="both"/>
              <w:rPr>
                <w:rFonts w:hint="default" w:ascii="Times New Roman" w:hAnsi="Times New Roman" w:eastAsia="宋体" w:cs="Times New Roman"/>
                <w:b/>
                <w:bCs/>
                <w:color w:val="auto"/>
                <w:kern w:val="0"/>
                <w:sz w:val="24"/>
                <w:szCs w:val="24"/>
                <w:highlight w:val="none"/>
                <w:u w:val="none"/>
                <w:lang w:val="en-US" w:eastAsia="zh-CN"/>
              </w:rPr>
            </w:pPr>
            <w:r>
              <w:rPr>
                <w:rFonts w:hint="eastAsia" w:ascii="Times New Roman" w:hAnsi="Times New Roman" w:eastAsia="宋体" w:cs="Times New Roman"/>
                <w:b/>
                <w:bCs/>
                <w:color w:val="auto"/>
                <w:kern w:val="0"/>
                <w:sz w:val="24"/>
                <w:szCs w:val="24"/>
                <w:highlight w:val="none"/>
                <w:u w:val="none"/>
                <w:lang w:val="en-US" w:eastAsia="zh-CN"/>
              </w:rPr>
              <w:t>（</w:t>
            </w:r>
            <w:r>
              <w:rPr>
                <w:rFonts w:hint="eastAsia" w:cs="Times New Roman"/>
                <w:b/>
                <w:bCs/>
                <w:color w:val="auto"/>
                <w:kern w:val="0"/>
                <w:sz w:val="24"/>
                <w:szCs w:val="24"/>
                <w:highlight w:val="none"/>
                <w:u w:val="none"/>
                <w:lang w:val="en-US" w:eastAsia="zh-CN"/>
              </w:rPr>
              <w:t>4</w:t>
            </w:r>
            <w:r>
              <w:rPr>
                <w:rFonts w:hint="eastAsia" w:ascii="Times New Roman" w:hAnsi="Times New Roman" w:eastAsia="宋体" w:cs="Times New Roman"/>
                <w:b/>
                <w:bCs/>
                <w:color w:val="auto"/>
                <w:kern w:val="0"/>
                <w:sz w:val="24"/>
                <w:szCs w:val="24"/>
                <w:highlight w:val="none"/>
                <w:u w:val="none"/>
                <w:lang w:val="en-US" w:eastAsia="zh-CN"/>
              </w:rPr>
              <w:t>）</w:t>
            </w:r>
            <w:r>
              <w:rPr>
                <w:rFonts w:hint="default" w:ascii="Times New Roman" w:hAnsi="Times New Roman" w:eastAsia="宋体" w:cs="Times New Roman"/>
                <w:b/>
                <w:bCs/>
                <w:color w:val="auto"/>
                <w:kern w:val="0"/>
                <w:sz w:val="24"/>
                <w:szCs w:val="24"/>
                <w:highlight w:val="none"/>
                <w:u w:val="none"/>
                <w:lang w:val="en-US" w:eastAsia="zh-CN"/>
              </w:rPr>
              <w:t>火灾事故风险防范措施</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①加强消防设施和灭火器材的配备，严格落实有关消防技术规范的规定，加强人员疏散设施管理，保证疏散通道畅通。</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bCs/>
                <w:color w:val="auto"/>
                <w:sz w:val="24"/>
                <w:szCs w:val="24"/>
                <w:highlight w:val="none"/>
                <w:u w:val="none"/>
              </w:rPr>
              <w:t>②定期进行防火安全检查，确保消防设施完整好用。</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default" w:ascii="Times New Roman" w:hAnsi="Times New Roman" w:eastAsia="宋体" w:cs="Times New Roman"/>
                <w:bCs/>
                <w:color w:val="auto"/>
                <w:sz w:val="24"/>
                <w:szCs w:val="24"/>
                <w:highlight w:val="none"/>
                <w:u w:val="none"/>
              </w:rPr>
            </w:pPr>
            <w:r>
              <w:rPr>
                <w:rFonts w:hint="default" w:ascii="Times New Roman" w:hAnsi="Times New Roman" w:eastAsia="宋体" w:cs="Times New Roman"/>
                <w:color w:val="auto"/>
                <w:sz w:val="24"/>
                <w:szCs w:val="24"/>
                <w:highlight w:val="none"/>
                <w:u w:val="none"/>
                <w:lang w:eastAsia="zh-CN"/>
              </w:rPr>
              <w:t>③</w:t>
            </w:r>
            <w:r>
              <w:rPr>
                <w:rFonts w:hint="default" w:ascii="Times New Roman" w:hAnsi="Times New Roman" w:eastAsia="宋体" w:cs="Times New Roman"/>
                <w:bCs/>
                <w:color w:val="auto"/>
                <w:sz w:val="24"/>
                <w:szCs w:val="24"/>
                <w:highlight w:val="none"/>
                <w:u w:val="none"/>
              </w:rPr>
              <w:t>公司要求职工应遵守各项规章制度，杜绝“三违”</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违章作业、违章指挥、违反劳动纪律</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，作业时要遵守各项规定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如动火、高处作业、进入设备作业等规定</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、要求，确保安全生产。</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eastAsia="zh-CN"/>
              </w:rPr>
            </w:pPr>
            <w:r>
              <w:rPr>
                <w:rFonts w:hint="default" w:ascii="Times New Roman" w:hAnsi="Times New Roman" w:eastAsia="宋体" w:cs="Times New Roman"/>
                <w:bCs/>
                <w:color w:val="auto"/>
                <w:sz w:val="24"/>
                <w:szCs w:val="24"/>
                <w:highlight w:val="none"/>
                <w:u w:val="none"/>
              </w:rPr>
              <w:t>④公司强化安全、消防和环保管理，完善环保安全管理机构，完善各项管理制度，加强日常监督检查；</w:t>
            </w:r>
            <w:r>
              <w:rPr>
                <w:rFonts w:hint="eastAsia" w:ascii="Times New Roman" w:hAnsi="Times New Roman" w:eastAsia="宋体" w:cs="Times New Roman"/>
                <w:bCs/>
                <w:color w:val="auto"/>
                <w:sz w:val="24"/>
                <w:szCs w:val="24"/>
                <w:highlight w:val="none"/>
                <w:u w:val="none"/>
                <w:lang w:eastAsia="zh-CN"/>
              </w:rPr>
              <w:t>车间</w:t>
            </w:r>
            <w:r>
              <w:rPr>
                <w:rFonts w:hint="default" w:ascii="Times New Roman" w:hAnsi="Times New Roman" w:eastAsia="宋体" w:cs="Times New Roman"/>
                <w:bCs/>
                <w:color w:val="auto"/>
                <w:sz w:val="24"/>
                <w:szCs w:val="24"/>
                <w:highlight w:val="none"/>
                <w:u w:val="none"/>
              </w:rPr>
              <w:t>内</w:t>
            </w:r>
            <w:r>
              <w:rPr>
                <w:rFonts w:hint="eastAsia" w:cs="Times New Roman"/>
                <w:bCs/>
                <w:color w:val="auto"/>
                <w:sz w:val="24"/>
                <w:szCs w:val="24"/>
                <w:highlight w:val="none"/>
                <w:u w:val="none"/>
                <w:lang w:eastAsia="zh-CN"/>
              </w:rPr>
              <w:t>、</w:t>
            </w:r>
            <w:r>
              <w:rPr>
                <w:rFonts w:hint="eastAsia" w:ascii="Times New Roman" w:hAnsi="Times New Roman" w:eastAsia="宋体" w:cs="Times New Roman"/>
                <w:bCs/>
                <w:color w:val="auto"/>
                <w:sz w:val="24"/>
                <w:szCs w:val="24"/>
                <w:highlight w:val="none"/>
                <w:u w:val="none"/>
                <w:lang w:val="en-US" w:eastAsia="zh-CN"/>
              </w:rPr>
              <w:t>仓库内、固废</w:t>
            </w:r>
            <w:r>
              <w:rPr>
                <w:rFonts w:hint="eastAsia" w:cs="Times New Roman"/>
                <w:bCs/>
                <w:color w:val="auto"/>
                <w:sz w:val="24"/>
                <w:szCs w:val="24"/>
                <w:highlight w:val="none"/>
                <w:u w:val="none"/>
                <w:lang w:val="en-US" w:eastAsia="zh-CN"/>
              </w:rPr>
              <w:t>贮存库</w:t>
            </w:r>
            <w:r>
              <w:rPr>
                <w:rFonts w:hint="default" w:ascii="Times New Roman" w:hAnsi="Times New Roman" w:eastAsia="宋体" w:cs="Times New Roman"/>
                <w:bCs/>
                <w:color w:val="auto"/>
                <w:sz w:val="24"/>
                <w:szCs w:val="24"/>
                <w:highlight w:val="none"/>
                <w:u w:val="none"/>
              </w:rPr>
              <w:t>严禁烟火，按要求设置防火标志</w:t>
            </w:r>
            <w:r>
              <w:rPr>
                <w:rFonts w:hint="eastAsia" w:ascii="Times New Roman" w:hAnsi="Times New Roman" w:eastAsia="宋体" w:cs="Times New Roman"/>
                <w:bCs/>
                <w:color w:val="auto"/>
                <w:sz w:val="24"/>
                <w:szCs w:val="24"/>
                <w:highlight w:val="none"/>
                <w:u w:val="none"/>
                <w:lang w:eastAsia="zh-CN"/>
              </w:rPr>
              <w:t>，</w:t>
            </w:r>
            <w:r>
              <w:rPr>
                <w:rFonts w:hint="default" w:ascii="Times New Roman" w:hAnsi="Times New Roman" w:eastAsia="宋体" w:cs="Times New Roman"/>
                <w:bCs/>
                <w:color w:val="auto"/>
                <w:sz w:val="24"/>
                <w:szCs w:val="24"/>
                <w:highlight w:val="none"/>
                <w:u w:val="none"/>
              </w:rPr>
              <w:t>严格动火审批制度，进料车辆必须戴阻火器</w:t>
            </w:r>
            <w:r>
              <w:rPr>
                <w:rFonts w:hint="eastAsia" w:ascii="Times New Roman" w:hAnsi="Times New Roman" w:eastAsia="宋体" w:cs="Times New Roman"/>
                <w:bCs/>
                <w:color w:val="auto"/>
                <w:sz w:val="24"/>
                <w:szCs w:val="24"/>
                <w:highlight w:val="none"/>
                <w:u w:val="none"/>
                <w:lang w:eastAsia="zh-CN"/>
              </w:rPr>
              <w:t>。</w:t>
            </w:r>
          </w:p>
          <w:p>
            <w:pPr>
              <w:keepNext w:val="0"/>
              <w:keepLines w:val="0"/>
              <w:pageBreakBefore w:val="0"/>
              <w:kinsoku/>
              <w:wordWrap/>
              <w:overflowPunct/>
              <w:topLinePunct w:val="0"/>
              <w:bidi w:val="0"/>
              <w:adjustRightInd w:val="0"/>
              <w:snapToGrid w:val="0"/>
              <w:spacing w:line="360" w:lineRule="auto"/>
              <w:ind w:firstLine="480" w:firstLineChars="200"/>
              <w:jc w:val="both"/>
              <w:rPr>
                <w:rFonts w:hint="eastAsia" w:ascii="Times New Roman" w:hAnsi="Times New Roman" w:eastAsia="宋体" w:cs="Times New Roman"/>
                <w:bCs/>
                <w:color w:val="auto"/>
                <w:sz w:val="24"/>
                <w:szCs w:val="24"/>
                <w:highlight w:val="none"/>
                <w:u w:val="none"/>
                <w:lang w:val="en-US" w:eastAsia="zh-CN"/>
              </w:rPr>
            </w:pPr>
            <w:r>
              <w:rPr>
                <w:rFonts w:hint="default" w:ascii="Times New Roman" w:hAnsi="Times New Roman" w:eastAsia="宋体" w:cs="Times New Roman"/>
                <w:bCs/>
                <w:color w:val="auto"/>
                <w:sz w:val="24"/>
                <w:szCs w:val="24"/>
                <w:highlight w:val="none"/>
                <w:u w:val="none"/>
              </w:rPr>
              <w:t>⑤</w:t>
            </w:r>
            <w:r>
              <w:rPr>
                <w:rFonts w:hint="eastAsia" w:ascii="Times New Roman" w:hAnsi="Times New Roman" w:eastAsia="宋体" w:cs="Times New Roman"/>
                <w:bCs/>
                <w:color w:val="auto"/>
                <w:sz w:val="24"/>
                <w:szCs w:val="24"/>
                <w:highlight w:val="none"/>
                <w:u w:val="none"/>
                <w:lang w:val="en-US" w:eastAsia="zh-CN"/>
              </w:rPr>
              <w:t>危险废物</w:t>
            </w:r>
            <w:r>
              <w:rPr>
                <w:rFonts w:hint="eastAsia" w:cs="Times New Roman"/>
                <w:bCs/>
                <w:color w:val="auto"/>
                <w:sz w:val="24"/>
                <w:szCs w:val="24"/>
                <w:highlight w:val="none"/>
                <w:u w:val="none"/>
                <w:lang w:val="en-US" w:eastAsia="zh-CN"/>
              </w:rPr>
              <w:t>贮存库按规定</w:t>
            </w:r>
            <w:r>
              <w:rPr>
                <w:rFonts w:hint="eastAsia" w:ascii="Times New Roman" w:hAnsi="Times New Roman" w:eastAsia="宋体" w:cs="Times New Roman"/>
                <w:bCs/>
                <w:color w:val="auto"/>
                <w:sz w:val="24"/>
                <w:szCs w:val="24"/>
                <w:highlight w:val="none"/>
                <w:u w:val="none"/>
                <w:lang w:val="en-US" w:eastAsia="zh-CN"/>
              </w:rPr>
              <w:t>设置防火装置、通讯设备、照明设施、安全防护装置等。</w:t>
            </w:r>
          </w:p>
          <w:p>
            <w:pPr>
              <w:pStyle w:val="4"/>
              <w:bidi w:val="0"/>
              <w:rPr>
                <w:rFonts w:hint="default"/>
                <w:color w:val="auto"/>
                <w:lang w:val="en-US" w:eastAsia="zh-CN"/>
              </w:rPr>
            </w:pPr>
            <w:r>
              <w:rPr>
                <w:rFonts w:hint="default"/>
                <w:color w:val="auto"/>
                <w:lang w:val="en-US" w:eastAsia="zh-CN"/>
              </w:rPr>
              <w:t>4.</w:t>
            </w:r>
            <w:r>
              <w:rPr>
                <w:rFonts w:hint="eastAsia"/>
                <w:color w:val="auto"/>
                <w:lang w:val="en-US" w:eastAsia="zh-CN"/>
              </w:rPr>
              <w:t>7.6 事故应急池设置</w:t>
            </w:r>
          </w:p>
          <w:p>
            <w:pPr>
              <w:bidi w:val="0"/>
              <w:rPr>
                <w:rFonts w:hint="default"/>
                <w:color w:val="auto"/>
                <w:lang w:val="en-US" w:eastAsia="zh-CN"/>
              </w:rPr>
            </w:pPr>
            <w:r>
              <w:rPr>
                <w:rFonts w:hint="default"/>
                <w:color w:val="auto"/>
                <w:lang w:val="en-US" w:eastAsia="zh-CN"/>
              </w:rPr>
              <w:t>项目生产废水处理系统采用</w:t>
            </w:r>
            <w:r>
              <w:rPr>
                <w:rFonts w:hint="eastAsia"/>
                <w:color w:val="auto"/>
                <w:lang w:val="en-US" w:eastAsia="zh-CN"/>
              </w:rPr>
              <w:t>斜坡</w:t>
            </w:r>
            <w:r>
              <w:rPr>
                <w:rFonts w:hint="default"/>
                <w:color w:val="auto"/>
                <w:lang w:val="en-US" w:eastAsia="zh-CN"/>
              </w:rPr>
              <w:t>沉淀</w:t>
            </w:r>
            <w:r>
              <w:rPr>
                <w:rFonts w:hint="eastAsia"/>
                <w:color w:val="auto"/>
                <w:lang w:val="en-US" w:eastAsia="zh-CN"/>
              </w:rPr>
              <w:t>池，共设3座</w:t>
            </w:r>
            <w:r>
              <w:rPr>
                <w:rFonts w:hint="default"/>
                <w:color w:val="auto"/>
                <w:lang w:val="en-US" w:eastAsia="zh-CN"/>
              </w:rPr>
              <w:t>，事故时一般为单池故障，</w:t>
            </w:r>
            <w:r>
              <w:rPr>
                <w:rFonts w:hint="eastAsia"/>
                <w:color w:val="auto"/>
                <w:lang w:val="en-US" w:eastAsia="zh-CN"/>
              </w:rPr>
              <w:t>故障时可通过阀门停止进水，故障池</w:t>
            </w:r>
            <w:r>
              <w:rPr>
                <w:rFonts w:hint="default"/>
                <w:color w:val="auto"/>
                <w:lang w:val="en-US" w:eastAsia="zh-CN"/>
              </w:rPr>
              <w:t>生产废水可在其他沉淀池中转移暂存，不需进入</w:t>
            </w:r>
            <w:r>
              <w:rPr>
                <w:rFonts w:hint="eastAsia"/>
                <w:color w:val="auto"/>
                <w:lang w:val="en-US" w:eastAsia="zh-CN"/>
              </w:rPr>
              <w:t>应急</w:t>
            </w:r>
            <w:r>
              <w:rPr>
                <w:rFonts w:hint="default"/>
                <w:color w:val="auto"/>
                <w:lang w:val="en-US" w:eastAsia="zh-CN"/>
              </w:rPr>
              <w:t>收集系统</w:t>
            </w:r>
            <w:r>
              <w:rPr>
                <w:rFonts w:hint="eastAsia"/>
                <w:color w:val="auto"/>
                <w:lang w:val="en-US" w:eastAsia="zh-CN"/>
              </w:rPr>
              <w:t>。</w:t>
            </w:r>
          </w:p>
          <w:p>
            <w:pPr>
              <w:bidi w:val="0"/>
              <w:rPr>
                <w:rFonts w:hint="default"/>
                <w:color w:val="auto"/>
                <w:lang w:val="en-US" w:eastAsia="zh-CN"/>
              </w:rPr>
            </w:pPr>
            <w:r>
              <w:rPr>
                <w:rFonts w:hint="default"/>
                <w:color w:val="auto"/>
                <w:lang w:val="en-US" w:eastAsia="zh-CN"/>
              </w:rPr>
              <w:t>废矿物油燃烧产生二氧化碳、一氧化碳、烟尘等废气，对周边空气造成污染。根据油类物质的理化性质，其火灾事故主要采用二氧化碳灭火器、干粉灭火器进行灭火处理，不宜采用水灭火</w:t>
            </w:r>
            <w:r>
              <w:rPr>
                <w:rFonts w:hint="eastAsia"/>
                <w:color w:val="auto"/>
                <w:lang w:val="en-US" w:eastAsia="zh-CN"/>
              </w:rPr>
              <w:t>。</w:t>
            </w:r>
            <w:r>
              <w:rPr>
                <w:rFonts w:hint="default"/>
                <w:color w:val="auto"/>
                <w:lang w:val="en-US" w:eastAsia="zh-CN"/>
              </w:rPr>
              <w:t>因此</w:t>
            </w:r>
            <w:r>
              <w:rPr>
                <w:rFonts w:hint="eastAsia"/>
                <w:color w:val="auto"/>
                <w:lang w:val="en-US" w:eastAsia="zh-CN"/>
              </w:rPr>
              <w:t>项目</w:t>
            </w:r>
            <w:r>
              <w:rPr>
                <w:rFonts w:hint="default"/>
                <w:color w:val="auto"/>
                <w:lang w:val="en-US" w:eastAsia="zh-CN"/>
              </w:rPr>
              <w:t>无消防废水产生。</w:t>
            </w:r>
          </w:p>
          <w:p>
            <w:pPr>
              <w:bidi w:val="0"/>
              <w:rPr>
                <w:rFonts w:hint="default"/>
                <w:color w:val="auto"/>
                <w:lang w:val="en-US" w:eastAsia="zh-CN"/>
              </w:rPr>
            </w:pPr>
            <w:r>
              <w:rPr>
                <w:rFonts w:hint="eastAsia"/>
                <w:color w:val="auto"/>
                <w:lang w:val="en-US" w:eastAsia="zh-CN"/>
              </w:rPr>
              <w:t>因此，项目不需设置事故应急池。</w:t>
            </w:r>
          </w:p>
          <w:p>
            <w:pPr>
              <w:pStyle w:val="4"/>
              <w:bidi w:val="0"/>
              <w:rPr>
                <w:rFonts w:hint="default"/>
                <w:color w:val="auto"/>
                <w:lang w:val="en-US" w:eastAsia="zh-CN"/>
              </w:rPr>
            </w:pPr>
            <w:r>
              <w:rPr>
                <w:rFonts w:hint="eastAsia"/>
                <w:color w:val="auto"/>
                <w:lang w:val="en-US" w:eastAsia="zh-CN"/>
              </w:rPr>
              <w:t>4.7.7 风险分析结论</w:t>
            </w:r>
          </w:p>
          <w:p>
            <w:pPr>
              <w:bidi w:val="0"/>
              <w:rPr>
                <w:rFonts w:hint="default"/>
                <w:color w:val="auto"/>
                <w:lang w:val="en-US" w:eastAsia="zh-CN"/>
              </w:rPr>
            </w:pPr>
            <w:r>
              <w:rPr>
                <w:rFonts w:hint="default"/>
                <w:color w:val="auto"/>
                <w:lang w:val="en-US" w:eastAsia="zh-CN"/>
              </w:rPr>
              <w:t>本项目在配备相应的应急物资，加强厂区防火管理，加强环保设施运行维护，完善事故风险防范措施的前提下，事故发生概率低，本项目环境风险在可接受的范围内。</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表4.</w:t>
            </w:r>
            <w:r>
              <w:rPr>
                <w:rFonts w:hint="eastAsia" w:cs="Times New Roman"/>
                <w:b/>
                <w:bCs/>
                <w:color w:val="auto"/>
                <w:sz w:val="24"/>
                <w:lang w:val="en-US" w:eastAsia="zh-CN"/>
              </w:rPr>
              <w:t>7</w:t>
            </w:r>
            <w:r>
              <w:rPr>
                <w:rFonts w:hint="eastAsia" w:ascii="Times New Roman" w:hAnsi="Times New Roman" w:eastAsia="宋体" w:cs="Times New Roman"/>
                <w:b/>
                <w:bCs/>
                <w:color w:val="auto"/>
                <w:sz w:val="24"/>
                <w:lang w:val="en-US" w:eastAsia="zh-CN"/>
              </w:rPr>
              <w:t>-3 项目环境风险简单分析内容表</w:t>
            </w:r>
          </w:p>
          <w:bookmarkEnd w:id="42"/>
          <w:p>
            <w:pPr>
              <w:pStyle w:val="3"/>
              <w:bidi w:val="0"/>
              <w:rPr>
                <w:color w:val="auto"/>
              </w:rPr>
            </w:pPr>
            <w:r>
              <w:rPr>
                <w:rFonts w:hint="eastAsia"/>
                <w:color w:val="auto"/>
              </w:rPr>
              <w:t>4.</w:t>
            </w:r>
            <w:r>
              <w:rPr>
                <w:rFonts w:hint="eastAsia"/>
                <w:color w:val="auto"/>
                <w:lang w:val="en-US" w:eastAsia="zh-CN"/>
              </w:rPr>
              <w:t>8</w:t>
            </w:r>
            <w:r>
              <w:rPr>
                <w:rFonts w:hint="eastAsia"/>
                <w:color w:val="auto"/>
              </w:rPr>
              <w:t xml:space="preserve"> 环保投资估算</w:t>
            </w:r>
          </w:p>
          <w:p>
            <w:pPr>
              <w:bidi w:val="0"/>
              <w:rPr>
                <w:color w:val="auto"/>
              </w:rPr>
            </w:pPr>
            <w:r>
              <w:rPr>
                <w:color w:val="auto"/>
              </w:rPr>
              <w:t>本项目环保投资估算具体明细见表</w:t>
            </w:r>
            <w:r>
              <w:rPr>
                <w:rFonts w:hint="eastAsia"/>
                <w:color w:val="auto"/>
              </w:rPr>
              <w:t>4.</w:t>
            </w:r>
            <w:r>
              <w:rPr>
                <w:rFonts w:hint="eastAsia"/>
                <w:color w:val="auto"/>
                <w:lang w:val="en-US" w:eastAsia="zh-CN"/>
              </w:rPr>
              <w:t>8</w:t>
            </w:r>
            <w:r>
              <w:rPr>
                <w:color w:val="auto"/>
              </w:rPr>
              <w:t>-1。</w:t>
            </w:r>
          </w:p>
          <w:p>
            <w:pPr>
              <w:pStyle w:val="33"/>
              <w:bidi w:val="0"/>
              <w:rPr>
                <w:color w:val="auto"/>
              </w:rPr>
            </w:pPr>
            <w:r>
              <w:rPr>
                <w:rFonts w:hint="eastAsia"/>
                <w:color w:val="auto"/>
                <w:lang w:val="en-US" w:eastAsia="zh-CN"/>
              </w:rPr>
              <w:t>表</w:t>
            </w:r>
            <w:r>
              <w:rPr>
                <w:rFonts w:hint="eastAsia"/>
                <w:color w:val="auto"/>
              </w:rPr>
              <w:t>4.</w:t>
            </w:r>
            <w:r>
              <w:rPr>
                <w:rFonts w:hint="eastAsia"/>
                <w:color w:val="auto"/>
                <w:lang w:val="en-US" w:eastAsia="zh-CN"/>
              </w:rPr>
              <w:t>8</w:t>
            </w:r>
            <w:r>
              <w:rPr>
                <w:color w:val="auto"/>
              </w:rPr>
              <w:t>-1 环保措施投资明细表</w:t>
            </w:r>
          </w:p>
          <w:p>
            <w:pPr>
              <w:bidi w:val="0"/>
              <w:rPr>
                <w:rFonts w:hint="default" w:ascii="Times New Roman" w:hAnsi="Times New Roman" w:eastAsia="宋体" w:cs="Times New Roman"/>
                <w:color w:val="auto"/>
                <w:lang w:val="en-US" w:eastAsia="zh-CN"/>
              </w:rPr>
            </w:pPr>
            <w:r>
              <w:rPr>
                <w:rFonts w:hint="eastAsia"/>
                <w:color w:val="auto"/>
                <w:lang w:val="en-US" w:eastAsia="zh-CN"/>
              </w:rPr>
              <w:t>注：3#物料库、搅拌楼、地面硬化纳入项目主体投资，因此不计入环保投资中。</w:t>
            </w:r>
          </w:p>
        </w:tc>
      </w:tr>
    </w:tbl>
    <w:p>
      <w:pPr>
        <w:pStyle w:val="19"/>
        <w:jc w:val="center"/>
        <w:outlineLvl w:val="0"/>
        <w:rPr>
          <w:rFonts w:hint="default" w:ascii="Times New Roman" w:hAnsi="Times New Roman" w:eastAsia="宋体" w:cs="Times New Roman"/>
          <w:b/>
          <w:bCs/>
          <w:snapToGrid w:val="0"/>
          <w:color w:val="auto"/>
          <w:sz w:val="30"/>
          <w:szCs w:val="30"/>
          <w:highlight w:val="none"/>
        </w:rPr>
        <w:sectPr>
          <w:pgSz w:w="11906" w:h="16838"/>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19"/>
        <w:jc w:val="center"/>
        <w:outlineLvl w:val="0"/>
        <w:rPr>
          <w:rFonts w:hint="default" w:ascii="Times New Roman" w:hAnsi="Times New Roman" w:eastAsia="宋体" w:cs="Times New Roman"/>
          <w:b/>
          <w:bCs/>
          <w:snapToGrid w:val="0"/>
          <w:color w:val="auto"/>
          <w:sz w:val="30"/>
          <w:szCs w:val="30"/>
          <w:highlight w:val="none"/>
        </w:rPr>
      </w:pPr>
      <w:bookmarkStart w:id="43" w:name="_Toc19903"/>
      <w:r>
        <w:rPr>
          <w:rFonts w:hint="default" w:ascii="Times New Roman" w:hAnsi="Times New Roman" w:eastAsia="宋体" w:cs="Times New Roman"/>
          <w:b/>
          <w:bCs/>
          <w:snapToGrid w:val="0"/>
          <w:color w:val="auto"/>
          <w:sz w:val="30"/>
          <w:szCs w:val="30"/>
          <w:highlight w:val="none"/>
        </w:rPr>
        <w:t>五、</w:t>
      </w:r>
      <w:bookmarkStart w:id="44" w:name="_Hlk54167917"/>
      <w:r>
        <w:rPr>
          <w:rFonts w:hint="default" w:ascii="Times New Roman" w:hAnsi="Times New Roman" w:eastAsia="宋体" w:cs="Times New Roman"/>
          <w:b/>
          <w:bCs/>
          <w:snapToGrid w:val="0"/>
          <w:color w:val="auto"/>
          <w:sz w:val="30"/>
          <w:szCs w:val="30"/>
          <w:highlight w:val="none"/>
        </w:rPr>
        <w:t>环境保护措施监督检查清单</w:t>
      </w:r>
      <w:bookmarkEnd w:id="40"/>
      <w:bookmarkEnd w:id="43"/>
      <w:bookmarkEnd w:id="44"/>
    </w:p>
    <w:tbl>
      <w:tblPr>
        <w:tblStyle w:val="24"/>
        <w:tblW w:w="880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066"/>
        <w:gridCol w:w="1108"/>
        <w:gridCol w:w="3256"/>
        <w:gridCol w:w="23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07" w:hRule="atLeast"/>
          <w:jc w:val="center"/>
        </w:trPr>
        <w:tc>
          <w:tcPr>
            <w:tcW w:w="1060" w:type="dxa"/>
            <w:tcBorders>
              <w:tl2br w:val="single" w:color="auto" w:sz="4" w:space="0"/>
            </w:tcBorders>
            <w:vAlign w:val="top"/>
          </w:tcPr>
          <w:p>
            <w:pPr>
              <w:pStyle w:val="28"/>
              <w:bidi w:val="0"/>
              <w:jc w:val="right"/>
              <w:rPr>
                <w:rFonts w:hint="default"/>
                <w:color w:val="auto"/>
              </w:rPr>
            </w:pPr>
            <w:r>
              <w:rPr>
                <w:rFonts w:hint="default"/>
                <w:color w:val="auto"/>
              </w:rPr>
              <w:t>内容</w:t>
            </w:r>
          </w:p>
          <w:p>
            <w:pPr>
              <w:pStyle w:val="28"/>
              <w:bidi w:val="0"/>
              <w:jc w:val="left"/>
              <w:rPr>
                <w:rFonts w:hint="default"/>
                <w:color w:val="auto"/>
              </w:rPr>
            </w:pPr>
          </w:p>
          <w:p>
            <w:pPr>
              <w:pStyle w:val="28"/>
              <w:bidi w:val="0"/>
              <w:jc w:val="left"/>
              <w:rPr>
                <w:rFonts w:hint="default"/>
                <w:color w:val="auto"/>
              </w:rPr>
            </w:pPr>
          </w:p>
          <w:p>
            <w:pPr>
              <w:pStyle w:val="28"/>
              <w:bidi w:val="0"/>
              <w:jc w:val="left"/>
              <w:rPr>
                <w:rFonts w:hint="default"/>
                <w:color w:val="auto"/>
              </w:rPr>
            </w:pPr>
            <w:r>
              <w:rPr>
                <w:rFonts w:hint="default"/>
                <w:color w:val="auto"/>
              </w:rPr>
              <w:t>要素</w:t>
            </w:r>
          </w:p>
        </w:tc>
        <w:tc>
          <w:tcPr>
            <w:tcW w:w="1066" w:type="dxa"/>
            <w:vAlign w:val="center"/>
          </w:tcPr>
          <w:p>
            <w:pPr>
              <w:pStyle w:val="28"/>
              <w:bidi w:val="0"/>
              <w:rPr>
                <w:rFonts w:hint="default"/>
                <w:color w:val="auto"/>
              </w:rPr>
            </w:pPr>
            <w:r>
              <w:rPr>
                <w:rFonts w:hint="default"/>
                <w:color w:val="auto"/>
              </w:rPr>
              <w:t>排放口(编号、名称)/污染源</w:t>
            </w:r>
          </w:p>
        </w:tc>
        <w:tc>
          <w:tcPr>
            <w:tcW w:w="1108" w:type="dxa"/>
            <w:vAlign w:val="center"/>
          </w:tcPr>
          <w:p>
            <w:pPr>
              <w:pStyle w:val="28"/>
              <w:bidi w:val="0"/>
              <w:rPr>
                <w:rFonts w:hint="default"/>
                <w:color w:val="auto"/>
              </w:rPr>
            </w:pPr>
            <w:r>
              <w:rPr>
                <w:rFonts w:hint="default"/>
                <w:color w:val="auto"/>
              </w:rPr>
              <w:t>污染物</w:t>
            </w:r>
          </w:p>
          <w:p>
            <w:pPr>
              <w:pStyle w:val="28"/>
              <w:bidi w:val="0"/>
              <w:rPr>
                <w:rFonts w:hint="default"/>
                <w:color w:val="auto"/>
              </w:rPr>
            </w:pPr>
            <w:r>
              <w:rPr>
                <w:rFonts w:hint="default"/>
                <w:color w:val="auto"/>
              </w:rPr>
              <w:t>项目</w:t>
            </w:r>
          </w:p>
        </w:tc>
        <w:tc>
          <w:tcPr>
            <w:tcW w:w="3256" w:type="dxa"/>
            <w:vAlign w:val="center"/>
          </w:tcPr>
          <w:p>
            <w:pPr>
              <w:pStyle w:val="28"/>
              <w:bidi w:val="0"/>
              <w:rPr>
                <w:rFonts w:hint="default"/>
                <w:color w:val="auto"/>
              </w:rPr>
            </w:pPr>
            <w:r>
              <w:rPr>
                <w:rFonts w:hint="default"/>
                <w:color w:val="auto"/>
              </w:rPr>
              <w:t>环境保护措施</w:t>
            </w:r>
          </w:p>
        </w:tc>
        <w:tc>
          <w:tcPr>
            <w:tcW w:w="2310" w:type="dxa"/>
            <w:vAlign w:val="center"/>
          </w:tcPr>
          <w:p>
            <w:pPr>
              <w:pStyle w:val="28"/>
              <w:bidi w:val="0"/>
              <w:rPr>
                <w:rFonts w:hint="default"/>
                <w:color w:val="auto"/>
              </w:rPr>
            </w:pPr>
            <w:r>
              <w:rPr>
                <w:rFonts w:hint="default"/>
                <w:color w:val="auto"/>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60" w:type="dxa"/>
            <w:vMerge w:val="restart"/>
            <w:vAlign w:val="center"/>
          </w:tcPr>
          <w:p>
            <w:pPr>
              <w:pStyle w:val="28"/>
              <w:bidi w:val="0"/>
              <w:rPr>
                <w:rFonts w:hint="default"/>
                <w:color w:val="auto"/>
              </w:rPr>
            </w:pPr>
            <w:r>
              <w:rPr>
                <w:rFonts w:hint="default" w:ascii="Times New Roman" w:hAnsi="Times New Roman" w:eastAsia="宋体" w:cs="Times New Roman"/>
                <w:color w:val="auto"/>
                <w:sz w:val="21"/>
                <w:szCs w:val="21"/>
              </w:rPr>
              <w:t>大气环境</w:t>
            </w:r>
          </w:p>
        </w:tc>
        <w:tc>
          <w:tcPr>
            <w:tcW w:w="1066" w:type="dxa"/>
            <w:vAlign w:val="center"/>
          </w:tcPr>
          <w:p>
            <w:pPr>
              <w:pStyle w:val="28"/>
              <w:bidi w:val="0"/>
              <w:rPr>
                <w:rFonts w:hint="eastAsia"/>
                <w:color w:val="auto"/>
                <w:lang w:val="en-US" w:eastAsia="zh-CN"/>
              </w:rPr>
            </w:pPr>
            <w:r>
              <w:rPr>
                <w:rFonts w:hint="eastAsia"/>
                <w:color w:val="auto"/>
                <w:lang w:val="en-US" w:eastAsia="zh-CN"/>
              </w:rPr>
              <w:t>厂界</w:t>
            </w:r>
          </w:p>
          <w:p>
            <w:pPr>
              <w:pStyle w:val="28"/>
              <w:bidi w:val="0"/>
              <w:rPr>
                <w:rFonts w:hint="default"/>
                <w:color w:val="auto"/>
                <w:lang w:val="en-US" w:eastAsia="zh-CN"/>
              </w:rPr>
            </w:pPr>
            <w:r>
              <w:rPr>
                <w:rFonts w:hint="eastAsia"/>
                <w:color w:val="auto"/>
                <w:lang w:val="en-US" w:eastAsia="zh-CN"/>
              </w:rPr>
              <w:t>无组织</w:t>
            </w:r>
          </w:p>
        </w:tc>
        <w:tc>
          <w:tcPr>
            <w:tcW w:w="1108" w:type="dxa"/>
            <w:vAlign w:val="center"/>
          </w:tcPr>
          <w:p>
            <w:pPr>
              <w:pStyle w:val="28"/>
              <w:bidi w:val="0"/>
              <w:rPr>
                <w:rFonts w:hint="default"/>
                <w:color w:val="auto"/>
                <w:lang w:val="en-US" w:eastAsia="zh-CN"/>
              </w:rPr>
            </w:pPr>
            <w:r>
              <w:rPr>
                <w:rFonts w:hint="eastAsia"/>
                <w:color w:val="auto"/>
                <w:lang w:val="en-US" w:eastAsia="zh-CN"/>
              </w:rPr>
              <w:t>颗粒物</w:t>
            </w:r>
          </w:p>
        </w:tc>
        <w:tc>
          <w:tcPr>
            <w:tcW w:w="3256" w:type="dxa"/>
            <w:vAlign w:val="center"/>
          </w:tcPr>
          <w:p>
            <w:pPr>
              <w:pStyle w:val="28"/>
              <w:bidi w:val="0"/>
              <w:jc w:val="left"/>
              <w:rPr>
                <w:rFonts w:hint="eastAsia"/>
                <w:color w:val="auto"/>
                <w:lang w:val="en-US" w:eastAsia="zh-CN"/>
              </w:rPr>
            </w:pPr>
            <w:r>
              <w:rPr>
                <w:rFonts w:hint="default"/>
                <w:color w:val="auto"/>
                <w:lang w:val="en-US" w:eastAsia="zh-CN"/>
              </w:rPr>
              <w:t>①</w:t>
            </w:r>
            <w:r>
              <w:rPr>
                <w:rFonts w:hint="eastAsia"/>
                <w:color w:val="auto"/>
                <w:lang w:val="en-US" w:eastAsia="zh-CN"/>
              </w:rPr>
              <w:t>砂石料堆场密闭设置（三面及顶部围蔽，仅保留进出料面敞开），配套喷淋装置抑尘；</w:t>
            </w:r>
          </w:p>
          <w:p>
            <w:pPr>
              <w:pStyle w:val="28"/>
              <w:bidi w:val="0"/>
              <w:jc w:val="left"/>
              <w:rPr>
                <w:rFonts w:hint="default"/>
                <w:color w:val="auto"/>
                <w:lang w:val="en-US" w:eastAsia="zh-CN"/>
              </w:rPr>
            </w:pPr>
            <w:r>
              <w:rPr>
                <w:rFonts w:hint="default"/>
                <w:color w:val="auto"/>
                <w:lang w:val="en-US" w:eastAsia="zh-CN"/>
              </w:rPr>
              <w:t>②厂区道路硬化、定时人工洒水抑尘和清扫、出入口设置洗车台对进出车辆进行冲洗</w:t>
            </w:r>
            <w:r>
              <w:rPr>
                <w:rFonts w:hint="eastAsia"/>
                <w:color w:val="auto"/>
                <w:lang w:val="en-US" w:eastAsia="zh-CN"/>
              </w:rPr>
              <w:t>；</w:t>
            </w:r>
          </w:p>
          <w:p>
            <w:pPr>
              <w:pStyle w:val="28"/>
              <w:bidi w:val="0"/>
              <w:jc w:val="left"/>
              <w:rPr>
                <w:rFonts w:hint="eastAsia"/>
                <w:color w:val="auto"/>
                <w:lang w:val="en-US" w:eastAsia="zh-CN"/>
              </w:rPr>
            </w:pPr>
            <w:r>
              <w:rPr>
                <w:rFonts w:hint="default"/>
                <w:color w:val="auto"/>
                <w:lang w:val="en-US" w:eastAsia="zh-CN"/>
              </w:rPr>
              <w:t>③</w:t>
            </w:r>
            <w:r>
              <w:rPr>
                <w:rFonts w:hint="eastAsia"/>
                <w:color w:val="auto"/>
                <w:lang w:val="en-US" w:eastAsia="zh-CN"/>
              </w:rPr>
              <w:t>搅拌站整体封</w:t>
            </w:r>
            <w:r>
              <w:rPr>
                <w:rFonts w:hint="eastAsia"/>
                <w:color w:val="auto"/>
                <w:sz w:val="21"/>
                <w:szCs w:val="21"/>
                <w:lang w:val="en-US" w:eastAsia="zh-CN"/>
              </w:rPr>
              <w:t>闭设置并配套喷淋装置抑尘，</w:t>
            </w:r>
            <w:r>
              <w:rPr>
                <w:rFonts w:hint="eastAsia" w:ascii="Times New Roman" w:hAnsi="Times New Roman" w:eastAsia="宋体" w:cs="Times New Roman"/>
                <w:color w:val="auto"/>
                <w:kern w:val="0"/>
                <w:sz w:val="21"/>
                <w:szCs w:val="21"/>
                <w:highlight w:val="none"/>
                <w:lang w:val="en-US" w:eastAsia="zh-CN" w:bidi="ar-SA"/>
              </w:rPr>
              <w:t>搅拌站进料口配套喷淋装置抑尘，</w:t>
            </w:r>
            <w:r>
              <w:rPr>
                <w:rFonts w:hint="eastAsia"/>
                <w:color w:val="auto"/>
                <w:sz w:val="21"/>
                <w:szCs w:val="21"/>
                <w:lang w:val="en-US" w:eastAsia="zh-CN"/>
              </w:rPr>
              <w:t>搅拌机密闭运行，加水湿式搅拌；</w:t>
            </w:r>
          </w:p>
          <w:p>
            <w:pPr>
              <w:pStyle w:val="28"/>
              <w:bidi w:val="0"/>
              <w:jc w:val="left"/>
              <w:rPr>
                <w:rFonts w:hint="default"/>
                <w:color w:val="auto"/>
                <w:lang w:val="en-US" w:eastAsia="zh-CN"/>
              </w:rPr>
            </w:pPr>
            <w:r>
              <w:rPr>
                <w:rFonts w:hint="default"/>
                <w:color w:val="auto"/>
                <w:lang w:val="en-US" w:eastAsia="zh-CN"/>
              </w:rPr>
              <w:t>④</w:t>
            </w:r>
            <w:r>
              <w:rPr>
                <w:rFonts w:hint="eastAsia"/>
                <w:color w:val="auto"/>
                <w:lang w:val="en-US" w:eastAsia="zh-CN"/>
              </w:rPr>
              <w:t>粉料仓顶置脉冲布袋除尘器对呼吸尘进行收集后车间内无组织排放，同时粉料仓所在的2#搅拌楼内部设有喷淋除尘装置。</w:t>
            </w:r>
          </w:p>
          <w:p>
            <w:pPr>
              <w:pStyle w:val="28"/>
              <w:bidi w:val="0"/>
              <w:jc w:val="left"/>
              <w:rPr>
                <w:rFonts w:hint="default"/>
                <w:color w:val="auto"/>
                <w:lang w:val="en-US" w:eastAsia="zh-CN"/>
              </w:rPr>
            </w:pPr>
            <w:r>
              <w:rPr>
                <w:rFonts w:hint="eastAsia"/>
                <w:color w:val="auto"/>
                <w:lang w:val="en-US" w:eastAsia="zh-CN"/>
              </w:rPr>
              <w:t>⑤输送带仅保留进卸料口，走廊封闭，进料区、输送带进出料口配套喷淋装置抑尘；</w:t>
            </w:r>
          </w:p>
          <w:p>
            <w:pPr>
              <w:pStyle w:val="28"/>
              <w:bidi w:val="0"/>
              <w:jc w:val="left"/>
              <w:rPr>
                <w:rFonts w:hint="default"/>
                <w:color w:val="auto"/>
                <w:lang w:val="en-US" w:eastAsia="zh-CN"/>
              </w:rPr>
            </w:pPr>
            <w:r>
              <w:rPr>
                <w:rFonts w:hint="eastAsia"/>
                <w:color w:val="auto"/>
                <w:lang w:val="en-US" w:eastAsia="zh-CN"/>
              </w:rPr>
              <w:t>⑥焊接烟尘车间内无组织排放；加强日常作业管理，切割、焊接等工序在相应车间内进行，并及时清扫重力沉降在地面的积尘；</w:t>
            </w:r>
          </w:p>
          <w:p>
            <w:pPr>
              <w:pStyle w:val="28"/>
              <w:bidi w:val="0"/>
              <w:jc w:val="left"/>
              <w:rPr>
                <w:rFonts w:hint="default"/>
                <w:color w:val="auto"/>
                <w:lang w:val="en-US" w:eastAsia="zh-CN"/>
              </w:rPr>
            </w:pPr>
            <w:r>
              <w:rPr>
                <w:rFonts w:hint="eastAsia"/>
                <w:color w:val="auto"/>
                <w:lang w:val="en-US" w:eastAsia="zh-CN"/>
              </w:rPr>
              <w:t>⑦厂区配套雾炮机，在装卸作业时喷雾降尘；靠生产区的西侧、西南侧与南侧围墙配套喷淋抑尘装置，进一步降尘；</w:t>
            </w:r>
          </w:p>
          <w:p>
            <w:pPr>
              <w:pStyle w:val="28"/>
              <w:bidi w:val="0"/>
              <w:jc w:val="left"/>
              <w:rPr>
                <w:rFonts w:hint="default"/>
                <w:color w:val="auto"/>
                <w:lang w:val="en-US" w:eastAsia="zh-CN"/>
              </w:rPr>
            </w:pPr>
            <w:r>
              <w:rPr>
                <w:rFonts w:hint="eastAsia"/>
                <w:color w:val="auto"/>
                <w:lang w:val="en-US" w:eastAsia="zh-CN"/>
              </w:rPr>
              <w:t>⑧定期对废气设施进行</w:t>
            </w:r>
            <w:r>
              <w:rPr>
                <w:rFonts w:hint="default"/>
                <w:color w:val="auto"/>
                <w:lang w:val="en-US" w:eastAsia="zh-CN"/>
              </w:rPr>
              <w:t>维护保养</w:t>
            </w:r>
            <w:r>
              <w:rPr>
                <w:rFonts w:hint="eastAsia"/>
                <w:color w:val="auto"/>
                <w:lang w:val="en-US" w:eastAsia="zh-CN"/>
              </w:rPr>
              <w:t>。</w:t>
            </w:r>
          </w:p>
        </w:tc>
        <w:tc>
          <w:tcPr>
            <w:tcW w:w="2310" w:type="dxa"/>
            <w:vAlign w:val="center"/>
          </w:tcPr>
          <w:p>
            <w:pPr>
              <w:pStyle w:val="28"/>
              <w:bidi w:val="0"/>
              <w:rPr>
                <w:rFonts w:hint="default"/>
                <w:color w:val="auto"/>
                <w:lang w:val="en-US" w:eastAsia="zh-CN"/>
              </w:rPr>
            </w:pPr>
            <w:r>
              <w:rPr>
                <w:rFonts w:hint="eastAsia"/>
                <w:color w:val="auto"/>
                <w:lang w:val="en-US" w:eastAsia="zh-CN"/>
              </w:rPr>
              <w:t>厂界无组织颗粒物从严执行《水泥工业大气污染物排放标准》（DB35/1311-2013）表3排放限值（即颗粒物</w:t>
            </w:r>
            <w:r>
              <w:rPr>
                <w:rFonts w:hint="default"/>
                <w:color w:val="auto"/>
                <w:lang w:val="en-US" w:eastAsia="zh-CN"/>
              </w:rPr>
              <w:t>≤</w:t>
            </w:r>
            <w:r>
              <w:rPr>
                <w:rFonts w:hint="eastAsia"/>
                <w:color w:val="auto"/>
                <w:lang w:val="en-US" w:eastAsia="zh-CN"/>
              </w:rPr>
              <w:t>0.5</w:t>
            </w:r>
            <w:r>
              <w:rPr>
                <w:rFonts w:hint="default"/>
                <w:color w:val="auto"/>
                <w:lang w:val="en-US" w:eastAsia="zh-CN"/>
              </w:rPr>
              <w:t>mg/m</w:t>
            </w:r>
            <w:r>
              <w:rPr>
                <w:rFonts w:hint="default"/>
                <w:color w:val="auto"/>
                <w:vertAlign w:val="superscript"/>
                <w:lang w:val="en-US" w:eastAsia="zh-CN"/>
              </w:rPr>
              <w:t>3</w:t>
            </w:r>
            <w:r>
              <w:rPr>
                <w:rFonts w:hint="eastAsia"/>
                <w:color w:val="auto"/>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060" w:type="dxa"/>
            <w:vMerge w:val="continue"/>
            <w:vAlign w:val="center"/>
          </w:tcPr>
          <w:p>
            <w:pPr>
              <w:pStyle w:val="28"/>
              <w:bidi w:val="0"/>
              <w:rPr>
                <w:rFonts w:hint="default" w:ascii="Times New Roman" w:hAnsi="Times New Roman" w:eastAsia="宋体" w:cs="Times New Roman"/>
                <w:color w:val="auto"/>
                <w:sz w:val="21"/>
                <w:szCs w:val="21"/>
              </w:rPr>
            </w:pPr>
          </w:p>
        </w:tc>
        <w:tc>
          <w:tcPr>
            <w:tcW w:w="1066" w:type="dxa"/>
            <w:vAlign w:val="center"/>
          </w:tcPr>
          <w:p>
            <w:pPr>
              <w:pStyle w:val="28"/>
              <w:bidi w:val="0"/>
              <w:rPr>
                <w:rFonts w:hint="eastAsia"/>
                <w:lang w:val="en-US" w:eastAsia="zh-CN"/>
              </w:rPr>
            </w:pPr>
            <w:r>
              <w:rPr>
                <w:rFonts w:hint="default"/>
                <w:lang w:val="en-US" w:eastAsia="zh-CN"/>
              </w:rPr>
              <w:t>DA00</w:t>
            </w:r>
            <w:r>
              <w:rPr>
                <w:rFonts w:hint="eastAsia"/>
                <w:lang w:val="en-US" w:eastAsia="zh-CN"/>
              </w:rPr>
              <w:t>1</w:t>
            </w:r>
          </w:p>
          <w:p>
            <w:pPr>
              <w:pStyle w:val="28"/>
              <w:bidi w:val="0"/>
              <w:ind w:left="0" w:leftChars="0" w:firstLine="0" w:firstLineChars="0"/>
              <w:rPr>
                <w:rFonts w:hint="eastAsia"/>
                <w:color w:val="auto"/>
                <w:lang w:val="en-US" w:eastAsia="zh-CN"/>
              </w:rPr>
            </w:pPr>
            <w:r>
              <w:rPr>
                <w:rFonts w:hint="eastAsia"/>
                <w:lang w:val="en-US" w:eastAsia="zh-CN"/>
              </w:rPr>
              <w:t>/破碎、筛分粉尘</w:t>
            </w:r>
          </w:p>
        </w:tc>
        <w:tc>
          <w:tcPr>
            <w:tcW w:w="1108" w:type="dxa"/>
            <w:vAlign w:val="center"/>
          </w:tcPr>
          <w:p>
            <w:pPr>
              <w:pStyle w:val="28"/>
              <w:bidi w:val="0"/>
              <w:ind w:left="0" w:leftChars="0" w:firstLine="0" w:firstLineChars="0"/>
              <w:rPr>
                <w:rFonts w:hint="eastAsia"/>
                <w:color w:val="auto"/>
                <w:lang w:val="en-US" w:eastAsia="zh-CN"/>
              </w:rPr>
            </w:pPr>
            <w:r>
              <w:rPr>
                <w:rFonts w:hint="eastAsia"/>
                <w:lang w:val="en-US" w:eastAsia="zh-CN"/>
              </w:rPr>
              <w:t>颗粒物</w:t>
            </w:r>
          </w:p>
        </w:tc>
        <w:tc>
          <w:tcPr>
            <w:tcW w:w="3256" w:type="dxa"/>
            <w:vAlign w:val="center"/>
          </w:tcPr>
          <w:p>
            <w:pPr>
              <w:pStyle w:val="28"/>
              <w:bidi w:val="0"/>
              <w:ind w:left="0" w:leftChars="0" w:firstLine="0" w:firstLineChars="0"/>
              <w:rPr>
                <w:rFonts w:hint="eastAsia"/>
                <w:color w:val="auto"/>
                <w:lang w:val="en-US" w:eastAsia="zh-CN"/>
              </w:rPr>
            </w:pPr>
            <w:r>
              <w:rPr>
                <w:rFonts w:hint="eastAsia"/>
                <w:lang w:val="en-US" w:eastAsia="zh-CN"/>
              </w:rPr>
              <w:t>生产线各设施大部分封闭，进出料口上方设置集气罩，粉尘经各集气罩收集后通过袋式除尘器除尘处理，最后由15m高排气筒DA001排放。</w:t>
            </w:r>
          </w:p>
        </w:tc>
        <w:tc>
          <w:tcPr>
            <w:tcW w:w="2310" w:type="dxa"/>
            <w:vAlign w:val="center"/>
          </w:tcPr>
          <w:p>
            <w:pPr>
              <w:pStyle w:val="28"/>
              <w:bidi w:val="0"/>
              <w:ind w:left="0" w:leftChars="0" w:firstLine="0" w:firstLineChars="0"/>
              <w:rPr>
                <w:rFonts w:hint="eastAsia"/>
                <w:color w:val="auto"/>
                <w:lang w:val="en-US" w:eastAsia="zh-CN"/>
              </w:rPr>
            </w:pPr>
            <w:r>
              <w:rPr>
                <w:rFonts w:hint="eastAsia"/>
                <w:lang w:val="en-US" w:eastAsia="zh-CN"/>
              </w:rPr>
              <w:t>有组织颗粒物执行《大气污染物综合排放标准》（GB16297-1996）表2大气污染物排放限值（</w:t>
            </w:r>
            <w:r>
              <w:rPr>
                <w:rFonts w:hint="default"/>
                <w:lang w:val="en-US" w:eastAsia="zh-CN"/>
              </w:rPr>
              <w:t>即</w:t>
            </w:r>
            <w:r>
              <w:rPr>
                <w:rFonts w:hint="eastAsia"/>
                <w:lang w:val="en-US" w:eastAsia="zh-CN"/>
              </w:rPr>
              <w:t>颗粒物</w:t>
            </w:r>
            <w:r>
              <w:rPr>
                <w:rFonts w:hint="default"/>
                <w:lang w:val="en-US" w:eastAsia="zh-CN"/>
              </w:rPr>
              <w:t>≤</w:t>
            </w:r>
            <w:r>
              <w:rPr>
                <w:rFonts w:hint="eastAsia"/>
                <w:lang w:val="en-US" w:eastAsia="zh-CN"/>
              </w:rPr>
              <w:t>120</w:t>
            </w:r>
            <w:r>
              <w:rPr>
                <w:rFonts w:hint="default"/>
                <w:lang w:val="en-US" w:eastAsia="zh-CN"/>
              </w:rPr>
              <w:t>g/m</w:t>
            </w:r>
            <w:r>
              <w:rPr>
                <w:rFonts w:hint="default"/>
                <w:vertAlign w:val="superscript"/>
                <w:lang w:val="en-US" w:eastAsia="zh-CN"/>
              </w:rPr>
              <w:t>3</w:t>
            </w:r>
            <w:r>
              <w:rPr>
                <w:rFonts w:hint="eastAsia"/>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restart"/>
            <w:vAlign w:val="center"/>
          </w:tcPr>
          <w:p>
            <w:pPr>
              <w:pStyle w:val="28"/>
              <w:bidi w:val="0"/>
              <w:rPr>
                <w:rFonts w:hint="default"/>
                <w:color w:val="auto"/>
              </w:rPr>
            </w:pPr>
            <w:r>
              <w:rPr>
                <w:rFonts w:hint="default"/>
                <w:color w:val="auto"/>
              </w:rPr>
              <w:t>地表水</w:t>
            </w:r>
          </w:p>
          <w:p>
            <w:pPr>
              <w:pStyle w:val="28"/>
              <w:bidi w:val="0"/>
              <w:rPr>
                <w:rFonts w:hint="default"/>
                <w:color w:val="auto"/>
              </w:rPr>
            </w:pPr>
            <w:r>
              <w:rPr>
                <w:rFonts w:hint="default"/>
                <w:color w:val="auto"/>
              </w:rPr>
              <w:t>环境</w:t>
            </w:r>
          </w:p>
        </w:tc>
        <w:tc>
          <w:tcPr>
            <w:tcW w:w="1066" w:type="dxa"/>
            <w:vAlign w:val="center"/>
          </w:tcPr>
          <w:p>
            <w:pPr>
              <w:pStyle w:val="28"/>
              <w:bidi w:val="0"/>
              <w:rPr>
                <w:rFonts w:hint="default"/>
                <w:color w:val="auto"/>
                <w:lang w:val="en-US" w:eastAsia="zh-CN"/>
              </w:rPr>
            </w:pPr>
            <w:r>
              <w:rPr>
                <w:rFonts w:hint="eastAsia"/>
                <w:color w:val="auto"/>
                <w:lang w:val="en-US" w:eastAsia="zh-CN"/>
              </w:rPr>
              <w:t>洗车废水</w:t>
            </w:r>
          </w:p>
        </w:tc>
        <w:tc>
          <w:tcPr>
            <w:tcW w:w="1108" w:type="dxa"/>
            <w:vAlign w:val="center"/>
          </w:tcPr>
          <w:p>
            <w:pPr>
              <w:pStyle w:val="28"/>
              <w:bidi w:val="0"/>
              <w:rPr>
                <w:rFonts w:hint="default"/>
                <w:color w:val="auto"/>
                <w:lang w:val="en-US" w:eastAsia="zh-CN"/>
              </w:rPr>
            </w:pPr>
            <w:r>
              <w:rPr>
                <w:rFonts w:hint="default"/>
                <w:color w:val="auto"/>
              </w:rPr>
              <w:t>COD、</w:t>
            </w:r>
            <w:r>
              <w:rPr>
                <w:rFonts w:hint="eastAsia"/>
                <w:color w:val="auto"/>
                <w:lang w:val="en-US" w:eastAsia="zh-CN"/>
              </w:rPr>
              <w:t>SS</w:t>
            </w:r>
            <w:r>
              <w:rPr>
                <w:rFonts w:hint="default"/>
                <w:color w:val="auto"/>
              </w:rPr>
              <w:t>、</w:t>
            </w:r>
            <w:r>
              <w:rPr>
                <w:rFonts w:hint="eastAsia"/>
                <w:color w:val="auto"/>
                <w:lang w:val="en-US" w:eastAsia="zh-CN"/>
              </w:rPr>
              <w:t>石油类</w:t>
            </w:r>
          </w:p>
        </w:tc>
        <w:tc>
          <w:tcPr>
            <w:tcW w:w="3256" w:type="dxa"/>
            <w:vAlign w:val="center"/>
          </w:tcPr>
          <w:p>
            <w:pPr>
              <w:pStyle w:val="28"/>
              <w:bidi w:val="0"/>
              <w:rPr>
                <w:rFonts w:hint="default"/>
                <w:color w:val="auto"/>
                <w:lang w:val="en-US" w:eastAsia="zh-CN"/>
              </w:rPr>
            </w:pPr>
            <w:r>
              <w:rPr>
                <w:rFonts w:hint="eastAsia"/>
                <w:color w:val="auto"/>
                <w:lang w:val="en-US" w:eastAsia="zh-CN"/>
              </w:rPr>
              <w:t>洗车废水经洗车台配套沉淀池处理后回用于车辆冲洗，不外排，沉淀池表层浮油采用吸油毡定期清理，废吸油毡作为危险废物，暂存于危险废物贮存库内，委托资质单位定期清运处置</w:t>
            </w:r>
          </w:p>
        </w:tc>
        <w:tc>
          <w:tcPr>
            <w:tcW w:w="2310" w:type="dxa"/>
            <w:vAlign w:val="center"/>
          </w:tcPr>
          <w:p>
            <w:pPr>
              <w:pStyle w:val="28"/>
              <w:bidi w:val="0"/>
              <w:rPr>
                <w:rFonts w:hint="default"/>
                <w:color w:val="auto"/>
                <w:lang w:val="en-US" w:eastAsia="zh-CN"/>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56"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default"/>
                <w:color w:val="auto"/>
                <w:lang w:val="en-US" w:eastAsia="zh-CN"/>
              </w:rPr>
            </w:pPr>
            <w:r>
              <w:rPr>
                <w:rFonts w:hint="eastAsia"/>
                <w:color w:val="auto"/>
                <w:lang w:val="en-US" w:eastAsia="zh-CN"/>
              </w:rPr>
              <w:t>设备清洗废水</w:t>
            </w:r>
          </w:p>
        </w:tc>
        <w:tc>
          <w:tcPr>
            <w:tcW w:w="1108" w:type="dxa"/>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restart"/>
            <w:vAlign w:val="center"/>
          </w:tcPr>
          <w:p>
            <w:pPr>
              <w:pStyle w:val="28"/>
              <w:bidi w:val="0"/>
              <w:rPr>
                <w:rFonts w:hint="eastAsia"/>
                <w:color w:val="auto"/>
                <w:lang w:eastAsia="zh-CN"/>
              </w:rPr>
            </w:pPr>
            <w:r>
              <w:rPr>
                <w:rFonts w:hint="eastAsia"/>
                <w:color w:val="auto"/>
                <w:lang w:eastAsia="zh-CN"/>
              </w:rPr>
              <w:t>经</w:t>
            </w:r>
            <w:r>
              <w:rPr>
                <w:rFonts w:hint="eastAsia"/>
                <w:color w:val="auto"/>
                <w:lang w:val="en-US" w:eastAsia="zh-CN"/>
              </w:rPr>
              <w:t>生产废水处理系统（斜坡沉淀池）处理后，上清液回用于搅拌，不外排</w:t>
            </w:r>
          </w:p>
        </w:tc>
        <w:tc>
          <w:tcPr>
            <w:tcW w:w="2310" w:type="dxa"/>
            <w:vMerge w:val="restart"/>
            <w:vAlign w:val="center"/>
          </w:tcPr>
          <w:p>
            <w:pPr>
              <w:pStyle w:val="28"/>
              <w:bidi w:val="0"/>
              <w:rPr>
                <w:rFonts w:hint="default"/>
                <w:color w:val="auto"/>
              </w:rPr>
            </w:pPr>
            <w:r>
              <w:rPr>
                <w:rFonts w:hint="eastAsia"/>
                <w:color w:val="auto"/>
                <w:lang w:val="en-US" w:eastAsia="zh-CN"/>
              </w:rPr>
              <w:t>落实处理及回用情况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default"/>
                <w:color w:val="auto"/>
                <w:lang w:val="en-US" w:eastAsia="zh-CN"/>
              </w:rPr>
            </w:pPr>
            <w:r>
              <w:rPr>
                <w:rFonts w:hint="eastAsia"/>
                <w:color w:val="auto"/>
                <w:lang w:val="en-US" w:eastAsia="zh-CN"/>
              </w:rPr>
              <w:t>生产区地面冲洗废水</w:t>
            </w:r>
          </w:p>
        </w:tc>
        <w:tc>
          <w:tcPr>
            <w:tcW w:w="1108" w:type="dxa"/>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continue"/>
            <w:vAlign w:val="center"/>
          </w:tcPr>
          <w:p>
            <w:pPr>
              <w:pStyle w:val="28"/>
              <w:bidi w:val="0"/>
              <w:rPr>
                <w:rFonts w:hint="eastAsia"/>
                <w:color w:val="auto"/>
                <w:lang w:eastAsia="zh-CN"/>
              </w:rPr>
            </w:pPr>
          </w:p>
        </w:tc>
        <w:tc>
          <w:tcPr>
            <w:tcW w:w="2310" w:type="dxa"/>
            <w:vMerge w:val="continue"/>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eastAsia"/>
                <w:color w:val="auto"/>
                <w:lang w:val="en-US" w:eastAsia="zh-CN"/>
              </w:rPr>
            </w:pPr>
            <w:r>
              <w:rPr>
                <w:rFonts w:hint="eastAsia"/>
                <w:color w:val="auto"/>
                <w:lang w:val="en-US" w:eastAsia="zh-CN"/>
              </w:rPr>
              <w:t>试验清洗废水</w:t>
            </w:r>
          </w:p>
        </w:tc>
        <w:tc>
          <w:tcPr>
            <w:tcW w:w="1108" w:type="dxa"/>
            <w:vAlign w:val="center"/>
          </w:tcPr>
          <w:p>
            <w:pPr>
              <w:pStyle w:val="28"/>
              <w:bidi w:val="0"/>
              <w:rPr>
                <w:rFonts w:hint="eastAsia"/>
                <w:color w:val="auto"/>
                <w:lang w:val="en-US" w:eastAsia="zh-CN"/>
              </w:rPr>
            </w:pPr>
            <w:r>
              <w:rPr>
                <w:rFonts w:hint="eastAsia"/>
                <w:color w:val="auto"/>
                <w:lang w:val="en-US" w:eastAsia="zh-CN"/>
              </w:rPr>
              <w:t>COD、SS</w:t>
            </w:r>
          </w:p>
        </w:tc>
        <w:tc>
          <w:tcPr>
            <w:tcW w:w="3256" w:type="dxa"/>
            <w:vMerge w:val="continue"/>
            <w:vAlign w:val="center"/>
          </w:tcPr>
          <w:p>
            <w:pPr>
              <w:pStyle w:val="28"/>
              <w:bidi w:val="0"/>
              <w:rPr>
                <w:rFonts w:hint="eastAsia"/>
                <w:color w:val="auto"/>
                <w:lang w:eastAsia="zh-CN"/>
              </w:rPr>
            </w:pPr>
          </w:p>
        </w:tc>
        <w:tc>
          <w:tcPr>
            <w:tcW w:w="2310" w:type="dxa"/>
            <w:vMerge w:val="continue"/>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default"/>
                <w:color w:val="auto"/>
                <w:lang w:val="en-US" w:eastAsia="zh-CN"/>
              </w:rPr>
            </w:pPr>
            <w:r>
              <w:rPr>
                <w:rFonts w:hint="eastAsia"/>
                <w:color w:val="auto"/>
                <w:lang w:val="en-US" w:eastAsia="zh-CN"/>
              </w:rPr>
              <w:t>生产区初期雨水</w:t>
            </w:r>
          </w:p>
        </w:tc>
        <w:tc>
          <w:tcPr>
            <w:tcW w:w="1108" w:type="dxa"/>
            <w:vAlign w:val="center"/>
          </w:tcPr>
          <w:p>
            <w:pPr>
              <w:pStyle w:val="28"/>
              <w:bidi w:val="0"/>
              <w:rPr>
                <w:rFonts w:hint="eastAsia"/>
                <w:color w:val="auto"/>
                <w:lang w:val="en-US" w:eastAsia="zh-CN"/>
              </w:rPr>
            </w:pPr>
            <w:r>
              <w:rPr>
                <w:rFonts w:hint="default"/>
                <w:color w:val="auto"/>
              </w:rPr>
              <w:t>COD、</w:t>
            </w:r>
            <w:r>
              <w:rPr>
                <w:rFonts w:hint="eastAsia"/>
                <w:color w:val="auto"/>
                <w:lang w:val="en-US" w:eastAsia="zh-CN"/>
              </w:rPr>
              <w:t>SS</w:t>
            </w:r>
          </w:p>
        </w:tc>
        <w:tc>
          <w:tcPr>
            <w:tcW w:w="3256" w:type="dxa"/>
            <w:vAlign w:val="center"/>
          </w:tcPr>
          <w:p>
            <w:pPr>
              <w:pStyle w:val="28"/>
              <w:bidi w:val="0"/>
              <w:rPr>
                <w:rFonts w:hint="default"/>
                <w:color w:val="auto"/>
                <w:lang w:val="en-US" w:eastAsia="zh-CN"/>
              </w:rPr>
            </w:pPr>
            <w:r>
              <w:rPr>
                <w:rFonts w:hint="eastAsia" w:ascii="Times New Roman" w:hAnsi="Times New Roman" w:eastAsia="宋体" w:cs="Times New Roman"/>
                <w:color w:val="auto"/>
                <w:sz w:val="21"/>
                <w:szCs w:val="21"/>
                <w:highlight w:val="none"/>
                <w:lang w:val="en-US" w:eastAsia="zh-CN"/>
              </w:rPr>
              <w:t>经生产区四周排水沟渠收集进入雨水收集池暂存，分批</w:t>
            </w:r>
            <w:r>
              <w:rPr>
                <w:rFonts w:hint="eastAsia" w:cs="Times New Roman"/>
                <w:color w:val="auto"/>
                <w:sz w:val="21"/>
                <w:szCs w:val="21"/>
                <w:highlight w:val="none"/>
                <w:lang w:val="en-US" w:eastAsia="zh-CN"/>
              </w:rPr>
              <w:t>引至</w:t>
            </w:r>
            <w:r>
              <w:rPr>
                <w:rFonts w:hint="eastAsia"/>
                <w:color w:val="auto"/>
                <w:lang w:val="en-US" w:eastAsia="zh-CN"/>
              </w:rPr>
              <w:t>斜坡沉淀池</w:t>
            </w:r>
            <w:r>
              <w:rPr>
                <w:rFonts w:hint="eastAsia" w:ascii="Times New Roman" w:hAnsi="Times New Roman" w:eastAsia="宋体" w:cs="Times New Roman"/>
                <w:color w:val="auto"/>
                <w:sz w:val="21"/>
                <w:szCs w:val="21"/>
                <w:highlight w:val="none"/>
                <w:lang w:val="en-US" w:eastAsia="zh-CN"/>
              </w:rPr>
              <w:t>处理后，全部回用，不外排</w:t>
            </w:r>
          </w:p>
        </w:tc>
        <w:tc>
          <w:tcPr>
            <w:tcW w:w="2310" w:type="dxa"/>
            <w:vMerge w:val="continue"/>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default"/>
                <w:color w:val="auto"/>
                <w:lang w:val="en-US" w:eastAsia="zh-CN"/>
              </w:rPr>
            </w:pPr>
            <w:r>
              <w:rPr>
                <w:rFonts w:hint="eastAsia"/>
                <w:color w:val="auto"/>
                <w:lang w:val="en-US" w:eastAsia="zh-CN"/>
              </w:rPr>
              <w:t>洗砂废水</w:t>
            </w:r>
          </w:p>
        </w:tc>
        <w:tc>
          <w:tcPr>
            <w:tcW w:w="1108" w:type="dxa"/>
            <w:vAlign w:val="center"/>
          </w:tcPr>
          <w:p>
            <w:pPr>
              <w:pStyle w:val="28"/>
              <w:bidi w:val="0"/>
              <w:rPr>
                <w:rFonts w:hint="default"/>
                <w:color w:val="auto"/>
              </w:rPr>
            </w:pPr>
            <w:r>
              <w:rPr>
                <w:rFonts w:hint="default"/>
                <w:color w:val="auto"/>
              </w:rPr>
              <w:t>COD、</w:t>
            </w:r>
            <w:r>
              <w:rPr>
                <w:rFonts w:hint="eastAsia"/>
                <w:color w:val="auto"/>
                <w:lang w:val="en-US" w:eastAsia="zh-CN"/>
              </w:rPr>
              <w:t>SS</w:t>
            </w:r>
          </w:p>
        </w:tc>
        <w:tc>
          <w:tcPr>
            <w:tcW w:w="3256" w:type="dxa"/>
            <w:vAlign w:val="center"/>
          </w:tcPr>
          <w:p>
            <w:pPr>
              <w:pStyle w:val="28"/>
              <w:bidi w:val="0"/>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经3#物料库设置的加药、沉淀及压滤系统处理后，出水全部回用于洗砂工序，不外排，定期补充新鲜水</w:t>
            </w:r>
          </w:p>
        </w:tc>
        <w:tc>
          <w:tcPr>
            <w:tcW w:w="2310" w:type="dxa"/>
            <w:vMerge w:val="continue"/>
            <w:vAlign w:val="center"/>
          </w:tcPr>
          <w:p>
            <w:pPr>
              <w:pStyle w:val="28"/>
              <w:bidi w:val="0"/>
              <w:rPr>
                <w:rFonts w:hint="default"/>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Merge w:val="continue"/>
            <w:vAlign w:val="center"/>
          </w:tcPr>
          <w:p>
            <w:pPr>
              <w:pStyle w:val="28"/>
              <w:bidi w:val="0"/>
              <w:rPr>
                <w:rFonts w:hint="default"/>
                <w:color w:val="auto"/>
              </w:rPr>
            </w:pPr>
          </w:p>
        </w:tc>
        <w:tc>
          <w:tcPr>
            <w:tcW w:w="1066" w:type="dxa"/>
            <w:vAlign w:val="center"/>
          </w:tcPr>
          <w:p>
            <w:pPr>
              <w:pStyle w:val="28"/>
              <w:bidi w:val="0"/>
              <w:rPr>
                <w:rFonts w:hint="default"/>
                <w:color w:val="auto"/>
                <w:lang w:val="en-US" w:eastAsia="zh-CN"/>
              </w:rPr>
            </w:pPr>
            <w:r>
              <w:rPr>
                <w:rFonts w:hint="eastAsia"/>
                <w:color w:val="auto"/>
                <w:lang w:val="en-US" w:eastAsia="zh-CN"/>
              </w:rPr>
              <w:t>生活污水</w:t>
            </w:r>
          </w:p>
        </w:tc>
        <w:tc>
          <w:tcPr>
            <w:tcW w:w="1108" w:type="dxa"/>
            <w:vAlign w:val="center"/>
          </w:tcPr>
          <w:p>
            <w:pPr>
              <w:pStyle w:val="28"/>
              <w:bidi w:val="0"/>
              <w:rPr>
                <w:rFonts w:hint="default"/>
                <w:color w:val="auto"/>
                <w:lang w:val="en-US"/>
              </w:rPr>
            </w:pPr>
            <w:r>
              <w:rPr>
                <w:rFonts w:hint="default"/>
                <w:color w:val="auto"/>
              </w:rPr>
              <w:t>COD、BOD</w:t>
            </w:r>
            <w:r>
              <w:rPr>
                <w:rFonts w:hint="default"/>
                <w:color w:val="auto"/>
                <w:vertAlign w:val="subscript"/>
              </w:rPr>
              <w:t>5</w:t>
            </w:r>
            <w:r>
              <w:rPr>
                <w:rFonts w:hint="eastAsia"/>
                <w:color w:val="auto"/>
                <w:lang w:eastAsia="zh-CN"/>
              </w:rPr>
              <w:t>、</w:t>
            </w:r>
            <w:r>
              <w:rPr>
                <w:rFonts w:hint="eastAsia"/>
                <w:color w:val="auto"/>
                <w:lang w:val="en-US" w:eastAsia="zh-CN"/>
              </w:rPr>
              <w:t>SS</w:t>
            </w:r>
            <w:r>
              <w:rPr>
                <w:rFonts w:hint="default"/>
                <w:color w:val="auto"/>
              </w:rPr>
              <w:t>、</w:t>
            </w:r>
            <w:r>
              <w:rPr>
                <w:rFonts w:hint="eastAsia"/>
                <w:color w:val="auto"/>
                <w:lang w:val="en-US" w:eastAsia="zh-CN"/>
              </w:rPr>
              <w:t>NH</w:t>
            </w:r>
            <w:r>
              <w:rPr>
                <w:rFonts w:hint="eastAsia"/>
                <w:color w:val="auto"/>
                <w:vertAlign w:val="subscript"/>
                <w:lang w:val="en-US" w:eastAsia="zh-CN"/>
              </w:rPr>
              <w:t>3</w:t>
            </w:r>
            <w:r>
              <w:rPr>
                <w:rFonts w:hint="eastAsia"/>
                <w:color w:val="auto"/>
                <w:lang w:val="en-US" w:eastAsia="zh-CN"/>
              </w:rPr>
              <w:t>-N、</w:t>
            </w:r>
          </w:p>
        </w:tc>
        <w:tc>
          <w:tcPr>
            <w:tcW w:w="3256" w:type="dxa"/>
            <w:vAlign w:val="center"/>
          </w:tcPr>
          <w:p>
            <w:pPr>
              <w:pStyle w:val="28"/>
              <w:bidi w:val="0"/>
              <w:rPr>
                <w:rFonts w:hint="default"/>
                <w:color w:val="auto"/>
                <w:lang w:val="en-US" w:eastAsia="zh-CN"/>
              </w:rPr>
            </w:pPr>
            <w:r>
              <w:rPr>
                <w:rFonts w:hint="default"/>
                <w:color w:val="auto"/>
                <w:highlight w:val="none"/>
                <w:lang w:val="en-US" w:eastAsia="zh-CN"/>
              </w:rPr>
              <w:t>化粪池</w:t>
            </w:r>
            <w:r>
              <w:rPr>
                <w:rFonts w:hint="eastAsia"/>
                <w:color w:val="auto"/>
                <w:highlight w:val="none"/>
                <w:lang w:val="en-US" w:eastAsia="zh-CN"/>
              </w:rPr>
              <w:t>（100t）+一体化污水处理设施（生物滤池法，7.5t/d）</w:t>
            </w:r>
            <w:r>
              <w:rPr>
                <w:rFonts w:hint="default"/>
                <w:color w:val="auto"/>
                <w:highlight w:val="none"/>
                <w:lang w:val="en-US" w:eastAsia="zh-CN"/>
              </w:rPr>
              <w:t>处理，</w:t>
            </w:r>
            <w:r>
              <w:rPr>
                <w:rFonts w:hint="eastAsia"/>
                <w:color w:val="auto"/>
                <w:highlight w:val="none"/>
                <w:lang w:val="en-US" w:eastAsia="zh-CN"/>
              </w:rPr>
              <w:t>项目近期</w:t>
            </w:r>
            <w:r>
              <w:rPr>
                <w:rFonts w:hint="default"/>
                <w:color w:val="auto"/>
                <w:highlight w:val="none"/>
                <w:lang w:val="en-US" w:eastAsia="zh-CN"/>
              </w:rPr>
              <w:t>出</w:t>
            </w:r>
            <w:r>
              <w:rPr>
                <w:rFonts w:hint="default"/>
                <w:color w:val="auto"/>
                <w:lang w:val="en-US" w:eastAsia="zh-CN"/>
              </w:rPr>
              <w:t>水</w:t>
            </w:r>
            <w:r>
              <w:rPr>
                <w:rFonts w:hint="eastAsia"/>
                <w:color w:val="auto"/>
                <w:lang w:val="en-US" w:eastAsia="zh-CN"/>
              </w:rPr>
              <w:t>达到</w:t>
            </w:r>
            <w:r>
              <w:rPr>
                <w:rFonts w:hint="eastAsia"/>
                <w:color w:val="auto"/>
                <w:lang w:val="en-GB" w:eastAsia="zh-CN"/>
              </w:rPr>
              <w:t>《城市污水再生利用 绿地灌溉水质》（GB/T25499-2010）</w:t>
            </w:r>
            <w:r>
              <w:rPr>
                <w:rFonts w:hint="eastAsia"/>
                <w:color w:val="auto"/>
                <w:lang w:val="en-US" w:eastAsia="zh-CN"/>
              </w:rPr>
              <w:t>后回用于本项目厂区绿化灌溉，远期待项目周边市政污水管网及相关配套设施建成后，统一接入当地市政污水处理系统排放处理，远期生活污水出水达到《污水综合排放标准》（GB8978-1996）表4中相关指标二级标准。</w:t>
            </w:r>
          </w:p>
        </w:tc>
        <w:tc>
          <w:tcPr>
            <w:tcW w:w="2310" w:type="dxa"/>
            <w:vAlign w:val="center"/>
          </w:tcPr>
          <w:p>
            <w:pPr>
              <w:pStyle w:val="28"/>
              <w:bidi w:val="0"/>
              <w:rPr>
                <w:rFonts w:hint="default"/>
                <w:color w:val="auto"/>
                <w:lang w:val="en-US" w:eastAsia="zh-CN"/>
              </w:rPr>
            </w:pPr>
            <w:r>
              <w:rPr>
                <w:rFonts w:hint="eastAsia"/>
                <w:color w:val="auto"/>
                <w:lang w:val="en-US" w:eastAsia="zh-CN"/>
              </w:rPr>
              <w:t>落实处理及回用情况，远期生活污水排放执行《污水综合排放标准》（GB8978-1996）表4中三级标准。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09" w:hRule="atLeast"/>
          <w:jc w:val="center"/>
        </w:trPr>
        <w:tc>
          <w:tcPr>
            <w:tcW w:w="1060" w:type="dxa"/>
            <w:vAlign w:val="center"/>
          </w:tcPr>
          <w:p>
            <w:pPr>
              <w:pStyle w:val="28"/>
              <w:bidi w:val="0"/>
              <w:rPr>
                <w:rFonts w:hint="default"/>
                <w:color w:val="auto"/>
              </w:rPr>
            </w:pPr>
            <w:r>
              <w:rPr>
                <w:rFonts w:hint="default"/>
                <w:color w:val="auto"/>
              </w:rPr>
              <w:t>声环境</w:t>
            </w:r>
          </w:p>
        </w:tc>
        <w:tc>
          <w:tcPr>
            <w:tcW w:w="1066" w:type="dxa"/>
            <w:vAlign w:val="center"/>
          </w:tcPr>
          <w:p>
            <w:pPr>
              <w:pStyle w:val="28"/>
              <w:bidi w:val="0"/>
              <w:rPr>
                <w:rFonts w:hint="default"/>
                <w:color w:val="auto"/>
                <w:lang w:val="en-US" w:eastAsia="zh-CN"/>
              </w:rPr>
            </w:pPr>
            <w:r>
              <w:rPr>
                <w:rFonts w:hint="default"/>
                <w:color w:val="auto"/>
              </w:rPr>
              <w:t>厂界四周</w:t>
            </w:r>
            <w:r>
              <w:rPr>
                <w:rFonts w:hint="eastAsia"/>
                <w:color w:val="auto"/>
                <w:lang w:eastAsia="zh-CN"/>
              </w:rPr>
              <w:t>外</w:t>
            </w:r>
            <w:r>
              <w:rPr>
                <w:rFonts w:hint="eastAsia"/>
                <w:color w:val="auto"/>
                <w:lang w:val="en-US" w:eastAsia="zh-CN"/>
              </w:rPr>
              <w:t>1m</w:t>
            </w:r>
          </w:p>
        </w:tc>
        <w:tc>
          <w:tcPr>
            <w:tcW w:w="1108" w:type="dxa"/>
            <w:vAlign w:val="center"/>
          </w:tcPr>
          <w:p>
            <w:pPr>
              <w:pStyle w:val="28"/>
              <w:bidi w:val="0"/>
              <w:rPr>
                <w:rFonts w:hint="default"/>
                <w:color w:val="auto"/>
              </w:rPr>
            </w:pPr>
            <w:r>
              <w:rPr>
                <w:rFonts w:hint="default"/>
                <w:color w:val="auto"/>
              </w:rPr>
              <w:t>等效A</w:t>
            </w:r>
          </w:p>
          <w:p>
            <w:pPr>
              <w:pStyle w:val="28"/>
              <w:bidi w:val="0"/>
              <w:rPr>
                <w:rFonts w:hint="default"/>
                <w:color w:val="auto"/>
              </w:rPr>
            </w:pPr>
            <w:r>
              <w:rPr>
                <w:rFonts w:hint="default"/>
                <w:color w:val="auto"/>
              </w:rPr>
              <w:t>声级</w:t>
            </w:r>
          </w:p>
        </w:tc>
        <w:tc>
          <w:tcPr>
            <w:tcW w:w="3256" w:type="dxa"/>
            <w:vAlign w:val="center"/>
          </w:tcPr>
          <w:p>
            <w:pPr>
              <w:pStyle w:val="28"/>
              <w:bidi w:val="0"/>
              <w:rPr>
                <w:rFonts w:hint="default"/>
                <w:color w:val="auto"/>
              </w:rPr>
            </w:pPr>
            <w:r>
              <w:rPr>
                <w:rFonts w:hint="default"/>
                <w:color w:val="auto"/>
                <w:lang w:val="en-GB" w:eastAsia="zh-CN"/>
              </w:rPr>
              <w:t>选用低噪声设备，加强设备维护，</w:t>
            </w:r>
            <w:r>
              <w:rPr>
                <w:rFonts w:hint="default"/>
                <w:color w:val="auto"/>
                <w:lang w:val="en-GB"/>
              </w:rPr>
              <w:t>高噪声设备设置基础减振、隔声等措施</w:t>
            </w:r>
          </w:p>
        </w:tc>
        <w:tc>
          <w:tcPr>
            <w:tcW w:w="2310" w:type="dxa"/>
            <w:vAlign w:val="center"/>
          </w:tcPr>
          <w:p>
            <w:pPr>
              <w:pStyle w:val="28"/>
              <w:bidi w:val="0"/>
              <w:rPr>
                <w:rFonts w:hint="default"/>
                <w:color w:val="auto"/>
                <w:lang w:val="en-US" w:eastAsia="zh-CN"/>
              </w:rPr>
            </w:pPr>
            <w:r>
              <w:rPr>
                <w:rFonts w:hint="eastAsia"/>
                <w:color w:val="auto"/>
                <w:lang w:eastAsia="zh-CN"/>
              </w:rPr>
              <w:t>厂</w:t>
            </w:r>
            <w:r>
              <w:rPr>
                <w:rFonts w:hint="eastAsia"/>
                <w:color w:val="auto"/>
                <w:highlight w:val="none"/>
                <w:lang w:eastAsia="zh-CN"/>
              </w:rPr>
              <w:t>界</w:t>
            </w:r>
            <w:r>
              <w:rPr>
                <w:rFonts w:hint="eastAsia"/>
                <w:color w:val="auto"/>
                <w:highlight w:val="none"/>
                <w:lang w:val="en-US" w:eastAsia="zh-CN"/>
              </w:rPr>
              <w:t>噪声执行</w:t>
            </w:r>
            <w:r>
              <w:rPr>
                <w:rFonts w:hint="default"/>
                <w:color w:val="auto"/>
                <w:highlight w:val="none"/>
              </w:rPr>
              <w:t>《工业企业厂界环境噪声排放标准》(GB12348-2008)中</w:t>
            </w:r>
            <w:r>
              <w:rPr>
                <w:rFonts w:hint="eastAsia"/>
                <w:color w:val="auto"/>
                <w:highlight w:val="none"/>
                <w:lang w:val="en-US" w:eastAsia="zh-CN"/>
              </w:rPr>
              <w:t>2</w:t>
            </w:r>
            <w:r>
              <w:rPr>
                <w:rFonts w:hint="default"/>
                <w:color w:val="auto"/>
                <w:highlight w:val="none"/>
                <w:lang w:val="en-US" w:eastAsia="zh-CN"/>
              </w:rPr>
              <w:t>类标准</w:t>
            </w:r>
            <w:r>
              <w:rPr>
                <w:rFonts w:hint="default"/>
                <w:color w:val="auto"/>
                <w:highlight w:val="none"/>
              </w:rPr>
              <w:t>(昼间≤</w:t>
            </w:r>
            <w:r>
              <w:rPr>
                <w:rFonts w:hint="eastAsia"/>
                <w:color w:val="auto"/>
                <w:highlight w:val="none"/>
                <w:lang w:val="en-US" w:eastAsia="zh-CN"/>
              </w:rPr>
              <w:t>60</w:t>
            </w:r>
            <w:r>
              <w:rPr>
                <w:rFonts w:hint="default"/>
                <w:color w:val="auto"/>
                <w:highlight w:val="none"/>
              </w:rPr>
              <w:t>dB(A)</w:t>
            </w:r>
            <w:r>
              <w:rPr>
                <w:rFonts w:hint="eastAsia"/>
                <w:color w:val="auto"/>
                <w:highlight w:val="none"/>
                <w:lang w:val="en-US" w:eastAsia="zh-CN"/>
              </w:rPr>
              <w:t>)，夜间不生产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Align w:val="center"/>
          </w:tcPr>
          <w:p>
            <w:pPr>
              <w:pStyle w:val="28"/>
              <w:bidi w:val="0"/>
              <w:rPr>
                <w:rFonts w:hint="default"/>
                <w:color w:val="auto"/>
              </w:rPr>
            </w:pPr>
            <w:r>
              <w:rPr>
                <w:rFonts w:hint="default"/>
                <w:color w:val="auto"/>
              </w:rPr>
              <w:t>电磁辐射</w:t>
            </w:r>
          </w:p>
        </w:tc>
        <w:tc>
          <w:tcPr>
            <w:tcW w:w="1066" w:type="dxa"/>
            <w:vAlign w:val="center"/>
          </w:tcPr>
          <w:p>
            <w:pPr>
              <w:pStyle w:val="28"/>
              <w:bidi w:val="0"/>
              <w:rPr>
                <w:rFonts w:hint="default"/>
                <w:color w:val="auto"/>
                <w:lang w:val="en-US" w:eastAsia="zh-CN"/>
              </w:rPr>
            </w:pPr>
            <w:r>
              <w:rPr>
                <w:rFonts w:hint="default"/>
                <w:color w:val="auto"/>
              </w:rPr>
              <w:t>/</w:t>
            </w:r>
          </w:p>
        </w:tc>
        <w:tc>
          <w:tcPr>
            <w:tcW w:w="1108" w:type="dxa"/>
            <w:vAlign w:val="center"/>
          </w:tcPr>
          <w:p>
            <w:pPr>
              <w:pStyle w:val="28"/>
              <w:bidi w:val="0"/>
              <w:rPr>
                <w:rFonts w:hint="default"/>
                <w:color w:val="auto"/>
                <w:lang w:val="en-US" w:eastAsia="zh-CN"/>
              </w:rPr>
            </w:pPr>
            <w:r>
              <w:rPr>
                <w:rFonts w:hint="default"/>
                <w:color w:val="auto"/>
              </w:rPr>
              <w:t>/</w:t>
            </w:r>
          </w:p>
        </w:tc>
        <w:tc>
          <w:tcPr>
            <w:tcW w:w="3256" w:type="dxa"/>
            <w:vAlign w:val="center"/>
          </w:tcPr>
          <w:p>
            <w:pPr>
              <w:pStyle w:val="28"/>
              <w:bidi w:val="0"/>
              <w:rPr>
                <w:rFonts w:hint="default"/>
                <w:color w:val="auto"/>
                <w:lang w:val="en-US" w:eastAsia="zh-CN"/>
              </w:rPr>
            </w:pPr>
            <w:r>
              <w:rPr>
                <w:rFonts w:hint="default"/>
                <w:color w:val="auto"/>
              </w:rPr>
              <w:t>/</w:t>
            </w:r>
          </w:p>
        </w:tc>
        <w:tc>
          <w:tcPr>
            <w:tcW w:w="2310" w:type="dxa"/>
            <w:vAlign w:val="center"/>
          </w:tcPr>
          <w:p>
            <w:pPr>
              <w:pStyle w:val="28"/>
              <w:bidi w:val="0"/>
              <w:rPr>
                <w:rFonts w:hint="default"/>
                <w:color w:val="auto"/>
                <w:lang w:val="en-US" w:eastAsia="zh-CN"/>
              </w:rPr>
            </w:pPr>
            <w:r>
              <w:rPr>
                <w:rFonts w:hint="default"/>
                <w:color w:val="auto"/>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Align w:val="center"/>
          </w:tcPr>
          <w:p>
            <w:pPr>
              <w:pStyle w:val="28"/>
              <w:bidi w:val="0"/>
              <w:rPr>
                <w:rFonts w:hint="default"/>
                <w:color w:val="auto"/>
              </w:rPr>
            </w:pPr>
            <w:r>
              <w:rPr>
                <w:rFonts w:hint="default"/>
                <w:color w:val="auto"/>
              </w:rPr>
              <w:t>固体废物</w:t>
            </w:r>
          </w:p>
        </w:tc>
        <w:tc>
          <w:tcPr>
            <w:tcW w:w="7740" w:type="dxa"/>
            <w:gridSpan w:val="4"/>
            <w:vAlign w:val="center"/>
          </w:tcPr>
          <w:p>
            <w:pPr>
              <w:bidi w:val="0"/>
              <w:rPr>
                <w:rFonts w:hint="default"/>
                <w:color w:val="auto"/>
                <w:lang w:val="en-GB" w:eastAsia="zh-CN"/>
              </w:rPr>
            </w:pPr>
            <w:r>
              <w:rPr>
                <w:rFonts w:hint="default"/>
                <w:color w:val="auto"/>
                <w:lang w:val="en-GB" w:eastAsia="zh-CN"/>
              </w:rPr>
              <w:t>一般工业固废：</w:t>
            </w:r>
            <w:r>
              <w:rPr>
                <w:rFonts w:hint="eastAsia"/>
                <w:color w:val="auto"/>
                <w:lang w:val="en-US" w:eastAsia="zh-CN"/>
              </w:rPr>
              <w:t>废混凝土、工艺收集尘、废水处理沉渣及洗砂废水沉渣等经收集及时回用于生产；</w:t>
            </w:r>
            <w:r>
              <w:rPr>
                <w:rFonts w:hint="default"/>
                <w:color w:val="auto"/>
                <w:lang w:val="en-GB"/>
              </w:rPr>
              <w:t>设置一般工业固废暂存间，</w:t>
            </w:r>
            <w:r>
              <w:rPr>
                <w:rFonts w:hint="eastAsia"/>
                <w:color w:val="auto"/>
                <w:lang w:val="en-US" w:eastAsia="zh-CN"/>
              </w:rPr>
              <w:t>废钢材、不合格品</w:t>
            </w:r>
            <w:r>
              <w:rPr>
                <w:rFonts w:hint="eastAsia"/>
                <w:color w:val="auto"/>
                <w:lang w:val="en-GB" w:eastAsia="zh-CN"/>
              </w:rPr>
              <w:t>等一般工业固废</w:t>
            </w:r>
            <w:r>
              <w:rPr>
                <w:rFonts w:hint="eastAsia"/>
                <w:color w:val="auto"/>
                <w:lang w:val="en-US" w:eastAsia="zh-CN"/>
              </w:rPr>
              <w:t>经分类收集暂存后，交由合规单位回收综合利用</w:t>
            </w:r>
            <w:r>
              <w:rPr>
                <w:rFonts w:hint="default"/>
                <w:color w:val="auto"/>
                <w:lang w:val="en-GB" w:eastAsia="zh-CN"/>
              </w:rPr>
              <w:t>；一般工业固废</w:t>
            </w:r>
            <w:r>
              <w:rPr>
                <w:rFonts w:hint="eastAsia"/>
                <w:color w:val="auto"/>
                <w:lang w:val="en-US" w:eastAsia="zh-CN"/>
              </w:rPr>
              <w:t>应符合</w:t>
            </w:r>
            <w:r>
              <w:rPr>
                <w:rFonts w:hint="eastAsia"/>
                <w:color w:val="auto"/>
                <w:lang w:val="en-GB"/>
              </w:rPr>
              <w:t>《一般工业固体废物贮存和填埋污染控制标准》</w:t>
            </w:r>
            <w:r>
              <w:rPr>
                <w:rFonts w:hint="eastAsia"/>
                <w:color w:val="auto"/>
              </w:rPr>
              <w:t>(</w:t>
            </w:r>
            <w:r>
              <w:rPr>
                <w:rFonts w:hint="eastAsia"/>
                <w:color w:val="auto"/>
                <w:lang w:val="en-GB"/>
              </w:rPr>
              <w:t>GB 18599-2020</w:t>
            </w:r>
            <w:r>
              <w:rPr>
                <w:rFonts w:hint="eastAsia"/>
                <w:color w:val="auto"/>
              </w:rPr>
              <w:t>)</w:t>
            </w:r>
            <w:r>
              <w:rPr>
                <w:color w:val="auto"/>
                <w:lang w:val="en-GB"/>
              </w:rPr>
              <w:t>的相关要求</w:t>
            </w:r>
            <w:r>
              <w:rPr>
                <w:rFonts w:hint="default"/>
                <w:color w:val="auto"/>
                <w:lang w:val="en-GB" w:eastAsia="zh-CN"/>
              </w:rPr>
              <w:t>；</w:t>
            </w:r>
          </w:p>
          <w:p>
            <w:pPr>
              <w:bidi w:val="0"/>
              <w:rPr>
                <w:rFonts w:hint="default"/>
                <w:color w:val="auto"/>
                <w:lang w:val="en-US" w:eastAsia="zh-CN"/>
              </w:rPr>
            </w:pPr>
            <w:r>
              <w:rPr>
                <w:rFonts w:hint="default"/>
                <w:color w:val="auto"/>
                <w:lang w:eastAsia="zh-CN"/>
              </w:rPr>
              <w:t>危险废物：设置</w:t>
            </w:r>
            <w:r>
              <w:rPr>
                <w:rFonts w:hint="default"/>
                <w:color w:val="auto"/>
              </w:rPr>
              <w:t>危险废物</w:t>
            </w:r>
            <w:r>
              <w:rPr>
                <w:rFonts w:hint="eastAsia"/>
                <w:color w:val="auto"/>
                <w:lang w:eastAsia="zh-CN"/>
              </w:rPr>
              <w:t>贮存库</w:t>
            </w:r>
            <w:r>
              <w:rPr>
                <w:rFonts w:hint="default"/>
                <w:color w:val="auto"/>
              </w:rPr>
              <w:t>，</w:t>
            </w:r>
            <w:r>
              <w:rPr>
                <w:rFonts w:hint="eastAsia"/>
                <w:color w:val="auto"/>
                <w:lang w:eastAsia="zh-CN"/>
              </w:rPr>
              <w:t>废</w:t>
            </w:r>
            <w:r>
              <w:rPr>
                <w:rFonts w:hint="eastAsia"/>
                <w:color w:val="auto"/>
                <w:lang w:val="en-US" w:eastAsia="zh-CN"/>
              </w:rPr>
              <w:t>机油、废油桶、废吸油毡等危险废物经</w:t>
            </w:r>
            <w:r>
              <w:rPr>
                <w:rFonts w:hint="default"/>
                <w:color w:val="auto"/>
                <w:lang w:val="en-GB"/>
              </w:rPr>
              <w:t>妥善收集</w:t>
            </w:r>
            <w:r>
              <w:rPr>
                <w:rFonts w:hint="eastAsia"/>
                <w:color w:val="auto"/>
                <w:lang w:val="en-GB" w:eastAsia="zh-CN"/>
              </w:rPr>
              <w:t>，</w:t>
            </w:r>
            <w:r>
              <w:rPr>
                <w:rFonts w:hint="eastAsia"/>
                <w:color w:val="auto"/>
                <w:lang w:val="en-US" w:eastAsia="zh-CN"/>
              </w:rPr>
              <w:t>在危险废物贮存库内分类分区暂存，</w:t>
            </w:r>
            <w:r>
              <w:rPr>
                <w:rFonts w:hint="default"/>
                <w:color w:val="auto"/>
              </w:rPr>
              <w:t>定期委托有资质的单位进行处置</w:t>
            </w:r>
            <w:r>
              <w:rPr>
                <w:rFonts w:hint="eastAsia"/>
                <w:color w:val="auto"/>
                <w:lang w:eastAsia="zh-CN"/>
              </w:rPr>
              <w:t>，</w:t>
            </w:r>
            <w:r>
              <w:rPr>
                <w:rFonts w:hint="default"/>
                <w:color w:val="auto"/>
              </w:rPr>
              <w:t>危险废物</w:t>
            </w:r>
            <w:r>
              <w:rPr>
                <w:rFonts w:hint="eastAsia"/>
                <w:color w:val="auto"/>
                <w:lang w:eastAsia="zh-CN"/>
              </w:rPr>
              <w:t>贮存库</w:t>
            </w:r>
            <w:r>
              <w:rPr>
                <w:rFonts w:hint="eastAsia"/>
                <w:color w:val="auto"/>
                <w:lang w:val="en-US" w:eastAsia="zh-CN"/>
              </w:rPr>
              <w:t>应符合</w:t>
            </w:r>
            <w:r>
              <w:rPr>
                <w:rFonts w:hint="default"/>
                <w:color w:val="auto"/>
                <w:lang w:val="en-GB"/>
              </w:rPr>
              <w:t>《危险废物贮存污染控制标准》(GB 18597-20</w:t>
            </w:r>
            <w:r>
              <w:rPr>
                <w:rFonts w:hint="eastAsia"/>
                <w:color w:val="auto"/>
                <w:lang w:val="en-US" w:eastAsia="zh-CN"/>
              </w:rPr>
              <w:t>23</w:t>
            </w:r>
            <w:r>
              <w:rPr>
                <w:rFonts w:hint="default"/>
                <w:color w:val="auto"/>
                <w:lang w:val="en-GB"/>
              </w:rPr>
              <w:t>)要求</w:t>
            </w:r>
            <w:r>
              <w:rPr>
                <w:rFonts w:hint="default"/>
                <w:color w:val="auto"/>
                <w:lang w:val="en-GB" w:eastAsia="zh-CN"/>
              </w:rPr>
              <w:t>；</w:t>
            </w:r>
            <w:r>
              <w:rPr>
                <w:rFonts w:hint="eastAsia"/>
                <w:color w:val="auto"/>
                <w:lang w:val="en-US" w:eastAsia="zh-CN"/>
              </w:rPr>
              <w:t>含油废抹布及手套混入生活垃圾，由当地环卫部门统一清运处理。</w:t>
            </w:r>
          </w:p>
          <w:p>
            <w:pPr>
              <w:bidi w:val="0"/>
              <w:rPr>
                <w:rFonts w:hint="eastAsia"/>
                <w:color w:val="auto"/>
                <w:lang w:eastAsia="zh-CN"/>
              </w:rPr>
            </w:pPr>
            <w:r>
              <w:rPr>
                <w:rFonts w:hint="default"/>
                <w:color w:val="auto"/>
                <w:lang w:eastAsia="zh-CN"/>
              </w:rPr>
              <w:t>生活垃圾：</w:t>
            </w:r>
            <w:r>
              <w:rPr>
                <w:rFonts w:hint="default"/>
                <w:color w:val="auto"/>
              </w:rPr>
              <w:t>由垃圾桶收集，由</w:t>
            </w:r>
            <w:r>
              <w:rPr>
                <w:rFonts w:hint="eastAsia"/>
                <w:color w:val="auto"/>
                <w:lang w:val="en-US" w:eastAsia="zh-CN"/>
              </w:rPr>
              <w:t>当地</w:t>
            </w:r>
            <w:r>
              <w:rPr>
                <w:rFonts w:hint="default"/>
                <w:color w:val="auto"/>
              </w:rPr>
              <w:t>环卫部门统一清运处理</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Align w:val="center"/>
          </w:tcPr>
          <w:p>
            <w:pPr>
              <w:pStyle w:val="28"/>
              <w:bidi w:val="0"/>
              <w:rPr>
                <w:rFonts w:hint="default"/>
                <w:color w:val="auto"/>
              </w:rPr>
            </w:pPr>
            <w:r>
              <w:rPr>
                <w:rFonts w:hint="default"/>
                <w:color w:val="auto"/>
              </w:rPr>
              <w:t>土壤及地下水污染防治措施</w:t>
            </w:r>
          </w:p>
        </w:tc>
        <w:tc>
          <w:tcPr>
            <w:tcW w:w="7740" w:type="dxa"/>
            <w:gridSpan w:val="4"/>
            <w:vAlign w:val="center"/>
          </w:tcPr>
          <w:p>
            <w:pPr>
              <w:bidi w:val="0"/>
              <w:rPr>
                <w:rFonts w:hint="eastAsia" w:eastAsia="宋体"/>
                <w:color w:val="auto"/>
                <w:lang w:eastAsia="zh-CN"/>
              </w:rPr>
            </w:pPr>
            <w:r>
              <w:rPr>
                <w:rFonts w:hint="default"/>
                <w:color w:val="auto"/>
              </w:rPr>
              <w:t>合理进行防渗区域划分</w:t>
            </w:r>
            <w:r>
              <w:rPr>
                <w:rFonts w:hint="default"/>
                <w:color w:val="auto"/>
                <w:lang w:eastAsia="zh-CN"/>
              </w:rPr>
              <w:t>，</w:t>
            </w:r>
            <w:r>
              <w:rPr>
                <w:rFonts w:hint="eastAsia"/>
                <w:color w:val="auto"/>
                <w:lang w:eastAsia="zh-CN"/>
              </w:rPr>
              <w:t>危险废物贮存库</w:t>
            </w:r>
            <w:r>
              <w:rPr>
                <w:rFonts w:hint="default"/>
                <w:color w:val="auto"/>
                <w:lang w:eastAsia="zh-CN"/>
              </w:rPr>
              <w:t>按</w:t>
            </w:r>
            <w:r>
              <w:rPr>
                <w:rFonts w:hint="default"/>
                <w:color w:val="auto"/>
              </w:rPr>
              <w:t>重点污染区防渗要求</w:t>
            </w:r>
            <w:r>
              <w:rPr>
                <w:rFonts w:hint="default"/>
                <w:color w:val="auto"/>
                <w:lang w:eastAsia="zh-CN"/>
              </w:rPr>
              <w:t>进行建设</w:t>
            </w:r>
            <w:r>
              <w:rPr>
                <w:rFonts w:hint="eastAsia"/>
                <w:color w:val="auto"/>
                <w:lang w:eastAsia="zh-CN"/>
              </w:rPr>
              <w:t>；</w:t>
            </w:r>
            <w:r>
              <w:rPr>
                <w:rFonts w:hint="default"/>
                <w:color w:val="auto"/>
                <w:lang w:eastAsia="zh-CN"/>
              </w:rPr>
              <w:t>一般工业固废间</w:t>
            </w:r>
            <w:r>
              <w:rPr>
                <w:rFonts w:hint="eastAsia"/>
                <w:color w:val="auto"/>
                <w:lang w:eastAsia="zh-CN"/>
              </w:rPr>
              <w:t>、</w:t>
            </w:r>
            <w:r>
              <w:rPr>
                <w:rFonts w:hint="eastAsia"/>
                <w:color w:val="auto"/>
                <w:lang w:val="en-US" w:eastAsia="zh-CN"/>
              </w:rPr>
              <w:t>搅拌楼、化粪池、一体化污水处理设施、生产废水处理系统、洗车废水沉淀池、雨水收集池</w:t>
            </w:r>
            <w:r>
              <w:rPr>
                <w:rFonts w:hint="default"/>
                <w:color w:val="auto"/>
                <w:lang w:eastAsia="zh-CN"/>
              </w:rPr>
              <w:t>等按</w:t>
            </w:r>
            <w:r>
              <w:rPr>
                <w:rFonts w:hint="default"/>
                <w:color w:val="auto"/>
              </w:rPr>
              <w:t>一般污染区防渗要求</w:t>
            </w:r>
            <w:r>
              <w:rPr>
                <w:rFonts w:hint="default"/>
                <w:color w:val="auto"/>
                <w:lang w:eastAsia="zh-CN"/>
              </w:rPr>
              <w:t>进行建设</w:t>
            </w:r>
            <w:r>
              <w:rPr>
                <w:rFonts w:hint="eastAsia"/>
                <w:color w:val="auto"/>
                <w:lang w:eastAsia="zh-CN"/>
              </w:rPr>
              <w:t>且</w:t>
            </w:r>
            <w:r>
              <w:rPr>
                <w:rFonts w:hint="default"/>
                <w:color w:val="auto"/>
              </w:rPr>
              <w:t>具有防雨、防渗、防风、防日晒</w:t>
            </w:r>
            <w:r>
              <w:rPr>
                <w:rFonts w:hint="default"/>
                <w:color w:val="auto"/>
                <w:lang w:eastAsia="zh-CN"/>
              </w:rPr>
              <w:t>等</w:t>
            </w:r>
            <w:r>
              <w:rPr>
                <w:rFonts w:hint="default"/>
                <w:color w:val="auto"/>
              </w:rPr>
              <w:t>功能</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60" w:type="dxa"/>
            <w:vAlign w:val="center"/>
          </w:tcPr>
          <w:p>
            <w:pPr>
              <w:pStyle w:val="28"/>
              <w:bidi w:val="0"/>
              <w:rPr>
                <w:rFonts w:hint="default"/>
                <w:color w:val="auto"/>
              </w:rPr>
            </w:pPr>
            <w:r>
              <w:rPr>
                <w:rFonts w:hint="default"/>
                <w:color w:val="auto"/>
              </w:rPr>
              <w:t>生态保护措施</w:t>
            </w:r>
          </w:p>
        </w:tc>
        <w:tc>
          <w:tcPr>
            <w:tcW w:w="7740" w:type="dxa"/>
            <w:gridSpan w:val="4"/>
            <w:vAlign w:val="center"/>
          </w:tcPr>
          <w:p>
            <w:pPr>
              <w:bidi w:val="0"/>
              <w:jc w:val="center"/>
              <w:rPr>
                <w:rFonts w:hint="default"/>
                <w:color w:val="auto"/>
                <w:lang w:val="en-US" w:eastAsia="zh-CN"/>
              </w:rPr>
            </w:pPr>
            <w:r>
              <w:rPr>
                <w:rFonts w:hint="default"/>
                <w:color w:val="auto"/>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82" w:hRule="atLeast"/>
          <w:jc w:val="center"/>
        </w:trPr>
        <w:tc>
          <w:tcPr>
            <w:tcW w:w="1060" w:type="dxa"/>
            <w:vAlign w:val="center"/>
          </w:tcPr>
          <w:p>
            <w:pPr>
              <w:pStyle w:val="28"/>
              <w:bidi w:val="0"/>
              <w:rPr>
                <w:rFonts w:hint="default"/>
                <w:color w:val="auto"/>
              </w:rPr>
            </w:pPr>
            <w:r>
              <w:rPr>
                <w:rFonts w:hint="default"/>
                <w:color w:val="auto"/>
              </w:rPr>
              <w:t>环境风险</w:t>
            </w:r>
          </w:p>
          <w:p>
            <w:pPr>
              <w:pStyle w:val="28"/>
              <w:bidi w:val="0"/>
              <w:rPr>
                <w:rFonts w:hint="default"/>
                <w:color w:val="auto"/>
              </w:rPr>
            </w:pPr>
            <w:r>
              <w:rPr>
                <w:rFonts w:hint="default"/>
                <w:color w:val="auto"/>
              </w:rPr>
              <w:t>防范措施</w:t>
            </w:r>
          </w:p>
        </w:tc>
        <w:tc>
          <w:tcPr>
            <w:tcW w:w="7740" w:type="dxa"/>
            <w:gridSpan w:val="4"/>
            <w:vAlign w:val="center"/>
          </w:tcPr>
          <w:p>
            <w:pPr>
              <w:bidi w:val="0"/>
              <w:rPr>
                <w:rFonts w:hint="eastAsia"/>
                <w:color w:val="auto"/>
                <w:lang w:val="en-US" w:eastAsia="zh-CN"/>
              </w:rPr>
            </w:pPr>
            <w:r>
              <w:rPr>
                <w:rFonts w:hint="eastAsia"/>
                <w:color w:val="auto"/>
                <w:lang w:val="en-US" w:eastAsia="zh-CN"/>
              </w:rPr>
              <w:t>厂区分区防渗，划分禁火区</w:t>
            </w:r>
            <w:r>
              <w:rPr>
                <w:rFonts w:hint="default"/>
                <w:color w:val="auto"/>
              </w:rPr>
              <w:t>严禁烟火</w:t>
            </w:r>
            <w:r>
              <w:rPr>
                <w:rFonts w:hint="eastAsia"/>
                <w:color w:val="auto"/>
                <w:lang w:eastAsia="zh-CN"/>
              </w:rPr>
              <w:t>，配套灭火器等应急物资，</w:t>
            </w:r>
            <w:r>
              <w:rPr>
                <w:rFonts w:hint="eastAsia"/>
                <w:color w:val="auto"/>
                <w:lang w:val="en-US" w:eastAsia="zh-CN"/>
              </w:rPr>
              <w:t>编制企业环境突发事件应急预案</w:t>
            </w:r>
            <w:r>
              <w:rPr>
                <w:rFonts w:hint="eastAsia"/>
                <w:color w:val="auto"/>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60" w:type="dxa"/>
            <w:vAlign w:val="center"/>
          </w:tcPr>
          <w:p>
            <w:pPr>
              <w:pStyle w:val="28"/>
              <w:bidi w:val="0"/>
              <w:rPr>
                <w:rFonts w:hint="default"/>
                <w:color w:val="auto"/>
              </w:rPr>
            </w:pPr>
            <w:r>
              <w:rPr>
                <w:rFonts w:hint="default"/>
                <w:color w:val="auto"/>
              </w:rPr>
              <w:t>其他环境</w:t>
            </w:r>
          </w:p>
          <w:p>
            <w:pPr>
              <w:pStyle w:val="28"/>
              <w:bidi w:val="0"/>
              <w:rPr>
                <w:rFonts w:hint="default"/>
                <w:color w:val="auto"/>
              </w:rPr>
            </w:pPr>
            <w:r>
              <w:rPr>
                <w:rFonts w:hint="default"/>
                <w:color w:val="auto"/>
              </w:rPr>
              <w:t>管理要求</w:t>
            </w:r>
          </w:p>
        </w:tc>
        <w:tc>
          <w:tcPr>
            <w:tcW w:w="7740" w:type="dxa"/>
            <w:gridSpan w:val="4"/>
            <w:vAlign w:val="center"/>
          </w:tcPr>
          <w:p>
            <w:pPr>
              <w:bidi w:val="0"/>
              <w:rPr>
                <w:rFonts w:hint="default"/>
                <w:color w:val="auto"/>
                <w:lang w:val="en-US" w:eastAsia="zh-CN"/>
              </w:rPr>
            </w:pPr>
            <w:r>
              <w:rPr>
                <w:rFonts w:hint="default"/>
                <w:color w:val="auto"/>
                <w:lang w:val="en-US" w:eastAsia="zh-CN"/>
              </w:rPr>
              <w:t>1、</w:t>
            </w:r>
            <w:r>
              <w:rPr>
                <w:rFonts w:hint="default"/>
                <w:color w:val="auto"/>
              </w:rPr>
              <w:t>竣工环境保护验收</w:t>
            </w:r>
          </w:p>
          <w:p>
            <w:pPr>
              <w:bidi w:val="0"/>
              <w:rPr>
                <w:rFonts w:hint="default"/>
                <w:color w:val="auto"/>
                <w:lang w:val="en-US" w:eastAsia="zh-CN"/>
              </w:rPr>
            </w:pPr>
            <w:r>
              <w:rPr>
                <w:rFonts w:hint="default"/>
                <w:color w:val="auto"/>
              </w:rPr>
              <w:t>根据《建设项目竣工环境保护验收暂行办法》的规定，建设项目竣工后，建设单位应当如实查验、监测、记载建设项目环境保护设施的建设和调试情况，编制验收监测报告</w:t>
            </w:r>
            <w:r>
              <w:rPr>
                <w:rFonts w:hint="default"/>
                <w:color w:val="auto"/>
                <w:lang w:eastAsia="zh-CN"/>
              </w:rPr>
              <w:t>表</w:t>
            </w:r>
            <w:r>
              <w:rPr>
                <w:rFonts w:hint="default"/>
                <w:color w:val="auto"/>
                <w:lang w:val="en-US" w:eastAsia="zh-CN"/>
              </w:rPr>
              <w:t>。</w:t>
            </w:r>
          </w:p>
          <w:p>
            <w:pPr>
              <w:bidi w:val="0"/>
              <w:rPr>
                <w:rFonts w:hint="default"/>
                <w:color w:val="auto"/>
                <w:lang w:val="en-US" w:eastAsia="zh-CN"/>
              </w:rPr>
            </w:pPr>
            <w:r>
              <w:rPr>
                <w:rFonts w:hint="default"/>
                <w:color w:val="auto"/>
                <w:lang w:val="en-US" w:eastAsia="zh-CN"/>
              </w:rPr>
              <w:t>2、</w:t>
            </w:r>
            <w:r>
              <w:rPr>
                <w:rFonts w:hint="default"/>
                <w:color w:val="auto"/>
              </w:rPr>
              <w:t>排污许可</w:t>
            </w:r>
            <w:r>
              <w:rPr>
                <w:rFonts w:hint="default"/>
                <w:color w:val="auto"/>
                <w:lang w:eastAsia="zh-CN"/>
              </w:rPr>
              <w:t>管理要求</w:t>
            </w:r>
          </w:p>
          <w:p>
            <w:pPr>
              <w:bidi w:val="0"/>
              <w:rPr>
                <w:rFonts w:hint="default"/>
                <w:color w:val="auto"/>
              </w:rPr>
            </w:pPr>
            <w:r>
              <w:rPr>
                <w:rFonts w:hint="default"/>
                <w:color w:val="auto"/>
              </w:rPr>
              <w:t>根据《固定污染源排污许可分类管理名录(2019年版)》(生态环境部</w:t>
            </w:r>
            <w:r>
              <w:rPr>
                <w:rFonts w:hint="eastAsia"/>
                <w:color w:val="auto"/>
                <w:lang w:val="en-US" w:eastAsia="zh-CN"/>
              </w:rPr>
              <w:t xml:space="preserve"> </w:t>
            </w:r>
            <w:r>
              <w:rPr>
                <w:rFonts w:hint="default"/>
                <w:color w:val="auto"/>
              </w:rPr>
              <w:t>第11号)可知，本项目实行排污许可</w:t>
            </w:r>
            <w:r>
              <w:rPr>
                <w:rFonts w:hint="eastAsia"/>
                <w:color w:val="auto"/>
                <w:lang w:val="en-US" w:eastAsia="zh-CN"/>
              </w:rPr>
              <w:t>登记</w:t>
            </w:r>
            <w:r>
              <w:rPr>
                <w:rFonts w:hint="default"/>
                <w:color w:val="auto"/>
                <w:lang w:eastAsia="zh-CN"/>
              </w:rPr>
              <w:t>管理</w:t>
            </w:r>
            <w:r>
              <w:rPr>
                <w:rFonts w:hint="default"/>
                <w:color w:val="auto"/>
              </w:rPr>
              <w:t>；因此，建设单位应当在启动生产设施或者发生实际排污之前在全国排污许可证管理信息平台进行排污许可</w:t>
            </w:r>
            <w:r>
              <w:rPr>
                <w:rFonts w:hint="eastAsia"/>
                <w:color w:val="auto"/>
                <w:lang w:val="en-US" w:eastAsia="zh-CN"/>
              </w:rPr>
              <w:t>登记</w:t>
            </w:r>
            <w:r>
              <w:rPr>
                <w:rFonts w:hint="default"/>
                <w:color w:val="auto"/>
              </w:rPr>
              <w:t>。</w:t>
            </w:r>
          </w:p>
          <w:p>
            <w:pPr>
              <w:bidi w:val="0"/>
              <w:rPr>
                <w:rFonts w:hint="eastAsia"/>
                <w:color w:val="auto"/>
                <w:lang w:val="en-US" w:eastAsia="zh-CN"/>
              </w:rPr>
            </w:pPr>
            <w:r>
              <w:rPr>
                <w:rFonts w:hint="eastAsia"/>
                <w:color w:val="auto"/>
                <w:lang w:val="en-US" w:eastAsia="zh-CN"/>
              </w:rPr>
              <w:t>排污口规范化管理要求</w:t>
            </w:r>
          </w:p>
          <w:p>
            <w:pPr>
              <w:bidi w:val="0"/>
              <w:rPr>
                <w:rFonts w:hint="default"/>
                <w:color w:val="auto"/>
              </w:rPr>
            </w:pPr>
            <w:r>
              <w:rPr>
                <w:rFonts w:hint="eastAsia"/>
                <w:color w:val="auto"/>
                <w:lang w:eastAsia="zh-CN"/>
              </w:rPr>
              <w:t>项目</w:t>
            </w:r>
            <w:r>
              <w:rPr>
                <w:rFonts w:hint="eastAsia"/>
                <w:color w:val="auto"/>
                <w:lang w:val="en-US" w:eastAsia="zh-CN"/>
              </w:rPr>
              <w:t>排污口规范化</w:t>
            </w:r>
            <w:r>
              <w:rPr>
                <w:rFonts w:hint="default"/>
                <w:color w:val="auto"/>
              </w:rPr>
              <w:t>图标</w:t>
            </w:r>
            <w:r>
              <w:rPr>
                <w:rFonts w:hint="eastAsia"/>
                <w:color w:val="auto"/>
                <w:lang w:eastAsia="zh-CN"/>
              </w:rPr>
              <w:t>按照</w:t>
            </w:r>
            <w:r>
              <w:rPr>
                <w:rFonts w:hint="default"/>
                <w:color w:val="auto"/>
              </w:rPr>
              <w:t>《环境保护图形标志—排放口(源)》(GB15563.1-1995)</w:t>
            </w:r>
            <w:r>
              <w:rPr>
                <w:rFonts w:hint="eastAsia"/>
                <w:color w:val="auto"/>
                <w:lang w:val="en-US" w:eastAsia="zh-CN"/>
              </w:rPr>
              <w:t>及其修改单</w:t>
            </w:r>
            <w:r>
              <w:rPr>
                <w:rFonts w:hint="eastAsia"/>
                <w:color w:val="auto"/>
                <w:lang w:eastAsia="zh-CN"/>
              </w:rPr>
              <w:t>要求进行，具体详见表</w:t>
            </w:r>
            <w:r>
              <w:rPr>
                <w:rFonts w:hint="eastAsia"/>
                <w:color w:val="auto"/>
                <w:lang w:val="en-US" w:eastAsia="zh-CN"/>
              </w:rPr>
              <w:t>5-1。同时根据《排污单位污染物排放口二维码标识技术规范》(HJ 1297-2023)，设置规范的排放口二维码标识。</w:t>
            </w:r>
          </w:p>
          <w:p>
            <w:pPr>
              <w:pStyle w:val="33"/>
              <w:bidi w:val="0"/>
              <w:rPr>
                <w:rFonts w:hint="default"/>
                <w:color w:val="auto"/>
                <w:sz w:val="24"/>
                <w:szCs w:val="24"/>
              </w:rPr>
            </w:pPr>
            <w:r>
              <w:rPr>
                <w:rFonts w:hint="default"/>
                <w:color w:val="auto"/>
                <w:sz w:val="24"/>
                <w:szCs w:val="24"/>
              </w:rPr>
              <w:t>表</w:t>
            </w:r>
            <w:r>
              <w:rPr>
                <w:rFonts w:hint="eastAsia"/>
                <w:color w:val="auto"/>
                <w:sz w:val="24"/>
                <w:szCs w:val="24"/>
                <w:lang w:val="en-US" w:eastAsia="zh-CN"/>
              </w:rPr>
              <w:t>5-1</w:t>
            </w:r>
            <w:r>
              <w:rPr>
                <w:rFonts w:hint="default"/>
                <w:color w:val="auto"/>
                <w:sz w:val="24"/>
                <w:szCs w:val="24"/>
              </w:rPr>
              <w:t xml:space="preserve"> 排污口图形符号(提示标志)一览表</w:t>
            </w:r>
          </w:p>
          <w:tbl>
            <w:tblPr>
              <w:tblStyle w:val="24"/>
              <w:tblW w:w="7521" w:type="dxa"/>
              <w:jc w:val="center"/>
              <w:tblInd w:w="0" w:type="dxa"/>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360"/>
              <w:gridCol w:w="1232"/>
              <w:gridCol w:w="1232"/>
              <w:gridCol w:w="1232"/>
              <w:gridCol w:w="1280"/>
              <w:gridCol w:w="1185"/>
            </w:tblGrid>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12" w:space="0"/>
                    <w:left w:val="nil"/>
                    <w:bottom w:val="single" w:color="auto" w:sz="6" w:space="0"/>
                    <w:right w:val="single" w:color="auto" w:sz="6" w:space="0"/>
                    <w:tl2br w:val="single" w:color="auto" w:sz="4" w:space="0"/>
                  </w:tcBorders>
                  <w:vAlign w:val="center"/>
                </w:tcPr>
                <w:p>
                  <w:pPr>
                    <w:pStyle w:val="28"/>
                    <w:bidi w:val="0"/>
                    <w:rPr>
                      <w:color w:val="auto"/>
                      <w:lang w:val="en-GB"/>
                    </w:rPr>
                  </w:pPr>
                  <w:r>
                    <w:rPr>
                      <w:color w:val="auto"/>
                      <w:lang w:val="en-GB"/>
                    </w:rPr>
                    <w:t>排放部位</w:t>
                  </w:r>
                </w:p>
                <w:p>
                  <w:pPr>
                    <w:pStyle w:val="28"/>
                    <w:bidi w:val="0"/>
                    <w:rPr>
                      <w:color w:val="auto"/>
                      <w:lang w:val="en-GB"/>
                    </w:rPr>
                  </w:pPr>
                  <w:r>
                    <w:rPr>
                      <w:color w:val="auto"/>
                      <w:lang w:val="en-GB"/>
                    </w:rPr>
                    <w:t>项目</w:t>
                  </w:r>
                </w:p>
              </w:tc>
              <w:tc>
                <w:tcPr>
                  <w:tcW w:w="1232" w:type="dxa"/>
                  <w:tcBorders>
                    <w:top w:val="single" w:color="auto" w:sz="12"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污水排</w:t>
                  </w:r>
                </w:p>
                <w:p>
                  <w:pPr>
                    <w:pStyle w:val="28"/>
                    <w:bidi w:val="0"/>
                    <w:rPr>
                      <w:color w:val="auto"/>
                      <w:lang w:val="en-GB"/>
                    </w:rPr>
                  </w:pPr>
                  <w:r>
                    <w:rPr>
                      <w:color w:val="auto"/>
                      <w:lang w:val="en-GB"/>
                    </w:rPr>
                    <w:t>放口</w:t>
                  </w:r>
                </w:p>
              </w:tc>
              <w:tc>
                <w:tcPr>
                  <w:tcW w:w="1232" w:type="dxa"/>
                  <w:tcBorders>
                    <w:top w:val="single" w:color="auto" w:sz="12"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废气排</w:t>
                  </w:r>
                </w:p>
                <w:p>
                  <w:pPr>
                    <w:pStyle w:val="28"/>
                    <w:bidi w:val="0"/>
                    <w:rPr>
                      <w:color w:val="auto"/>
                      <w:lang w:val="en-GB"/>
                    </w:rPr>
                  </w:pPr>
                  <w:r>
                    <w:rPr>
                      <w:color w:val="auto"/>
                      <w:lang w:val="en-GB"/>
                    </w:rPr>
                    <w:t>放口</w:t>
                  </w:r>
                </w:p>
              </w:tc>
              <w:tc>
                <w:tcPr>
                  <w:tcW w:w="1232" w:type="dxa"/>
                  <w:tcBorders>
                    <w:top w:val="single" w:color="auto" w:sz="12"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噪声排</w:t>
                  </w:r>
                </w:p>
                <w:p>
                  <w:pPr>
                    <w:pStyle w:val="28"/>
                    <w:bidi w:val="0"/>
                    <w:rPr>
                      <w:color w:val="auto"/>
                      <w:lang w:val="en-GB"/>
                    </w:rPr>
                  </w:pPr>
                  <w:r>
                    <w:rPr>
                      <w:color w:val="auto"/>
                      <w:lang w:val="en-GB"/>
                    </w:rPr>
                    <w:t>放源</w:t>
                  </w:r>
                </w:p>
              </w:tc>
              <w:tc>
                <w:tcPr>
                  <w:tcW w:w="1280" w:type="dxa"/>
                  <w:tcBorders>
                    <w:top w:val="single" w:color="auto" w:sz="12" w:space="0"/>
                    <w:left w:val="single" w:color="auto" w:sz="6" w:space="0"/>
                    <w:bottom w:val="single" w:color="auto" w:sz="6" w:space="0"/>
                    <w:right w:val="single" w:color="auto" w:sz="6" w:space="0"/>
                  </w:tcBorders>
                  <w:vAlign w:val="center"/>
                </w:tcPr>
                <w:p>
                  <w:pPr>
                    <w:pStyle w:val="28"/>
                    <w:bidi w:val="0"/>
                    <w:rPr>
                      <w:rFonts w:hint="eastAsia"/>
                      <w:color w:val="auto"/>
                      <w:lang w:val="en-US" w:eastAsia="zh-CN"/>
                    </w:rPr>
                  </w:pPr>
                  <w:r>
                    <w:rPr>
                      <w:color w:val="auto"/>
                      <w:lang w:val="en-GB"/>
                    </w:rPr>
                    <w:t>一般</w:t>
                  </w:r>
                  <w:r>
                    <w:rPr>
                      <w:rFonts w:hint="eastAsia"/>
                      <w:color w:val="auto"/>
                      <w:lang w:val="en-US" w:eastAsia="zh-CN"/>
                    </w:rPr>
                    <w:t>固体</w:t>
                  </w:r>
                </w:p>
                <w:p>
                  <w:pPr>
                    <w:pStyle w:val="28"/>
                    <w:bidi w:val="0"/>
                    <w:rPr>
                      <w:color w:val="auto"/>
                      <w:lang w:val="en-GB"/>
                    </w:rPr>
                  </w:pPr>
                  <w:r>
                    <w:rPr>
                      <w:rFonts w:hint="eastAsia"/>
                      <w:color w:val="auto"/>
                      <w:lang w:val="en-US" w:eastAsia="zh-CN"/>
                    </w:rPr>
                    <w:t>废物</w:t>
                  </w:r>
                </w:p>
              </w:tc>
              <w:tc>
                <w:tcPr>
                  <w:tcW w:w="1185" w:type="dxa"/>
                  <w:tcBorders>
                    <w:top w:val="single" w:color="auto" w:sz="12" w:space="0"/>
                    <w:left w:val="single" w:color="auto" w:sz="6" w:space="0"/>
                    <w:bottom w:val="single" w:color="auto" w:sz="6" w:space="0"/>
                    <w:right w:val="nil"/>
                  </w:tcBorders>
                  <w:vAlign w:val="center"/>
                </w:tcPr>
                <w:p>
                  <w:pPr>
                    <w:pStyle w:val="28"/>
                    <w:bidi w:val="0"/>
                    <w:rPr>
                      <w:color w:val="auto"/>
                      <w:lang w:val="en-GB"/>
                    </w:rPr>
                  </w:pPr>
                  <w:r>
                    <w:rPr>
                      <w:color w:val="auto"/>
                      <w:lang w:val="en-GB"/>
                    </w:rPr>
                    <w:t>危险废物</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color w:val="auto"/>
                      <w:lang w:val="en-GB"/>
                    </w:rPr>
                  </w:pPr>
                  <w:r>
                    <w:rPr>
                      <w:rFonts w:hint="eastAsia"/>
                      <w:color w:val="auto"/>
                      <w:lang w:val="en-US" w:eastAsia="zh-CN"/>
                    </w:rPr>
                    <w:t>提示</w:t>
                  </w:r>
                  <w:r>
                    <w:rPr>
                      <w:color w:val="auto"/>
                      <w:lang w:val="en-GB"/>
                    </w:rPr>
                    <w:t>图形</w:t>
                  </w:r>
                </w:p>
                <w:p>
                  <w:pPr>
                    <w:pStyle w:val="28"/>
                    <w:bidi w:val="0"/>
                    <w:rPr>
                      <w:color w:val="auto"/>
                      <w:lang w:val="en-GB"/>
                    </w:rPr>
                  </w:pPr>
                  <w:r>
                    <w:rPr>
                      <w:color w:val="auto"/>
                      <w:lang w:val="en-GB"/>
                    </w:rPr>
                    <w:t>符号</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539750" cy="539750"/>
                        <wp:effectExtent l="0" t="0" r="6350" b="6350"/>
                        <wp:docPr id="27" name="图片 75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54" descr="1"/>
                                <pic:cNvPicPr>
                                  <a:picLocks noChangeAspect="1"/>
                                </pic:cNvPicPr>
                              </pic:nvPicPr>
                              <pic:blipFill>
                                <a:blip r:embed="rId21"/>
                                <a:stretch>
                                  <a:fillRect/>
                                </a:stretch>
                              </pic:blipFill>
                              <pic:spPr>
                                <a:xfrm>
                                  <a:off x="0" y="0"/>
                                  <a:ext cx="539750" cy="539750"/>
                                </a:xfrm>
                                <a:prstGeom prst="rect">
                                  <a:avLst/>
                                </a:prstGeom>
                                <a:noFill/>
                                <a:ln>
                                  <a:noFill/>
                                </a:ln>
                              </pic:spPr>
                            </pic:pic>
                          </a:graphicData>
                        </a:graphic>
                      </wp:inline>
                    </w:drawing>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621030" cy="539750"/>
                        <wp:effectExtent l="0" t="0" r="1270" b="6350"/>
                        <wp:docPr id="28" name="图片 755"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55" descr="点击看大图及详细资料"/>
                                <pic:cNvPicPr>
                                  <a:picLocks noChangeAspect="1"/>
                                </pic:cNvPicPr>
                              </pic:nvPicPr>
                              <pic:blipFill>
                                <a:blip r:embed="rId22"/>
                                <a:stretch>
                                  <a:fillRect/>
                                </a:stretch>
                              </pic:blipFill>
                              <pic:spPr>
                                <a:xfrm>
                                  <a:off x="0" y="0"/>
                                  <a:ext cx="621030" cy="539750"/>
                                </a:xfrm>
                                <a:prstGeom prst="rect">
                                  <a:avLst/>
                                </a:prstGeom>
                                <a:noFill/>
                                <a:ln>
                                  <a:noFill/>
                                </a:ln>
                              </pic:spPr>
                            </pic:pic>
                          </a:graphicData>
                        </a:graphic>
                      </wp:inline>
                    </w:drawing>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574675" cy="539750"/>
                        <wp:effectExtent l="0" t="0" r="9525" b="6350"/>
                        <wp:docPr id="21" name="图片 756" descr="点击看大图及详细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56" descr="点击看大图及详细资料"/>
                                <pic:cNvPicPr>
                                  <a:picLocks noChangeAspect="1"/>
                                </pic:cNvPicPr>
                              </pic:nvPicPr>
                              <pic:blipFill>
                                <a:blip r:embed="rId23"/>
                                <a:stretch>
                                  <a:fillRect/>
                                </a:stretch>
                              </pic:blipFill>
                              <pic:spPr>
                                <a:xfrm>
                                  <a:off x="0" y="0"/>
                                  <a:ext cx="574675" cy="539750"/>
                                </a:xfrm>
                                <a:prstGeom prst="rect">
                                  <a:avLst/>
                                </a:prstGeom>
                                <a:noFill/>
                                <a:ln>
                                  <a:noFill/>
                                </a:ln>
                              </pic:spPr>
                            </pic:pic>
                          </a:graphicData>
                        </a:graphic>
                      </wp:inline>
                    </w:drawing>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633095" cy="539750"/>
                        <wp:effectExtent l="0" t="0" r="1905" b="635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4"/>
                                <a:srcRect t="1997"/>
                                <a:stretch>
                                  <a:fillRect/>
                                </a:stretch>
                              </pic:blipFill>
                              <pic:spPr>
                                <a:xfrm>
                                  <a:off x="0" y="0"/>
                                  <a:ext cx="633095" cy="539750"/>
                                </a:xfrm>
                                <a:prstGeom prst="rect">
                                  <a:avLst/>
                                </a:prstGeom>
                                <a:noFill/>
                                <a:ln>
                                  <a:noFill/>
                                </a:ln>
                              </pic:spPr>
                            </pic:pic>
                          </a:graphicData>
                        </a:graphic>
                      </wp:inline>
                    </w:drawing>
                  </w:r>
                </w:p>
              </w:tc>
              <w:tc>
                <w:tcPr>
                  <w:tcW w:w="1185" w:type="dxa"/>
                  <w:tcBorders>
                    <w:top w:val="single" w:color="auto" w:sz="6" w:space="0"/>
                    <w:left w:val="single" w:color="auto" w:sz="6" w:space="0"/>
                    <w:bottom w:val="single" w:color="auto" w:sz="6" w:space="0"/>
                    <w:right w:val="nil"/>
                  </w:tcBorders>
                  <w:vAlign w:val="center"/>
                </w:tcPr>
                <w:p>
                  <w:pPr>
                    <w:pStyle w:val="28"/>
                    <w:bidi w:val="0"/>
                    <w:rPr>
                      <w:color w:val="auto"/>
                      <w:lang w:val="en-GB"/>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1072"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color w:val="auto"/>
                      <w:lang w:val="en-GB"/>
                    </w:rPr>
                  </w:pPr>
                  <w:r>
                    <w:rPr>
                      <w:rFonts w:hint="eastAsia"/>
                      <w:color w:val="auto"/>
                      <w:lang w:val="en-US" w:eastAsia="zh-CN"/>
                    </w:rPr>
                    <w:t>警告</w:t>
                  </w:r>
                  <w:r>
                    <w:rPr>
                      <w:color w:val="auto"/>
                      <w:lang w:val="en-GB"/>
                    </w:rPr>
                    <w:t>图形</w:t>
                  </w:r>
                </w:p>
                <w:p>
                  <w:pPr>
                    <w:pStyle w:val="28"/>
                    <w:bidi w:val="0"/>
                    <w:rPr>
                      <w:rFonts w:hint="default"/>
                      <w:color w:val="auto"/>
                      <w:lang w:val="en-US" w:eastAsia="zh-CN"/>
                    </w:rPr>
                  </w:pPr>
                  <w:r>
                    <w:rPr>
                      <w:rFonts w:hint="eastAsia"/>
                      <w:color w:val="auto"/>
                      <w:lang w:val="en-US" w:eastAsia="zh-CN"/>
                    </w:rPr>
                    <w:t>符号</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643255" cy="572135"/>
                        <wp:effectExtent l="0" t="0" r="4445" b="12065"/>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a:stretch>
                                  <a:fillRect/>
                                </a:stretch>
                              </pic:blipFill>
                              <pic:spPr>
                                <a:xfrm>
                                  <a:off x="0" y="0"/>
                                  <a:ext cx="643255" cy="572135"/>
                                </a:xfrm>
                                <a:prstGeom prst="rect">
                                  <a:avLst/>
                                </a:prstGeom>
                                <a:noFill/>
                                <a:ln>
                                  <a:noFill/>
                                </a:ln>
                              </pic:spPr>
                            </pic:pic>
                          </a:graphicData>
                        </a:graphic>
                      </wp:inline>
                    </w:drawing>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645160" cy="572770"/>
                        <wp:effectExtent l="0" t="0" r="2540" b="1143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6"/>
                                <a:stretch>
                                  <a:fillRect/>
                                </a:stretch>
                              </pic:blipFill>
                              <pic:spPr>
                                <a:xfrm>
                                  <a:off x="0" y="0"/>
                                  <a:ext cx="645160" cy="572770"/>
                                </a:xfrm>
                                <a:prstGeom prst="rect">
                                  <a:avLst/>
                                </a:prstGeom>
                                <a:noFill/>
                                <a:ln>
                                  <a:noFill/>
                                </a:ln>
                              </pic:spPr>
                            </pic:pic>
                          </a:graphicData>
                        </a:graphic>
                      </wp:inline>
                    </w:drawing>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rPr>
                    <w:drawing>
                      <wp:inline distT="0" distB="0" distL="114300" distR="114300">
                        <wp:extent cx="642620" cy="601980"/>
                        <wp:effectExtent l="0" t="0" r="5080" b="762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7"/>
                                <a:stretch>
                                  <a:fillRect/>
                                </a:stretch>
                              </pic:blipFill>
                              <pic:spPr>
                                <a:xfrm>
                                  <a:off x="0" y="0"/>
                                  <a:ext cx="642620" cy="601980"/>
                                </a:xfrm>
                                <a:prstGeom prst="rect">
                                  <a:avLst/>
                                </a:prstGeom>
                                <a:noFill/>
                                <a:ln>
                                  <a:noFill/>
                                </a:ln>
                              </pic:spPr>
                            </pic:pic>
                          </a:graphicData>
                        </a:graphic>
                      </wp:inline>
                    </w:drawing>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rPr>
                  </w:pPr>
                  <w:r>
                    <w:rPr>
                      <w:color w:val="auto"/>
                    </w:rPr>
                    <w:drawing>
                      <wp:inline distT="0" distB="0" distL="114300" distR="114300">
                        <wp:extent cx="673735" cy="615950"/>
                        <wp:effectExtent l="0" t="0" r="12065" b="635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tretch>
                                  <a:fillRect/>
                                </a:stretch>
                              </pic:blipFill>
                              <pic:spPr>
                                <a:xfrm>
                                  <a:off x="0" y="0"/>
                                  <a:ext cx="673735" cy="615950"/>
                                </a:xfrm>
                                <a:prstGeom prst="rect">
                                  <a:avLst/>
                                </a:prstGeom>
                                <a:noFill/>
                                <a:ln>
                                  <a:noFill/>
                                </a:ln>
                              </pic:spPr>
                            </pic:pic>
                          </a:graphicData>
                        </a:graphic>
                      </wp:inline>
                    </w:drawing>
                  </w:r>
                </w:p>
              </w:tc>
              <w:tc>
                <w:tcPr>
                  <w:tcW w:w="1185" w:type="dxa"/>
                  <w:tcBorders>
                    <w:top w:val="single" w:color="auto" w:sz="6" w:space="0"/>
                    <w:left w:val="single" w:color="auto" w:sz="6" w:space="0"/>
                    <w:bottom w:val="single" w:color="auto" w:sz="6" w:space="0"/>
                    <w:right w:val="nil"/>
                  </w:tcBorders>
                  <w:vAlign w:val="center"/>
                </w:tcPr>
                <w:p>
                  <w:pPr>
                    <w:pStyle w:val="28"/>
                    <w:bidi w:val="0"/>
                    <w:rPr>
                      <w:color w:val="auto"/>
                      <w:lang w:val="en-GB"/>
                    </w:rPr>
                  </w:pPr>
                  <w:r>
                    <w:rPr>
                      <w:color w:val="auto"/>
                    </w:rPr>
                    <w:drawing>
                      <wp:inline distT="0" distB="0" distL="114300" distR="114300">
                        <wp:extent cx="664845" cy="616585"/>
                        <wp:effectExtent l="0" t="0" r="8255" b="571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29"/>
                                <a:stretch>
                                  <a:fillRect/>
                                </a:stretch>
                              </pic:blipFill>
                              <pic:spPr>
                                <a:xfrm>
                                  <a:off x="0" y="0"/>
                                  <a:ext cx="664845" cy="6165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功能</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default"/>
                      <w:color w:val="auto"/>
                      <w:lang w:val="en-US" w:eastAsia="zh-CN"/>
                    </w:rPr>
                  </w:pPr>
                  <w:r>
                    <w:rPr>
                      <w:rFonts w:hint="eastAsia"/>
                      <w:color w:val="auto"/>
                      <w:lang w:val="en-US" w:eastAsia="zh-CN"/>
                    </w:rPr>
                    <w:t>表示污水向水体排放</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GB" w:eastAsia="zh-CN"/>
                    </w:rPr>
                  </w:pPr>
                  <w:r>
                    <w:rPr>
                      <w:rFonts w:hint="eastAsia"/>
                      <w:color w:val="auto"/>
                      <w:lang w:val="en-US" w:eastAsia="zh-CN"/>
                    </w:rPr>
                    <w:t>表示废气向大气环境排放</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default"/>
                      <w:color w:val="auto"/>
                      <w:lang w:val="en-US" w:eastAsia="zh-CN"/>
                    </w:rPr>
                  </w:pPr>
                  <w:r>
                    <w:rPr>
                      <w:rFonts w:hint="eastAsia"/>
                      <w:color w:val="auto"/>
                      <w:lang w:val="en-US" w:eastAsia="zh-CN"/>
                    </w:rPr>
                    <w:t>表示噪声向外环境排放</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rFonts w:hint="default"/>
                      <w:color w:val="auto"/>
                      <w:lang w:val="en-US" w:eastAsia="zh-CN"/>
                    </w:rPr>
                  </w:pPr>
                  <w:r>
                    <w:rPr>
                      <w:rFonts w:hint="eastAsia"/>
                      <w:color w:val="auto"/>
                      <w:lang w:val="en-US" w:eastAsia="zh-CN"/>
                    </w:rPr>
                    <w:t>表示一般固体废物贮存、处置场</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default"/>
                      <w:color w:val="auto"/>
                      <w:lang w:val="en-US" w:eastAsia="zh-CN"/>
                    </w:rPr>
                  </w:pPr>
                  <w:r>
                    <w:rPr>
                      <w:rFonts w:hint="eastAsia"/>
                      <w:color w:val="auto"/>
                      <w:lang w:val="en-US" w:eastAsia="zh-CN"/>
                    </w:rPr>
                    <w:t>表示危险废物贮存、处置场</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default"/>
                      <w:color w:val="auto"/>
                      <w:lang w:val="en-US" w:eastAsia="zh-CN"/>
                    </w:rPr>
                  </w:pPr>
                  <w:r>
                    <w:rPr>
                      <w:rFonts w:hint="eastAsia"/>
                      <w:color w:val="auto"/>
                      <w:lang w:val="en-US" w:eastAsia="zh-CN"/>
                    </w:rPr>
                    <w:t>提示标志</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rPr>
                  </w:pPr>
                  <w:r>
                    <w:rPr>
                      <w:color w:val="auto"/>
                      <w:lang w:val="en-GB"/>
                    </w:rPr>
                    <w:t>正方形</w:t>
                  </w:r>
                </w:p>
                <w:p>
                  <w:pPr>
                    <w:pStyle w:val="28"/>
                    <w:bidi w:val="0"/>
                    <w:rPr>
                      <w:color w:val="auto"/>
                      <w:lang w:val="en-GB"/>
                    </w:rPr>
                  </w:pPr>
                  <w:r>
                    <w:rPr>
                      <w:color w:val="auto"/>
                      <w:lang w:val="en-GB"/>
                    </w:rPr>
                    <w:t>边框</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default"/>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eastAsia"/>
                      <w:color w:val="auto"/>
                      <w:lang w:val="en-US" w:eastAsia="zh-CN"/>
                    </w:rPr>
                  </w:pPr>
                  <w:r>
                    <w:rPr>
                      <w:color w:val="auto"/>
                      <w:lang w:val="en-GB"/>
                    </w:rPr>
                    <w:t>背景颜色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绿色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绿色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绿色</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绿色</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eastAsia"/>
                      <w:color w:val="auto"/>
                      <w:lang w:val="en-US" w:eastAsia="zh-CN"/>
                    </w:rPr>
                  </w:pPr>
                  <w:r>
                    <w:rPr>
                      <w:color w:val="auto"/>
                      <w:lang w:val="en-GB"/>
                    </w:rPr>
                    <w:t>图形颜色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白色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白色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白色</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color w:val="auto"/>
                      <w:lang w:val="en-GB"/>
                    </w:rPr>
                    <w:t>白色</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eastAsia"/>
                      <w:color w:val="auto"/>
                      <w:lang w:val="en-US" w:eastAsia="zh-CN"/>
                    </w:rPr>
                  </w:pPr>
                  <w:r>
                    <w:rPr>
                      <w:rFonts w:hint="eastAsia"/>
                      <w:color w:val="auto"/>
                      <w:lang w:val="en-US" w:eastAsia="zh-CN"/>
                    </w:rPr>
                    <w:t>/</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警告标志</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rFonts w:hint="default"/>
                      <w:color w:val="auto"/>
                      <w:lang w:val="en-US" w:eastAsia="zh-CN"/>
                    </w:rPr>
                  </w:pPr>
                  <w:r>
                    <w:rPr>
                      <w:rFonts w:hint="eastAsia"/>
                      <w:color w:val="auto"/>
                      <w:lang w:val="en-US" w:eastAsia="zh-CN"/>
                    </w:rPr>
                    <w:t>边框</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color w:val="auto"/>
                      <w:lang w:val="en-GB"/>
                    </w:rPr>
                  </w:pPr>
                  <w:r>
                    <w:rPr>
                      <w:rFonts w:hint="eastAsia"/>
                      <w:color w:val="auto"/>
                      <w:lang w:val="en-US" w:eastAsia="zh-CN"/>
                    </w:rPr>
                    <w:t>边框</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eastAsia"/>
                      <w:color w:val="auto"/>
                      <w:lang w:val="en-US" w:eastAsia="zh-CN"/>
                    </w:rPr>
                  </w:pPr>
                  <w:r>
                    <w:rPr>
                      <w:rFonts w:hint="eastAsia"/>
                      <w:color w:val="auto"/>
                      <w:lang w:val="en-US" w:eastAsia="zh-CN"/>
                    </w:rPr>
                    <w:t>三角形</w:t>
                  </w:r>
                </w:p>
                <w:p>
                  <w:pPr>
                    <w:pStyle w:val="28"/>
                    <w:bidi w:val="0"/>
                    <w:rPr>
                      <w:rFonts w:hint="eastAsia"/>
                      <w:color w:val="auto"/>
                      <w:lang w:val="en-US" w:eastAsia="zh-CN"/>
                    </w:rPr>
                  </w:pPr>
                  <w:r>
                    <w:rPr>
                      <w:rFonts w:hint="eastAsia"/>
                      <w:color w:val="auto"/>
                      <w:lang w:val="en-US" w:eastAsia="zh-CN"/>
                    </w:rPr>
                    <w:t>边框</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6" w:space="0"/>
                    <w:right w:val="single" w:color="auto" w:sz="6" w:space="0"/>
                  </w:tcBorders>
                  <w:vAlign w:val="center"/>
                </w:tcPr>
                <w:p>
                  <w:pPr>
                    <w:pStyle w:val="28"/>
                    <w:bidi w:val="0"/>
                    <w:rPr>
                      <w:rFonts w:hint="eastAsia"/>
                      <w:color w:val="auto"/>
                      <w:lang w:val="en-GB" w:eastAsia="zh-CN"/>
                    </w:rPr>
                  </w:pPr>
                  <w:r>
                    <w:rPr>
                      <w:color w:val="auto"/>
                      <w:lang w:val="en-GB"/>
                    </w:rPr>
                    <w:t>背景颜色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rFonts w:hint="eastAsia"/>
                      <w:color w:val="auto"/>
                      <w:lang w:val="en-GB" w:eastAsia="zh-CN"/>
                    </w:rPr>
                  </w:pPr>
                  <w:r>
                    <w:rPr>
                      <w:rFonts w:hint="eastAsia"/>
                      <w:color w:val="auto"/>
                      <w:lang w:val="en-US" w:eastAsia="zh-CN"/>
                    </w:rPr>
                    <w:t>黄色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rFonts w:hint="eastAsia"/>
                      <w:color w:val="auto"/>
                      <w:lang w:val="en-US" w:eastAsia="zh-CN"/>
                    </w:rPr>
                    <w:t>黄色</w:t>
                  </w:r>
                </w:p>
              </w:tc>
              <w:tc>
                <w:tcPr>
                  <w:tcW w:w="1232"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rFonts w:hint="eastAsia"/>
                      <w:color w:val="auto"/>
                      <w:lang w:val="en-US" w:eastAsia="zh-CN"/>
                    </w:rPr>
                    <w:t>黄色</w:t>
                  </w:r>
                </w:p>
              </w:tc>
              <w:tc>
                <w:tcPr>
                  <w:tcW w:w="1280" w:type="dxa"/>
                  <w:tcBorders>
                    <w:top w:val="single" w:color="auto" w:sz="6" w:space="0"/>
                    <w:left w:val="single" w:color="auto" w:sz="6" w:space="0"/>
                    <w:bottom w:val="single" w:color="auto" w:sz="6" w:space="0"/>
                    <w:right w:val="single" w:color="auto" w:sz="6" w:space="0"/>
                  </w:tcBorders>
                  <w:vAlign w:val="center"/>
                </w:tcPr>
                <w:p>
                  <w:pPr>
                    <w:pStyle w:val="28"/>
                    <w:bidi w:val="0"/>
                    <w:rPr>
                      <w:color w:val="auto"/>
                      <w:lang w:val="en-GB" w:eastAsia="zh-CN"/>
                    </w:rPr>
                  </w:pPr>
                  <w:r>
                    <w:rPr>
                      <w:rFonts w:hint="eastAsia"/>
                      <w:color w:val="auto"/>
                      <w:lang w:val="en-US" w:eastAsia="zh-CN"/>
                    </w:rPr>
                    <w:t>黄色</w:t>
                  </w:r>
                </w:p>
              </w:tc>
              <w:tc>
                <w:tcPr>
                  <w:tcW w:w="1185" w:type="dxa"/>
                  <w:tcBorders>
                    <w:top w:val="single" w:color="auto" w:sz="6" w:space="0"/>
                    <w:left w:val="single" w:color="auto" w:sz="6" w:space="0"/>
                    <w:bottom w:val="single" w:color="auto" w:sz="6" w:space="0"/>
                    <w:right w:val="nil"/>
                  </w:tcBorders>
                  <w:vAlign w:val="center"/>
                </w:tcPr>
                <w:p>
                  <w:pPr>
                    <w:pStyle w:val="28"/>
                    <w:bidi w:val="0"/>
                    <w:rPr>
                      <w:rFonts w:hint="eastAsia"/>
                      <w:color w:val="auto"/>
                      <w:lang w:val="en-GB" w:eastAsia="zh-CN"/>
                    </w:rPr>
                  </w:pPr>
                  <w:r>
                    <w:rPr>
                      <w:rFonts w:hint="eastAsia"/>
                      <w:color w:val="auto"/>
                      <w:lang w:val="en-US" w:eastAsia="zh-CN"/>
                    </w:rPr>
                    <w:t>黄色</w:t>
                  </w:r>
                </w:p>
              </w:tc>
            </w:tr>
            <w:tr>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cantSplit/>
                <w:trHeight w:val="340" w:hRule="atLeast"/>
                <w:jc w:val="center"/>
              </w:trPr>
              <w:tc>
                <w:tcPr>
                  <w:tcW w:w="1360" w:type="dxa"/>
                  <w:tcBorders>
                    <w:top w:val="single" w:color="auto" w:sz="6" w:space="0"/>
                    <w:left w:val="nil"/>
                    <w:bottom w:val="single" w:color="auto" w:sz="12" w:space="0"/>
                    <w:right w:val="single" w:color="auto" w:sz="6" w:space="0"/>
                  </w:tcBorders>
                  <w:vAlign w:val="center"/>
                </w:tcPr>
                <w:p>
                  <w:pPr>
                    <w:pStyle w:val="28"/>
                    <w:bidi w:val="0"/>
                    <w:rPr>
                      <w:rFonts w:hint="eastAsia"/>
                      <w:color w:val="auto"/>
                      <w:lang w:val="en-GB" w:eastAsia="zh-CN"/>
                    </w:rPr>
                  </w:pPr>
                  <w:r>
                    <w:rPr>
                      <w:color w:val="auto"/>
                      <w:lang w:val="en-GB"/>
                    </w:rPr>
                    <w:t>图形颜色</w:t>
                  </w:r>
                </w:p>
              </w:tc>
              <w:tc>
                <w:tcPr>
                  <w:tcW w:w="1232" w:type="dxa"/>
                  <w:tcBorders>
                    <w:top w:val="single" w:color="auto" w:sz="6" w:space="0"/>
                    <w:left w:val="single" w:color="auto" w:sz="6" w:space="0"/>
                    <w:bottom w:val="single" w:color="auto" w:sz="12" w:space="0"/>
                    <w:right w:val="single" w:color="auto" w:sz="6" w:space="0"/>
                  </w:tcBorders>
                  <w:vAlign w:val="center"/>
                </w:tcPr>
                <w:p>
                  <w:pPr>
                    <w:pStyle w:val="28"/>
                    <w:bidi w:val="0"/>
                    <w:rPr>
                      <w:color w:val="auto"/>
                      <w:lang w:val="en-GB" w:eastAsia="zh-CN"/>
                    </w:rPr>
                  </w:pPr>
                  <w:r>
                    <w:rPr>
                      <w:color w:val="auto"/>
                      <w:lang w:val="en-GB"/>
                    </w:rPr>
                    <w:t>黑色</w:t>
                  </w:r>
                </w:p>
              </w:tc>
              <w:tc>
                <w:tcPr>
                  <w:tcW w:w="1232" w:type="dxa"/>
                  <w:tcBorders>
                    <w:top w:val="single" w:color="auto" w:sz="6" w:space="0"/>
                    <w:left w:val="single" w:color="auto" w:sz="6" w:space="0"/>
                    <w:bottom w:val="single" w:color="auto" w:sz="12" w:space="0"/>
                    <w:right w:val="single" w:color="auto" w:sz="6" w:space="0"/>
                  </w:tcBorders>
                  <w:vAlign w:val="center"/>
                </w:tcPr>
                <w:p>
                  <w:pPr>
                    <w:pStyle w:val="28"/>
                    <w:bidi w:val="0"/>
                    <w:rPr>
                      <w:color w:val="auto"/>
                      <w:lang w:val="en-GB" w:eastAsia="zh-CN"/>
                    </w:rPr>
                  </w:pPr>
                  <w:r>
                    <w:rPr>
                      <w:color w:val="auto"/>
                      <w:lang w:val="en-GB"/>
                    </w:rPr>
                    <w:t>黑色</w:t>
                  </w:r>
                </w:p>
              </w:tc>
              <w:tc>
                <w:tcPr>
                  <w:tcW w:w="1232" w:type="dxa"/>
                  <w:tcBorders>
                    <w:top w:val="single" w:color="auto" w:sz="6" w:space="0"/>
                    <w:left w:val="single" w:color="auto" w:sz="6" w:space="0"/>
                    <w:bottom w:val="single" w:color="auto" w:sz="12" w:space="0"/>
                    <w:right w:val="single" w:color="auto" w:sz="6" w:space="0"/>
                  </w:tcBorders>
                  <w:vAlign w:val="center"/>
                </w:tcPr>
                <w:p>
                  <w:pPr>
                    <w:pStyle w:val="28"/>
                    <w:bidi w:val="0"/>
                    <w:rPr>
                      <w:color w:val="auto"/>
                      <w:lang w:val="en-GB" w:eastAsia="zh-CN"/>
                    </w:rPr>
                  </w:pPr>
                  <w:r>
                    <w:rPr>
                      <w:color w:val="auto"/>
                      <w:lang w:val="en-GB"/>
                    </w:rPr>
                    <w:t>黑色</w:t>
                  </w:r>
                </w:p>
              </w:tc>
              <w:tc>
                <w:tcPr>
                  <w:tcW w:w="1280" w:type="dxa"/>
                  <w:tcBorders>
                    <w:top w:val="single" w:color="auto" w:sz="6" w:space="0"/>
                    <w:left w:val="single" w:color="auto" w:sz="6" w:space="0"/>
                    <w:bottom w:val="single" w:color="auto" w:sz="12" w:space="0"/>
                    <w:right w:val="single" w:color="auto" w:sz="6" w:space="0"/>
                  </w:tcBorders>
                  <w:vAlign w:val="center"/>
                </w:tcPr>
                <w:p>
                  <w:pPr>
                    <w:pStyle w:val="28"/>
                    <w:bidi w:val="0"/>
                    <w:rPr>
                      <w:color w:val="auto"/>
                      <w:lang w:val="en-GB" w:eastAsia="zh-CN"/>
                    </w:rPr>
                  </w:pPr>
                  <w:r>
                    <w:rPr>
                      <w:color w:val="auto"/>
                      <w:lang w:val="en-GB"/>
                    </w:rPr>
                    <w:t>黑色</w:t>
                  </w:r>
                </w:p>
              </w:tc>
              <w:tc>
                <w:tcPr>
                  <w:tcW w:w="1185" w:type="dxa"/>
                  <w:tcBorders>
                    <w:top w:val="single" w:color="auto" w:sz="6" w:space="0"/>
                    <w:left w:val="single" w:color="auto" w:sz="6" w:space="0"/>
                    <w:bottom w:val="single" w:color="auto" w:sz="12" w:space="0"/>
                    <w:right w:val="nil"/>
                  </w:tcBorders>
                  <w:vAlign w:val="center"/>
                </w:tcPr>
                <w:p>
                  <w:pPr>
                    <w:pStyle w:val="28"/>
                    <w:bidi w:val="0"/>
                    <w:rPr>
                      <w:rFonts w:hint="eastAsia"/>
                      <w:color w:val="auto"/>
                      <w:lang w:val="en-GB" w:eastAsia="zh-CN"/>
                    </w:rPr>
                  </w:pPr>
                  <w:r>
                    <w:rPr>
                      <w:color w:val="auto"/>
                      <w:lang w:val="en-GB"/>
                    </w:rPr>
                    <w:t>黑色</w:t>
                  </w:r>
                </w:p>
              </w:tc>
            </w:tr>
          </w:tbl>
          <w:p>
            <w:pPr>
              <w:bidi w:val="0"/>
              <w:rPr>
                <w:rFonts w:hint="default"/>
                <w:color w:val="auto"/>
                <w:lang w:val="en-US" w:eastAsia="zh-CN"/>
              </w:rPr>
            </w:pPr>
            <w:bookmarkStart w:id="45" w:name="_Toc492278677"/>
            <w:bookmarkStart w:id="46" w:name="_Toc490031280"/>
            <w:r>
              <w:rPr>
                <w:rFonts w:hint="default"/>
                <w:color w:val="auto"/>
                <w:lang w:val="en-US" w:eastAsia="zh-CN"/>
              </w:rPr>
              <w:t>环保信息公开要求</w:t>
            </w:r>
            <w:bookmarkEnd w:id="45"/>
            <w:bookmarkEnd w:id="46"/>
            <w:r>
              <w:rPr>
                <w:rFonts w:hint="eastAsia"/>
                <w:color w:val="auto"/>
                <w:lang w:val="en-US" w:eastAsia="zh-CN"/>
              </w:rPr>
              <w:t>：</w:t>
            </w:r>
          </w:p>
          <w:p>
            <w:pPr>
              <w:bidi w:val="0"/>
              <w:rPr>
                <w:rFonts w:hint="eastAsia"/>
                <w:color w:val="auto"/>
                <w:lang w:val="en-US" w:eastAsia="zh-CN"/>
              </w:rPr>
            </w:pPr>
            <w:r>
              <w:rPr>
                <w:rFonts w:hint="eastAsia"/>
                <w:color w:val="auto"/>
                <w:lang w:val="en-US" w:eastAsia="zh-CN"/>
              </w:rPr>
              <w:t>参照</w:t>
            </w:r>
            <w:r>
              <w:rPr>
                <w:rFonts w:hint="default"/>
                <w:color w:val="auto"/>
                <w:lang w:val="en-US" w:eastAsia="zh-CN"/>
              </w:rPr>
              <w:t>2021年11月26日生态环境部</w:t>
            </w:r>
            <w:r>
              <w:rPr>
                <w:rFonts w:hint="eastAsia"/>
                <w:color w:val="auto"/>
                <w:lang w:val="en-US" w:eastAsia="zh-CN"/>
              </w:rPr>
              <w:t>发布的</w:t>
            </w:r>
            <w:r>
              <w:rPr>
                <w:rFonts w:hint="default"/>
                <w:color w:val="auto"/>
                <w:lang w:val="en-US" w:eastAsia="zh-CN"/>
              </w:rPr>
              <w:t>《企业环境信息依法披露管理办法》</w:t>
            </w:r>
            <w:r>
              <w:rPr>
                <w:rFonts w:hint="eastAsia"/>
                <w:color w:val="auto"/>
                <w:lang w:val="en-US" w:eastAsia="zh-CN"/>
              </w:rPr>
              <w:t>(生态环境部令第24号)要求可知，企业应当建立健全环境信息依法披露管理制度，规范工作规程，明确工作职责，建立准确的环境信息管理台账，妥善保存相关原始记录，科学统计归集相关环境信息。</w:t>
            </w:r>
            <w:r>
              <w:rPr>
                <w:rFonts w:hint="default"/>
                <w:color w:val="auto"/>
                <w:lang w:val="en-US" w:eastAsia="zh-CN"/>
              </w:rPr>
              <w:t>企业年度环境信息依法披露报告应当包括以下内容</w:t>
            </w:r>
            <w:r>
              <w:rPr>
                <w:rFonts w:hint="eastAsia"/>
                <w:color w:val="auto"/>
                <w:lang w:val="en-US" w:eastAsia="zh-CN"/>
              </w:rPr>
              <w:t>：</w:t>
            </w:r>
          </w:p>
          <w:p>
            <w:pPr>
              <w:bidi w:val="0"/>
              <w:rPr>
                <w:rFonts w:hint="eastAsia"/>
                <w:color w:val="auto"/>
                <w:lang w:val="en-US" w:eastAsia="zh-CN"/>
              </w:rPr>
            </w:pPr>
            <w:r>
              <w:rPr>
                <w:rFonts w:hint="eastAsia"/>
                <w:color w:val="auto"/>
                <w:lang w:val="en-US" w:eastAsia="zh-CN"/>
              </w:rPr>
              <w:t>（1）企业基本信息，包括企业生产和生态环境保护等方面的基础信息；</w:t>
            </w:r>
          </w:p>
          <w:p>
            <w:pPr>
              <w:bidi w:val="0"/>
              <w:rPr>
                <w:rFonts w:hint="eastAsia"/>
                <w:color w:val="auto"/>
                <w:lang w:val="en-US" w:eastAsia="zh-CN"/>
              </w:rPr>
            </w:pPr>
            <w:r>
              <w:rPr>
                <w:rFonts w:hint="eastAsia"/>
                <w:color w:val="auto"/>
                <w:lang w:val="en-US" w:eastAsia="zh-CN"/>
              </w:rPr>
              <w:t>（2）企业环境管理信息，包括生态环境行政许可、环境保护税、环境污染责任保险、环保信用评价等方面的信息；</w:t>
            </w:r>
          </w:p>
          <w:p>
            <w:pPr>
              <w:bidi w:val="0"/>
              <w:rPr>
                <w:rFonts w:hint="eastAsia"/>
                <w:color w:val="auto"/>
                <w:lang w:val="en-US" w:eastAsia="zh-CN"/>
              </w:rPr>
            </w:pPr>
            <w:r>
              <w:rPr>
                <w:rFonts w:hint="eastAsia"/>
                <w:color w:val="auto"/>
                <w:lang w:val="en-US" w:eastAsia="zh-CN"/>
              </w:rPr>
              <w:t>（3）污染物产生、治理与排放信息，包括污染防治设施，污染物排放，有毒有害物质排放，工业固体废物和危险废物产生、贮存、流向、利用、处置，自行监测等方面的信息；</w:t>
            </w:r>
          </w:p>
          <w:p>
            <w:pPr>
              <w:bidi w:val="0"/>
              <w:rPr>
                <w:rFonts w:hint="eastAsia"/>
                <w:color w:val="auto"/>
                <w:lang w:val="en-US" w:eastAsia="zh-CN"/>
              </w:rPr>
            </w:pPr>
            <w:r>
              <w:rPr>
                <w:rFonts w:hint="eastAsia"/>
                <w:color w:val="auto"/>
                <w:lang w:val="en-US" w:eastAsia="zh-CN"/>
              </w:rPr>
              <w:t>（4）碳排放信息，包括排放量、排放设施等方面的信息；</w:t>
            </w:r>
          </w:p>
          <w:p>
            <w:pPr>
              <w:bidi w:val="0"/>
              <w:rPr>
                <w:rFonts w:hint="eastAsia"/>
                <w:color w:val="auto"/>
                <w:lang w:val="en-US" w:eastAsia="zh-CN"/>
              </w:rPr>
            </w:pPr>
            <w:r>
              <w:rPr>
                <w:rFonts w:hint="eastAsia"/>
                <w:color w:val="auto"/>
                <w:lang w:val="en-US" w:eastAsia="zh-CN"/>
              </w:rPr>
              <w:t>（5）生态环境应急信息，包括突发环境事件应急预案、重污染天气应急响应等方面的信息；</w:t>
            </w:r>
          </w:p>
          <w:p>
            <w:pPr>
              <w:bidi w:val="0"/>
              <w:rPr>
                <w:rFonts w:hint="eastAsia"/>
                <w:color w:val="auto"/>
                <w:lang w:val="en-US" w:eastAsia="zh-CN"/>
              </w:rPr>
            </w:pPr>
            <w:r>
              <w:rPr>
                <w:rFonts w:hint="eastAsia"/>
                <w:color w:val="auto"/>
                <w:lang w:val="en-US" w:eastAsia="zh-CN"/>
              </w:rPr>
              <w:t>（6）生态环境违法信息；</w:t>
            </w:r>
          </w:p>
          <w:p>
            <w:pPr>
              <w:bidi w:val="0"/>
              <w:rPr>
                <w:rFonts w:hint="eastAsia"/>
                <w:color w:val="auto"/>
                <w:lang w:val="en-US" w:eastAsia="zh-CN"/>
              </w:rPr>
            </w:pPr>
            <w:r>
              <w:rPr>
                <w:rFonts w:hint="eastAsia"/>
                <w:color w:val="auto"/>
                <w:lang w:val="en-US" w:eastAsia="zh-CN"/>
              </w:rPr>
              <w:t>（7）本年度临时环境信息依法披露情况；</w:t>
            </w:r>
          </w:p>
          <w:p>
            <w:pPr>
              <w:bidi w:val="0"/>
              <w:rPr>
                <w:rFonts w:hint="default"/>
                <w:color w:val="auto"/>
                <w:lang w:val="en-US" w:eastAsia="zh-CN"/>
              </w:rPr>
            </w:pPr>
            <w:r>
              <w:rPr>
                <w:rFonts w:hint="eastAsia"/>
                <w:color w:val="auto"/>
                <w:lang w:val="en-US" w:eastAsia="zh-CN"/>
              </w:rPr>
              <w:t>（8）法律法规规定的其他环境信息。</w:t>
            </w:r>
          </w:p>
          <w:p>
            <w:pPr>
              <w:bidi w:val="0"/>
              <w:rPr>
                <w:rFonts w:hint="default"/>
                <w:color w:val="auto"/>
              </w:rPr>
            </w:pPr>
            <w:r>
              <w:rPr>
                <w:rFonts w:hint="eastAsia"/>
                <w:color w:val="auto"/>
                <w:lang w:val="en-US" w:eastAsia="zh-CN"/>
              </w:rPr>
              <w:t>企业可以根据实际情况对已披露的环境信息进行变更；进行变更的，应当以临时环境信息依法披露报告的形式变更，并说明变更事项和理由。企业应当于每年3月15日前披露上一年度1月1日至12月31日的环境信息。</w:t>
            </w:r>
          </w:p>
        </w:tc>
      </w:tr>
    </w:tbl>
    <w:p>
      <w:pPr>
        <w:pStyle w:val="19"/>
        <w:jc w:val="center"/>
        <w:outlineLvl w:val="0"/>
        <w:rPr>
          <w:rFonts w:hint="default" w:ascii="Times New Roman" w:hAnsi="Times New Roman" w:eastAsia="宋体" w:cs="Times New Roman"/>
          <w:b/>
          <w:bCs/>
          <w:snapToGrid w:val="0"/>
          <w:color w:val="auto"/>
          <w:sz w:val="30"/>
          <w:szCs w:val="30"/>
        </w:rPr>
        <w:sectPr>
          <w:pgSz w:w="11906" w:h="16838"/>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19"/>
        <w:jc w:val="center"/>
        <w:outlineLvl w:val="0"/>
        <w:rPr>
          <w:rFonts w:hint="eastAsia" w:ascii="Times New Roman" w:hAnsi="Times New Roman" w:eastAsia="宋体" w:cs="Times New Roman"/>
          <w:b/>
          <w:bCs/>
          <w:snapToGrid w:val="0"/>
          <w:color w:val="auto"/>
          <w:sz w:val="30"/>
          <w:szCs w:val="30"/>
          <w:lang w:eastAsia="zh-CN"/>
        </w:rPr>
      </w:pPr>
      <w:bookmarkStart w:id="47" w:name="_Toc22561"/>
      <w:r>
        <w:rPr>
          <w:rFonts w:hint="eastAsia" w:ascii="Times New Roman" w:hAnsi="Times New Roman" w:eastAsia="宋体" w:cs="Times New Roman"/>
          <w:color w:val="auto"/>
          <w:lang w:eastAsia="zh-CN"/>
        </w:rPr>
        <w:drawing>
          <wp:anchor distT="0" distB="0" distL="114300" distR="114300" simplePos="0" relativeHeight="251663360" behindDoc="0" locked="0" layoutInCell="1" allowOverlap="1">
            <wp:simplePos x="0" y="0"/>
            <wp:positionH relativeFrom="column">
              <wp:posOffset>-898525</wp:posOffset>
            </wp:positionH>
            <wp:positionV relativeFrom="paragraph">
              <wp:posOffset>-882650</wp:posOffset>
            </wp:positionV>
            <wp:extent cx="7536815" cy="10661650"/>
            <wp:effectExtent l="0" t="0" r="6985" b="6350"/>
            <wp:wrapNone/>
            <wp:docPr id="111" name="图片 111" descr="扫描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扫描_11"/>
                    <pic:cNvPicPr>
                      <a:picLocks noChangeAspect="1"/>
                    </pic:cNvPicPr>
                  </pic:nvPicPr>
                  <pic:blipFill>
                    <a:blip r:embed="rId30"/>
                    <a:stretch>
                      <a:fillRect/>
                    </a:stretch>
                  </pic:blipFill>
                  <pic:spPr>
                    <a:xfrm>
                      <a:off x="0" y="0"/>
                      <a:ext cx="7536815" cy="10661650"/>
                    </a:xfrm>
                    <a:prstGeom prst="rect">
                      <a:avLst/>
                    </a:prstGeom>
                  </pic:spPr>
                </pic:pic>
              </a:graphicData>
            </a:graphic>
          </wp:anchor>
        </w:drawing>
      </w:r>
      <w:r>
        <w:rPr>
          <w:rFonts w:hint="default" w:ascii="Times New Roman" w:hAnsi="Times New Roman" w:eastAsia="宋体" w:cs="Times New Roman"/>
          <w:b/>
          <w:bCs/>
          <w:snapToGrid w:val="0"/>
          <w:color w:val="auto"/>
          <w:sz w:val="30"/>
          <w:szCs w:val="30"/>
        </w:rPr>
        <w:t>六、结论</w:t>
      </w:r>
      <w:bookmarkEnd w:id="41"/>
      <w:bookmarkEnd w:id="47"/>
    </w:p>
    <w:tbl>
      <w:tblPr>
        <w:tblStyle w:val="24"/>
        <w:tblW w:w="8865"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8865" w:type="dxa"/>
            <w:vAlign w:val="top"/>
          </w:tcPr>
          <w:p>
            <w:pPr>
              <w:pStyle w:val="3"/>
              <w:bidi w:val="0"/>
              <w:rPr>
                <w:rFonts w:hint="default"/>
                <w:color w:val="auto"/>
              </w:rPr>
            </w:pPr>
            <w:bookmarkStart w:id="48" w:name="_Toc8175"/>
            <w:r>
              <w:rPr>
                <w:rFonts w:hint="default"/>
                <w:color w:val="auto"/>
                <w:lang w:val="en-US" w:eastAsia="zh-CN"/>
              </w:rPr>
              <w:t>6.1</w:t>
            </w:r>
            <w:r>
              <w:rPr>
                <w:rFonts w:hint="default"/>
                <w:color w:val="auto"/>
              </w:rPr>
              <w:t xml:space="preserve"> 总结论</w:t>
            </w:r>
            <w:bookmarkEnd w:id="48"/>
          </w:p>
          <w:p>
            <w:pPr>
              <w:bidi w:val="0"/>
              <w:rPr>
                <w:rFonts w:hint="default"/>
                <w:color w:val="auto"/>
                <w:lang w:eastAsia="zh-CN"/>
              </w:rPr>
            </w:pPr>
            <w:r>
              <w:rPr>
                <w:rFonts w:hint="eastAsia"/>
                <w:color w:val="auto"/>
                <w:lang w:val="en-US" w:eastAsia="zh-CN"/>
              </w:rPr>
              <w:t>福建融瀚建材有限公司年加工预拌商品混凝土80万立方米、砼结构件20万立方米、年回收加工建筑垃圾60万立方米（变更）项目的建设内容符合</w:t>
            </w:r>
            <w:r>
              <w:rPr>
                <w:rFonts w:hint="default"/>
                <w:color w:val="auto"/>
                <w:lang w:val="en-US" w:eastAsia="zh-CN"/>
              </w:rPr>
              <w:t>国家产业政策，</w:t>
            </w:r>
            <w:r>
              <w:rPr>
                <w:rFonts w:hint="eastAsia"/>
                <w:color w:val="auto"/>
                <w:lang w:val="en-US" w:eastAsia="zh-CN"/>
              </w:rPr>
              <w:t>符合</w:t>
            </w:r>
            <w:r>
              <w:rPr>
                <w:rFonts w:hint="eastAsia" w:ascii="Times New Roman" w:hAnsi="Times New Roman" w:eastAsia="宋体" w:cs="Times New Roman"/>
                <w:color w:val="auto"/>
                <w:sz w:val="24"/>
                <w:szCs w:val="24"/>
                <w:lang w:val="en-US" w:eastAsia="zh-CN"/>
              </w:rPr>
              <w:t>福清市</w:t>
            </w:r>
            <w:r>
              <w:rPr>
                <w:rFonts w:hint="eastAsia"/>
                <w:color w:val="auto"/>
                <w:lang w:val="en-US" w:eastAsia="zh-CN"/>
              </w:rPr>
              <w:t>国土空间规划和</w:t>
            </w:r>
            <w:r>
              <w:rPr>
                <w:rFonts w:hint="default"/>
                <w:color w:val="auto"/>
                <w:lang w:val="en-US" w:eastAsia="zh-CN"/>
              </w:rPr>
              <w:t>生态环境分区管控要求</w:t>
            </w:r>
            <w:r>
              <w:rPr>
                <w:rFonts w:hint="eastAsia"/>
                <w:color w:val="auto"/>
                <w:lang w:val="en-US" w:eastAsia="zh-CN"/>
              </w:rPr>
              <w:t>，选址基本合理。</w:t>
            </w:r>
            <w:r>
              <w:rPr>
                <w:rFonts w:hint="default"/>
                <w:color w:val="auto"/>
                <w:lang w:eastAsia="zh-CN"/>
              </w:rPr>
              <w:t>通过对本项目的环境影响分析，项目运营过程中</w:t>
            </w:r>
            <w:r>
              <w:rPr>
                <w:rFonts w:hint="eastAsia"/>
                <w:color w:val="auto"/>
                <w:lang w:val="en-US" w:eastAsia="zh-CN"/>
              </w:rPr>
              <w:t>废水</w:t>
            </w:r>
            <w:r>
              <w:rPr>
                <w:rFonts w:hint="default"/>
                <w:color w:val="auto"/>
                <w:lang w:eastAsia="zh-CN"/>
              </w:rPr>
              <w:t>、废气、噪声、固废等污染物对周围环境空气质量、水环境、声环境</w:t>
            </w:r>
            <w:r>
              <w:rPr>
                <w:rFonts w:hint="eastAsia"/>
                <w:color w:val="auto"/>
                <w:lang w:eastAsia="zh-CN"/>
              </w:rPr>
              <w:t>、</w:t>
            </w:r>
            <w:r>
              <w:rPr>
                <w:rFonts w:hint="eastAsia"/>
                <w:color w:val="auto"/>
                <w:lang w:val="en-US" w:eastAsia="zh-CN"/>
              </w:rPr>
              <w:t>地下水和土壤环境</w:t>
            </w:r>
            <w:r>
              <w:rPr>
                <w:rFonts w:hint="default"/>
                <w:color w:val="auto"/>
                <w:lang w:eastAsia="zh-CN"/>
              </w:rPr>
              <w:t>等</w:t>
            </w:r>
            <w:r>
              <w:rPr>
                <w:rFonts w:hint="eastAsia"/>
                <w:color w:val="auto"/>
                <w:lang w:val="en-US" w:eastAsia="zh-CN"/>
              </w:rPr>
              <w:t>会</w:t>
            </w:r>
            <w:r>
              <w:rPr>
                <w:rFonts w:hint="default"/>
                <w:color w:val="auto"/>
                <w:lang w:eastAsia="zh-CN"/>
              </w:rPr>
              <w:t>造成一定不利影响，经采取综合性、积极有效的防治措施并确保污染物达标排放后，可避免或减少这些不利影响，影响均在环境可接受的范围内。</w:t>
            </w:r>
          </w:p>
          <w:p>
            <w:pPr>
              <w:bidi w:val="0"/>
              <w:rPr>
                <w:rFonts w:hint="default"/>
                <w:color w:val="auto"/>
                <w:lang w:val="en-US" w:eastAsia="zh-CN"/>
              </w:rPr>
            </w:pPr>
            <w:r>
              <w:rPr>
                <w:rFonts w:hint="default"/>
                <w:color w:val="auto"/>
                <w:lang w:val="en-US" w:eastAsia="zh-CN"/>
              </w:rPr>
              <w:t>综上所述，在严格执行环保“三同时”制度，全面落实环境影响报告表提出的各项污染防治措施、加强环境风险管理并确保各类污染物达标排放的前提下，从环境影响的角度分析，项目建设可行。</w:t>
            </w:r>
          </w:p>
          <w:p>
            <w:pPr>
              <w:spacing w:line="360" w:lineRule="auto"/>
              <w:ind w:firstLine="480" w:firstLineChars="200"/>
              <w:jc w:val="both"/>
              <w:rPr>
                <w:rFonts w:hint="eastAsia" w:ascii="Times New Roman" w:hAnsi="Times New Roman" w:eastAsia="宋体" w:cs="Times New Roman"/>
                <w:color w:val="auto"/>
                <w:sz w:val="24"/>
                <w:lang w:eastAsia="zh-CN"/>
              </w:rPr>
            </w:pPr>
          </w:p>
          <w:p>
            <w:pPr>
              <w:pStyle w:val="10"/>
              <w:rPr>
                <w:rFonts w:hint="eastAsia" w:ascii="Times New Roman" w:hAnsi="Times New Roman" w:eastAsia="宋体"/>
                <w:color w:val="auto"/>
                <w:sz w:val="24"/>
                <w:szCs w:val="32"/>
                <w:lang w:eastAsia="zh-CN"/>
              </w:rPr>
            </w:pPr>
          </w:p>
          <w:p>
            <w:pPr>
              <w:keepNext w:val="0"/>
              <w:keepLines w:val="0"/>
              <w:pageBreakBefore w:val="0"/>
              <w:widowControl w:val="0"/>
              <w:kinsoku/>
              <w:wordWrap/>
              <w:overflowPunct/>
              <w:topLinePunct w:val="0"/>
              <w:autoSpaceDE w:val="0"/>
              <w:autoSpaceDN w:val="0"/>
              <w:bidi w:val="0"/>
              <w:adjustRightInd w:val="0"/>
              <w:snapToGrid w:val="0"/>
              <w:spacing w:line="360" w:lineRule="auto"/>
              <w:ind w:right="0"/>
              <w:jc w:val="right"/>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eastAsia="zh-CN"/>
              </w:rPr>
              <w:t>编制单位：</w:t>
            </w:r>
            <w:r>
              <w:rPr>
                <w:rFonts w:hint="eastAsia" w:ascii="Times New Roman" w:hAnsi="Times New Roman" w:eastAsia="宋体" w:cs="Times New Roman"/>
                <w:b/>
                <w:bCs/>
                <w:color w:val="auto"/>
                <w:sz w:val="24"/>
                <w:szCs w:val="24"/>
                <w:lang w:val="en-US" w:eastAsia="zh-CN"/>
              </w:rPr>
              <w:t>福建绿川环保科技有限公司</w:t>
            </w:r>
          </w:p>
          <w:p>
            <w:pPr>
              <w:keepNext w:val="0"/>
              <w:keepLines w:val="0"/>
              <w:pageBreakBefore w:val="0"/>
              <w:widowControl w:val="0"/>
              <w:kinsoku/>
              <w:wordWrap/>
              <w:overflowPunct/>
              <w:topLinePunct w:val="0"/>
              <w:autoSpaceDE w:val="0"/>
              <w:autoSpaceDN w:val="0"/>
              <w:bidi w:val="0"/>
              <w:adjustRightInd w:val="0"/>
              <w:snapToGrid w:val="0"/>
              <w:spacing w:line="360" w:lineRule="auto"/>
              <w:ind w:right="0" w:firstLine="482" w:firstLineChars="200"/>
              <w:jc w:val="center"/>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eastAsia="zh-CN"/>
              </w:rPr>
              <w:t>编制时间：</w:t>
            </w:r>
            <w:r>
              <w:rPr>
                <w:rFonts w:hint="eastAsia" w:ascii="Times New Roman" w:hAnsi="Times New Roman" w:eastAsia="宋体" w:cs="Times New Roman"/>
                <w:b/>
                <w:bCs/>
                <w:color w:val="auto"/>
                <w:sz w:val="24"/>
                <w:szCs w:val="24"/>
                <w:lang w:val="en-US" w:eastAsia="zh-CN"/>
              </w:rPr>
              <w:t>202</w:t>
            </w:r>
            <w:r>
              <w:rPr>
                <w:rFonts w:hint="eastAsia" w:cs="Times New Roman"/>
                <w:b/>
                <w:bCs/>
                <w:color w:val="auto"/>
                <w:sz w:val="24"/>
                <w:szCs w:val="24"/>
                <w:lang w:val="en-US" w:eastAsia="zh-CN"/>
              </w:rPr>
              <w:t>5</w:t>
            </w:r>
            <w:r>
              <w:rPr>
                <w:rFonts w:hint="eastAsia" w:ascii="Times New Roman" w:hAnsi="Times New Roman" w:eastAsia="宋体" w:cs="Times New Roman"/>
                <w:b/>
                <w:bCs/>
                <w:color w:val="auto"/>
                <w:sz w:val="24"/>
                <w:szCs w:val="24"/>
                <w:lang w:val="en-US" w:eastAsia="zh-CN"/>
              </w:rPr>
              <w:t>年</w:t>
            </w:r>
            <w:r>
              <w:rPr>
                <w:rFonts w:hint="eastAsia" w:cs="Times New Roman"/>
                <w:b/>
                <w:bCs/>
                <w:color w:val="auto"/>
                <w:sz w:val="24"/>
                <w:szCs w:val="24"/>
                <w:lang w:val="en-US" w:eastAsia="zh-CN"/>
              </w:rPr>
              <w:t>10</w:t>
            </w:r>
            <w:r>
              <w:rPr>
                <w:rFonts w:hint="eastAsia" w:ascii="Times New Roman" w:hAnsi="Times New Roman" w:eastAsia="宋体" w:cs="Times New Roman"/>
                <w:b/>
                <w:bCs/>
                <w:color w:val="auto"/>
                <w:sz w:val="24"/>
                <w:szCs w:val="24"/>
                <w:lang w:val="en-US" w:eastAsia="zh-CN"/>
              </w:rPr>
              <w:t>月</w:t>
            </w:r>
          </w:p>
        </w:tc>
      </w:tr>
    </w:tbl>
    <w:p>
      <w:pPr>
        <w:ind w:left="0" w:leftChars="0" w:firstLine="0" w:firstLineChars="0"/>
        <w:rPr>
          <w:rFonts w:hint="eastAsia" w:ascii="Times New Roman" w:hAnsi="Times New Roman" w:eastAsia="宋体" w:cs="Times New Roman"/>
          <w:color w:val="auto"/>
          <w:lang w:eastAsia="zh-CN"/>
        </w:rPr>
        <w:sectPr>
          <w:pgSz w:w="11906" w:h="16838"/>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left="0" w:leftChars="0" w:firstLine="0" w:firstLineChars="0"/>
        <w:textAlignment w:val="auto"/>
        <w:outlineLvl w:val="0"/>
        <w:rPr>
          <w:rFonts w:hint="default" w:ascii="Times New Roman" w:hAnsi="Times New Roman" w:eastAsia="宋体" w:cs="Times New Roman"/>
          <w:b/>
          <w:bCs/>
          <w:snapToGrid w:val="0"/>
          <w:color w:val="auto"/>
          <w:sz w:val="28"/>
          <w:szCs w:val="28"/>
        </w:rPr>
      </w:pPr>
      <w:bookmarkStart w:id="49" w:name="_Toc31987"/>
      <w:bookmarkStart w:id="50" w:name="_Toc1568"/>
      <w:r>
        <w:rPr>
          <w:rFonts w:hint="default" w:ascii="Times New Roman" w:hAnsi="Times New Roman" w:eastAsia="宋体" w:cs="Times New Roman"/>
          <w:b/>
          <w:bCs/>
          <w:snapToGrid w:val="0"/>
          <w:color w:val="auto"/>
          <w:sz w:val="28"/>
          <w:szCs w:val="28"/>
        </w:rPr>
        <w:t>附表</w:t>
      </w:r>
      <w:bookmarkEnd w:id="49"/>
      <w:bookmarkEnd w:id="50"/>
    </w:p>
    <w:p>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b/>
          <w:bCs/>
          <w:snapToGrid w:val="0"/>
          <w:color w:val="auto"/>
          <w:sz w:val="38"/>
          <w:szCs w:val="38"/>
        </w:rPr>
      </w:pPr>
      <w:bookmarkStart w:id="51" w:name="_Toc17241"/>
      <w:bookmarkStart w:id="52" w:name="_Toc13590"/>
      <w:bookmarkStart w:id="53" w:name="_Toc26637"/>
      <w:r>
        <w:rPr>
          <w:rFonts w:hint="default" w:ascii="Times New Roman" w:hAnsi="Times New Roman" w:eastAsia="宋体" w:cs="Times New Roman"/>
          <w:b/>
          <w:bCs/>
          <w:snapToGrid w:val="0"/>
          <w:color w:val="auto"/>
          <w:sz w:val="38"/>
          <w:szCs w:val="38"/>
        </w:rPr>
        <w:t>建设项目污染物排放量汇总表</w:t>
      </w:r>
      <w:bookmarkEnd w:id="51"/>
      <w:bookmarkEnd w:id="52"/>
      <w:bookmarkEnd w:id="53"/>
    </w:p>
    <w:tbl>
      <w:tblPr>
        <w:tblStyle w:val="24"/>
        <w:tblW w:w="14052"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1933"/>
        <w:gridCol w:w="1609"/>
        <w:gridCol w:w="1100"/>
        <w:gridCol w:w="1573"/>
        <w:gridCol w:w="1812"/>
        <w:gridCol w:w="1266"/>
        <w:gridCol w:w="1724"/>
        <w:gridCol w:w="17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46" w:type="dxa"/>
            <w:tcBorders>
              <w:tl2br w:val="single" w:color="auto" w:sz="4" w:space="0"/>
            </w:tcBorders>
            <w:tcMar>
              <w:left w:w="28" w:type="dxa"/>
              <w:right w:w="28" w:type="dxa"/>
            </w:tcMar>
            <w:vAlign w:val="center"/>
          </w:tcPr>
          <w:p>
            <w:pPr>
              <w:pStyle w:val="28"/>
              <w:bidi w:val="0"/>
              <w:jc w:val="right"/>
              <w:rPr>
                <w:rFonts w:hint="default"/>
                <w:color w:val="auto"/>
              </w:rPr>
            </w:pPr>
            <w:r>
              <w:rPr>
                <w:rFonts w:hint="default"/>
                <w:color w:val="auto"/>
              </w:rPr>
              <w:t>项目</w:t>
            </w:r>
          </w:p>
          <w:p>
            <w:pPr>
              <w:pStyle w:val="28"/>
              <w:bidi w:val="0"/>
              <w:jc w:val="both"/>
              <w:rPr>
                <w:rFonts w:hint="default"/>
                <w:color w:val="auto"/>
              </w:rPr>
            </w:pPr>
            <w:r>
              <w:rPr>
                <w:rFonts w:hint="default"/>
                <w:color w:val="auto"/>
              </w:rPr>
              <w:t>分类</w:t>
            </w:r>
          </w:p>
        </w:tc>
        <w:tc>
          <w:tcPr>
            <w:tcW w:w="1933" w:type="dxa"/>
            <w:tcMar>
              <w:left w:w="28" w:type="dxa"/>
              <w:right w:w="28" w:type="dxa"/>
            </w:tcMar>
            <w:vAlign w:val="center"/>
          </w:tcPr>
          <w:p>
            <w:pPr>
              <w:pStyle w:val="28"/>
              <w:bidi w:val="0"/>
              <w:rPr>
                <w:rFonts w:hint="default"/>
                <w:color w:val="auto"/>
              </w:rPr>
            </w:pPr>
            <w:r>
              <w:rPr>
                <w:rFonts w:hint="default"/>
                <w:color w:val="auto"/>
              </w:rPr>
              <w:t>污染物名称</w:t>
            </w:r>
          </w:p>
        </w:tc>
        <w:tc>
          <w:tcPr>
            <w:tcW w:w="1609" w:type="dxa"/>
            <w:tcMar>
              <w:left w:w="28" w:type="dxa"/>
              <w:right w:w="28" w:type="dxa"/>
            </w:tcMar>
            <w:vAlign w:val="center"/>
          </w:tcPr>
          <w:p>
            <w:pPr>
              <w:pStyle w:val="28"/>
              <w:bidi w:val="0"/>
              <w:rPr>
                <w:rFonts w:hint="default"/>
                <w:color w:val="auto"/>
              </w:rPr>
            </w:pPr>
            <w:r>
              <w:rPr>
                <w:rFonts w:hint="default"/>
                <w:color w:val="auto"/>
              </w:rPr>
              <w:t>现有工程</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1 \* GB3 \* MERGEFORMAT </w:instrText>
            </w:r>
            <w:r>
              <w:rPr>
                <w:rFonts w:hint="default"/>
                <w:color w:val="auto"/>
              </w:rPr>
              <w:fldChar w:fldCharType="separate"/>
            </w:r>
            <w:r>
              <w:rPr>
                <w:rFonts w:hint="default"/>
                <w:color w:val="auto"/>
              </w:rPr>
              <w:t>①</w:t>
            </w:r>
            <w:r>
              <w:rPr>
                <w:rFonts w:hint="default"/>
                <w:color w:val="auto"/>
              </w:rPr>
              <w:fldChar w:fldCharType="end"/>
            </w:r>
          </w:p>
        </w:tc>
        <w:tc>
          <w:tcPr>
            <w:tcW w:w="1100" w:type="dxa"/>
            <w:tcMar>
              <w:left w:w="28" w:type="dxa"/>
              <w:right w:w="28" w:type="dxa"/>
            </w:tcMar>
            <w:vAlign w:val="center"/>
          </w:tcPr>
          <w:p>
            <w:pPr>
              <w:pStyle w:val="28"/>
              <w:bidi w:val="0"/>
              <w:rPr>
                <w:rFonts w:hint="default"/>
                <w:color w:val="auto"/>
              </w:rPr>
            </w:pPr>
            <w:r>
              <w:rPr>
                <w:rFonts w:hint="default"/>
                <w:color w:val="auto"/>
              </w:rPr>
              <w:t>现有工程</w:t>
            </w:r>
          </w:p>
          <w:p>
            <w:pPr>
              <w:pStyle w:val="28"/>
              <w:bidi w:val="0"/>
              <w:rPr>
                <w:rFonts w:hint="default"/>
                <w:color w:val="auto"/>
              </w:rPr>
            </w:pPr>
            <w:r>
              <w:rPr>
                <w:rFonts w:hint="default"/>
                <w:color w:val="auto"/>
              </w:rPr>
              <w:t>许可排放量</w:t>
            </w:r>
            <w:r>
              <w:rPr>
                <w:rFonts w:hint="default"/>
                <w:color w:val="auto"/>
              </w:rPr>
              <w:fldChar w:fldCharType="begin"/>
            </w:r>
            <w:r>
              <w:rPr>
                <w:rFonts w:hint="default"/>
                <w:color w:val="auto"/>
              </w:rPr>
              <w:instrText xml:space="preserve"> = 2 \* GB3 \* MERGEFORMAT </w:instrText>
            </w:r>
            <w:r>
              <w:rPr>
                <w:rFonts w:hint="default"/>
                <w:color w:val="auto"/>
              </w:rPr>
              <w:fldChar w:fldCharType="separate"/>
            </w:r>
            <w:r>
              <w:rPr>
                <w:rFonts w:hint="default"/>
                <w:color w:val="auto"/>
              </w:rPr>
              <w:t>②</w:t>
            </w:r>
            <w:r>
              <w:rPr>
                <w:rFonts w:hint="default"/>
                <w:color w:val="auto"/>
              </w:rPr>
              <w:fldChar w:fldCharType="end"/>
            </w:r>
          </w:p>
        </w:tc>
        <w:tc>
          <w:tcPr>
            <w:tcW w:w="1573" w:type="dxa"/>
            <w:tcMar>
              <w:left w:w="28" w:type="dxa"/>
              <w:right w:w="28" w:type="dxa"/>
            </w:tcMar>
            <w:vAlign w:val="center"/>
          </w:tcPr>
          <w:p>
            <w:pPr>
              <w:pStyle w:val="28"/>
              <w:bidi w:val="0"/>
              <w:rPr>
                <w:rFonts w:hint="default"/>
                <w:color w:val="auto"/>
              </w:rPr>
            </w:pPr>
            <w:r>
              <w:rPr>
                <w:rFonts w:hint="default"/>
                <w:color w:val="auto"/>
              </w:rPr>
              <w:t>在建工程</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3 \* GB3 \* MERGEFORMAT </w:instrText>
            </w:r>
            <w:r>
              <w:rPr>
                <w:rFonts w:hint="default"/>
                <w:color w:val="auto"/>
              </w:rPr>
              <w:fldChar w:fldCharType="separate"/>
            </w:r>
            <w:r>
              <w:rPr>
                <w:rFonts w:hint="default"/>
                <w:color w:val="auto"/>
              </w:rPr>
              <w:t>③</w:t>
            </w:r>
            <w:r>
              <w:rPr>
                <w:rFonts w:hint="default"/>
                <w:color w:val="auto"/>
              </w:rPr>
              <w:fldChar w:fldCharType="end"/>
            </w:r>
          </w:p>
        </w:tc>
        <w:tc>
          <w:tcPr>
            <w:tcW w:w="1812" w:type="dxa"/>
            <w:tcMar>
              <w:left w:w="28" w:type="dxa"/>
              <w:right w:w="28" w:type="dxa"/>
            </w:tcMar>
            <w:vAlign w:val="center"/>
          </w:tcPr>
          <w:p>
            <w:pPr>
              <w:pStyle w:val="28"/>
              <w:bidi w:val="0"/>
              <w:rPr>
                <w:rFonts w:hint="default"/>
                <w:color w:val="auto"/>
              </w:rPr>
            </w:pPr>
            <w:r>
              <w:rPr>
                <w:rFonts w:hint="default"/>
                <w:color w:val="auto"/>
              </w:rPr>
              <w:t>本项目</w:t>
            </w:r>
          </w:p>
          <w:p>
            <w:pPr>
              <w:pStyle w:val="28"/>
              <w:bidi w:val="0"/>
              <w:rPr>
                <w:rFonts w:hint="default"/>
                <w:color w:val="auto"/>
              </w:rPr>
            </w:pPr>
            <w:r>
              <w:rPr>
                <w:rFonts w:hint="default"/>
                <w:color w:val="auto"/>
              </w:rPr>
              <w:t>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4 \* GB3 \* MERGEFORMAT </w:instrText>
            </w:r>
            <w:r>
              <w:rPr>
                <w:rFonts w:hint="default"/>
                <w:color w:val="auto"/>
              </w:rPr>
              <w:fldChar w:fldCharType="separate"/>
            </w:r>
            <w:r>
              <w:rPr>
                <w:rFonts w:hint="default"/>
                <w:color w:val="auto"/>
              </w:rPr>
              <w:t>④</w:t>
            </w:r>
            <w:r>
              <w:rPr>
                <w:rFonts w:hint="default"/>
                <w:color w:val="auto"/>
              </w:rPr>
              <w:fldChar w:fldCharType="end"/>
            </w:r>
          </w:p>
        </w:tc>
        <w:tc>
          <w:tcPr>
            <w:tcW w:w="1266" w:type="dxa"/>
            <w:tcMar>
              <w:left w:w="28" w:type="dxa"/>
              <w:right w:w="28" w:type="dxa"/>
            </w:tcMar>
            <w:vAlign w:val="center"/>
          </w:tcPr>
          <w:p>
            <w:pPr>
              <w:pStyle w:val="28"/>
              <w:bidi w:val="0"/>
              <w:rPr>
                <w:rFonts w:hint="default"/>
                <w:color w:val="auto"/>
              </w:rPr>
            </w:pPr>
            <w:r>
              <w:rPr>
                <w:rFonts w:hint="default"/>
                <w:color w:val="auto"/>
              </w:rPr>
              <w:t>以新带老削减量</w:t>
            </w:r>
            <w:r>
              <w:rPr>
                <w:rFonts w:hint="eastAsia"/>
                <w:color w:val="auto"/>
                <w:lang w:val="en-US" w:eastAsia="zh-CN"/>
              </w:rPr>
              <w:t>(</w:t>
            </w:r>
            <w:r>
              <w:rPr>
                <w:rFonts w:hint="default"/>
                <w:color w:val="auto"/>
              </w:rPr>
              <w:t>新建项目不填</w:t>
            </w:r>
            <w:r>
              <w:rPr>
                <w:rFonts w:hint="eastAsia"/>
                <w:color w:val="auto"/>
                <w:lang w:val="en-US" w:eastAsia="zh-CN"/>
              </w:rPr>
              <w:t>)</w:t>
            </w:r>
            <w:r>
              <w:rPr>
                <w:rFonts w:hint="default"/>
                <w:color w:val="auto"/>
              </w:rPr>
              <w:fldChar w:fldCharType="begin"/>
            </w:r>
            <w:r>
              <w:rPr>
                <w:rFonts w:hint="default"/>
                <w:color w:val="auto"/>
              </w:rPr>
              <w:instrText xml:space="preserve"> = 5 \* GB3 \* MERGEFORMAT </w:instrText>
            </w:r>
            <w:r>
              <w:rPr>
                <w:rFonts w:hint="default"/>
                <w:color w:val="auto"/>
              </w:rPr>
              <w:fldChar w:fldCharType="separate"/>
            </w:r>
            <w:r>
              <w:rPr>
                <w:rFonts w:hint="default"/>
                <w:color w:val="auto"/>
              </w:rPr>
              <w:t>⑤</w:t>
            </w:r>
            <w:r>
              <w:rPr>
                <w:rFonts w:hint="default"/>
                <w:color w:val="auto"/>
              </w:rPr>
              <w:fldChar w:fldCharType="end"/>
            </w:r>
          </w:p>
        </w:tc>
        <w:tc>
          <w:tcPr>
            <w:tcW w:w="1724" w:type="dxa"/>
            <w:tcMar>
              <w:left w:w="28" w:type="dxa"/>
              <w:right w:w="28" w:type="dxa"/>
            </w:tcMar>
            <w:vAlign w:val="center"/>
          </w:tcPr>
          <w:p>
            <w:pPr>
              <w:pStyle w:val="28"/>
              <w:bidi w:val="0"/>
              <w:rPr>
                <w:rFonts w:hint="default"/>
                <w:color w:val="auto"/>
              </w:rPr>
            </w:pPr>
            <w:r>
              <w:rPr>
                <w:rFonts w:hint="default"/>
                <w:color w:val="auto"/>
              </w:rPr>
              <w:t>本项目建成后</w:t>
            </w:r>
          </w:p>
          <w:p>
            <w:pPr>
              <w:pStyle w:val="28"/>
              <w:bidi w:val="0"/>
              <w:rPr>
                <w:rFonts w:hint="default"/>
                <w:color w:val="auto"/>
              </w:rPr>
            </w:pPr>
            <w:r>
              <w:rPr>
                <w:rFonts w:hint="default"/>
                <w:color w:val="auto"/>
              </w:rPr>
              <w:t>全厂排放量</w:t>
            </w:r>
            <w:r>
              <w:rPr>
                <w:rFonts w:hint="eastAsia"/>
                <w:color w:val="auto"/>
                <w:lang w:val="en-US" w:eastAsia="zh-CN"/>
              </w:rPr>
              <w:t>(</w:t>
            </w:r>
            <w:r>
              <w:rPr>
                <w:rFonts w:hint="default"/>
                <w:color w:val="auto"/>
              </w:rPr>
              <w:t>固体废物产生量</w:t>
            </w:r>
            <w:r>
              <w:rPr>
                <w:rFonts w:hint="eastAsia"/>
                <w:color w:val="auto"/>
                <w:lang w:val="en-US" w:eastAsia="zh-CN"/>
              </w:rPr>
              <w:t>)</w:t>
            </w:r>
            <w:r>
              <w:rPr>
                <w:rFonts w:hint="default"/>
                <w:color w:val="auto"/>
              </w:rPr>
              <w:fldChar w:fldCharType="begin"/>
            </w:r>
            <w:r>
              <w:rPr>
                <w:rFonts w:hint="default"/>
                <w:color w:val="auto"/>
              </w:rPr>
              <w:instrText xml:space="preserve"> = 6 \* GB3 \* MERGEFORMAT </w:instrText>
            </w:r>
            <w:r>
              <w:rPr>
                <w:rFonts w:hint="default"/>
                <w:color w:val="auto"/>
              </w:rPr>
              <w:fldChar w:fldCharType="separate"/>
            </w:r>
            <w:r>
              <w:rPr>
                <w:rFonts w:hint="default"/>
                <w:color w:val="auto"/>
              </w:rPr>
              <w:t>⑥</w:t>
            </w:r>
            <w:r>
              <w:rPr>
                <w:rFonts w:hint="default"/>
                <w:color w:val="auto"/>
              </w:rPr>
              <w:fldChar w:fldCharType="end"/>
            </w:r>
          </w:p>
        </w:tc>
        <w:tc>
          <w:tcPr>
            <w:tcW w:w="1789" w:type="dxa"/>
            <w:tcMar>
              <w:left w:w="28" w:type="dxa"/>
              <w:right w:w="28" w:type="dxa"/>
            </w:tcMar>
            <w:vAlign w:val="center"/>
          </w:tcPr>
          <w:p>
            <w:pPr>
              <w:pStyle w:val="28"/>
              <w:bidi w:val="0"/>
              <w:rPr>
                <w:rFonts w:hint="default"/>
                <w:color w:val="auto"/>
              </w:rPr>
            </w:pPr>
            <w:r>
              <w:rPr>
                <w:rFonts w:hint="default"/>
                <w:color w:val="auto"/>
              </w:rPr>
              <w:t>变化量</w:t>
            </w:r>
          </w:p>
          <w:p>
            <w:pPr>
              <w:pStyle w:val="28"/>
              <w:bidi w:val="0"/>
              <w:rPr>
                <w:rFonts w:hint="default"/>
                <w:color w:val="auto"/>
              </w:rPr>
            </w:pPr>
            <w:r>
              <w:rPr>
                <w:rFonts w:hint="default"/>
                <w:color w:val="auto"/>
              </w:rPr>
              <w:fldChar w:fldCharType="begin"/>
            </w:r>
            <w:r>
              <w:rPr>
                <w:rFonts w:hint="default"/>
                <w:color w:val="auto"/>
              </w:rPr>
              <w:instrText xml:space="preserve"> = 7 \* GB3 \* MERGEFORMAT </w:instrText>
            </w:r>
            <w:r>
              <w:rPr>
                <w:rFonts w:hint="default"/>
                <w:color w:val="auto"/>
              </w:rPr>
              <w:fldChar w:fldCharType="separate"/>
            </w:r>
            <w:r>
              <w:rPr>
                <w:rFonts w:hint="default"/>
                <w:color w:val="auto"/>
              </w:rPr>
              <w:t>⑦</w:t>
            </w:r>
            <w:r>
              <w:rPr>
                <w:rFonts w:hint="default"/>
                <w:color w:val="auto"/>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1246" w:type="dxa"/>
            <w:vAlign w:val="center"/>
          </w:tcPr>
          <w:p>
            <w:pPr>
              <w:pStyle w:val="28"/>
              <w:bidi w:val="0"/>
              <w:rPr>
                <w:rFonts w:hint="default"/>
                <w:color w:val="auto"/>
              </w:rPr>
            </w:pPr>
            <w:r>
              <w:rPr>
                <w:rFonts w:hint="default"/>
                <w:color w:val="auto"/>
              </w:rPr>
              <w:t>废气</w:t>
            </w:r>
          </w:p>
        </w:tc>
        <w:tc>
          <w:tcPr>
            <w:tcW w:w="1933" w:type="dxa"/>
            <w:vAlign w:val="center"/>
          </w:tcPr>
          <w:p>
            <w:pPr>
              <w:pStyle w:val="28"/>
              <w:bidi w:val="0"/>
              <w:rPr>
                <w:rFonts w:hint="default"/>
                <w:color w:val="auto"/>
                <w:lang w:val="en-US" w:eastAsia="zh-CN"/>
              </w:rPr>
            </w:pPr>
            <w:r>
              <w:rPr>
                <w:rFonts w:hint="eastAsia"/>
                <w:color w:val="auto"/>
                <w:lang w:val="en-US" w:eastAsia="zh-CN"/>
              </w:rPr>
              <w:t>颗粒物（t/a）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1.508</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sz w:val="21"/>
                <w:szCs w:val="21"/>
                <w:lang w:val="en-US" w:eastAsia="zh-CN"/>
              </w:rPr>
              <w:t>6.483</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1.508</w:t>
            </w:r>
          </w:p>
        </w:tc>
        <w:tc>
          <w:tcPr>
            <w:tcW w:w="1724" w:type="dxa"/>
            <w:vAlign w:val="center"/>
          </w:tcPr>
          <w:p>
            <w:pPr>
              <w:pStyle w:val="28"/>
              <w:bidi w:val="0"/>
              <w:rPr>
                <w:rFonts w:hint="default"/>
                <w:color w:val="auto"/>
                <w:lang w:val="en-US" w:eastAsia="zh-CN"/>
              </w:rPr>
            </w:pPr>
            <w:r>
              <w:rPr>
                <w:rFonts w:hint="eastAsia"/>
                <w:color w:val="auto"/>
                <w:sz w:val="21"/>
                <w:szCs w:val="21"/>
                <w:lang w:val="en-US" w:eastAsia="zh-CN"/>
              </w:rPr>
              <w:t>6.483</w:t>
            </w:r>
          </w:p>
        </w:tc>
        <w:tc>
          <w:tcPr>
            <w:tcW w:w="1789" w:type="dxa"/>
            <w:vAlign w:val="center"/>
          </w:tcPr>
          <w:p>
            <w:pPr>
              <w:pStyle w:val="28"/>
              <w:bidi w:val="0"/>
              <w:rPr>
                <w:rFonts w:hint="default"/>
                <w:color w:val="auto"/>
                <w:lang w:val="en-US" w:eastAsia="zh-CN"/>
              </w:rPr>
            </w:pPr>
            <w:r>
              <w:rPr>
                <w:rFonts w:hint="eastAsia"/>
                <w:color w:val="auto"/>
                <w:lang w:val="en-US" w:eastAsia="zh-CN"/>
              </w:rPr>
              <w:t>+4.975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trPr>
        <w:tc>
          <w:tcPr>
            <w:tcW w:w="1246" w:type="dxa"/>
            <w:vAlign w:val="center"/>
          </w:tcPr>
          <w:p>
            <w:pPr>
              <w:pStyle w:val="28"/>
              <w:bidi w:val="0"/>
              <w:rPr>
                <w:rFonts w:hint="default"/>
                <w:color w:val="auto"/>
                <w:lang w:val="en-US" w:eastAsia="zh-CN"/>
              </w:rPr>
            </w:pPr>
            <w:r>
              <w:rPr>
                <w:rFonts w:hint="eastAsia"/>
                <w:color w:val="auto"/>
                <w:lang w:val="en-US" w:eastAsia="zh-CN"/>
              </w:rPr>
              <w:t>生产废水</w:t>
            </w:r>
          </w:p>
        </w:tc>
        <w:tc>
          <w:tcPr>
            <w:tcW w:w="1933" w:type="dxa"/>
            <w:vAlign w:val="center"/>
          </w:tcPr>
          <w:p>
            <w:pPr>
              <w:pStyle w:val="28"/>
              <w:bidi w:val="0"/>
              <w:rPr>
                <w:rFonts w:hint="default"/>
                <w:color w:val="auto"/>
                <w:lang w:val="en-US" w:eastAsia="zh-CN"/>
              </w:rPr>
            </w:pPr>
            <w:r>
              <w:rPr>
                <w:rFonts w:hint="eastAsia"/>
                <w:color w:val="auto"/>
                <w:lang w:val="en-US" w:eastAsia="zh-CN"/>
              </w:rPr>
              <w:t>废水量</w:t>
            </w:r>
            <w:r>
              <w:rPr>
                <w:rFonts w:hint="default"/>
                <w:color w:val="auto"/>
                <w:lang w:val="en-US" w:eastAsia="zh-CN"/>
              </w:rPr>
              <w:t>(t/a)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w:t>
            </w:r>
          </w:p>
        </w:tc>
        <w:tc>
          <w:tcPr>
            <w:tcW w:w="1789" w:type="dxa"/>
            <w:vAlign w:val="center"/>
          </w:tcPr>
          <w:p>
            <w:pPr>
              <w:pStyle w:val="28"/>
              <w:bidi w:val="0"/>
              <w:rPr>
                <w:rFonts w:hint="default"/>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246" w:type="dxa"/>
            <w:vMerge w:val="restart"/>
            <w:vAlign w:val="center"/>
          </w:tcPr>
          <w:p>
            <w:pPr>
              <w:pStyle w:val="28"/>
              <w:bidi w:val="0"/>
              <w:rPr>
                <w:rFonts w:hint="eastAsia"/>
                <w:color w:val="auto"/>
                <w:lang w:eastAsia="zh-CN"/>
              </w:rPr>
            </w:pPr>
            <w:r>
              <w:rPr>
                <w:rFonts w:hint="eastAsia"/>
                <w:color w:val="auto"/>
                <w:lang w:eastAsia="zh-CN"/>
              </w:rPr>
              <w:t>生活污水</w:t>
            </w:r>
          </w:p>
        </w:tc>
        <w:tc>
          <w:tcPr>
            <w:tcW w:w="1933" w:type="dxa"/>
            <w:vAlign w:val="center"/>
          </w:tcPr>
          <w:p>
            <w:pPr>
              <w:pStyle w:val="28"/>
              <w:bidi w:val="0"/>
              <w:rPr>
                <w:rFonts w:hint="eastAsia"/>
                <w:color w:val="auto"/>
                <w:lang w:val="en-US" w:eastAsia="zh-CN"/>
              </w:rPr>
            </w:pPr>
            <w:r>
              <w:rPr>
                <w:rFonts w:hint="eastAsia"/>
                <w:color w:val="auto"/>
                <w:lang w:val="en-US" w:eastAsia="zh-CN"/>
              </w:rPr>
              <w:t>废水量</w:t>
            </w:r>
            <w:r>
              <w:rPr>
                <w:rFonts w:hint="default"/>
                <w:color w:val="auto"/>
                <w:lang w:val="en-US" w:eastAsia="zh-CN"/>
              </w:rPr>
              <w:t>(t/a)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eastAsia"/>
                <w:color w:val="auto"/>
                <w:lang w:val="en-US" w:eastAsia="zh-CN"/>
              </w:rPr>
            </w:pPr>
            <w:r>
              <w:rPr>
                <w:rFonts w:hint="eastAsia"/>
                <w:color w:val="auto"/>
                <w:lang w:val="en-US" w:eastAsia="zh-CN"/>
              </w:rPr>
              <w:t>0</w:t>
            </w:r>
          </w:p>
        </w:tc>
        <w:tc>
          <w:tcPr>
            <w:tcW w:w="1789" w:type="dxa"/>
            <w:vAlign w:val="center"/>
          </w:tcPr>
          <w:p>
            <w:pPr>
              <w:pStyle w:val="28"/>
              <w:bidi w:val="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default"/>
                <w:color w:val="auto"/>
                <w:lang w:val="en-US" w:eastAsia="zh-CN"/>
              </w:rPr>
              <w:t>COD(t/a)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1789"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default"/>
                <w:color w:val="auto"/>
                <w:lang w:val="en-US" w:eastAsia="zh-CN"/>
              </w:rPr>
              <w:t>BOD</w:t>
            </w:r>
            <w:r>
              <w:rPr>
                <w:rFonts w:hint="default"/>
                <w:color w:val="auto"/>
                <w:vertAlign w:val="subscript"/>
                <w:lang w:val="en-US" w:eastAsia="zh-CN"/>
              </w:rPr>
              <w:t>5</w:t>
            </w:r>
            <w:r>
              <w:rPr>
                <w:rFonts w:hint="default"/>
                <w:color w:val="auto"/>
                <w:lang w:val="en-US" w:eastAsia="zh-CN"/>
              </w:rPr>
              <w:t>(t/a)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1789"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default"/>
                <w:color w:val="auto"/>
                <w:lang w:val="en-US" w:eastAsia="zh-CN"/>
              </w:rPr>
              <w:t>SS(t/a)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1789"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default"/>
                <w:color w:val="auto"/>
                <w:lang w:val="en-US" w:eastAsia="zh-CN"/>
              </w:rPr>
              <w:t>NH</w:t>
            </w:r>
            <w:r>
              <w:rPr>
                <w:rFonts w:hint="default"/>
                <w:color w:val="auto"/>
                <w:vertAlign w:val="subscript"/>
                <w:lang w:val="en-US" w:eastAsia="zh-CN"/>
              </w:rPr>
              <w:t>3</w:t>
            </w:r>
            <w:r>
              <w:rPr>
                <w:rFonts w:hint="default"/>
                <w:color w:val="auto"/>
                <w:lang w:val="en-US" w:eastAsia="zh-CN"/>
              </w:rPr>
              <w:t>-N(t/a)</w:t>
            </w:r>
          </w:p>
        </w:tc>
        <w:tc>
          <w:tcPr>
            <w:tcW w:w="1609" w:type="dxa"/>
            <w:vAlign w:val="center"/>
          </w:tcPr>
          <w:p>
            <w:pPr>
              <w:pStyle w:val="28"/>
              <w:bidi w:val="0"/>
              <w:jc w:val="center"/>
              <w:rPr>
                <w:rFonts w:hint="default"/>
                <w:color w:val="auto"/>
              </w:rPr>
            </w:pPr>
            <w:r>
              <w:rPr>
                <w:rFonts w:hint="eastAsia"/>
                <w:color w:val="auto"/>
                <w:lang w:val="en-US" w:eastAsia="zh-CN"/>
              </w:rPr>
              <w:t>0</w:t>
            </w:r>
          </w:p>
        </w:tc>
        <w:tc>
          <w:tcPr>
            <w:tcW w:w="1100" w:type="dxa"/>
            <w:vAlign w:val="center"/>
          </w:tcPr>
          <w:p>
            <w:pPr>
              <w:pStyle w:val="28"/>
              <w:bidi w:val="0"/>
              <w:jc w:val="center"/>
              <w:rPr>
                <w:rFonts w:hint="default"/>
                <w:color w:val="auto"/>
              </w:rPr>
            </w:pPr>
            <w:r>
              <w:rPr>
                <w:rFonts w:hint="eastAsia"/>
                <w:color w:val="auto"/>
                <w:lang w:val="en-US" w:eastAsia="zh-CN"/>
              </w:rPr>
              <w:t>/</w:t>
            </w:r>
          </w:p>
        </w:tc>
        <w:tc>
          <w:tcPr>
            <w:tcW w:w="1573" w:type="dxa"/>
            <w:vAlign w:val="center"/>
          </w:tcPr>
          <w:p>
            <w:pPr>
              <w:pStyle w:val="28"/>
              <w:bidi w:val="0"/>
              <w:jc w:val="center"/>
              <w:rPr>
                <w:rFonts w:hint="default"/>
                <w:color w:val="auto"/>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c>
          <w:tcPr>
            <w:tcW w:w="1789" w:type="dxa"/>
            <w:vAlign w:val="center"/>
          </w:tcPr>
          <w:p>
            <w:pPr>
              <w:pStyle w:val="28"/>
              <w:bidi w:val="0"/>
              <w:ind w:left="0" w:leftChars="0" w:firstLine="0" w:firstLineChars="0"/>
              <w:rPr>
                <w:rFonts w:hint="eastAsia"/>
                <w:color w:val="auto"/>
                <w:lang w:val="en-US" w:eastAsia="zh-CN"/>
              </w:rPr>
            </w:pPr>
            <w:r>
              <w:rPr>
                <w:rFonts w:hint="eastAsia"/>
                <w:color w:val="auto"/>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1246" w:type="dxa"/>
            <w:vMerge w:val="restart"/>
            <w:vAlign w:val="center"/>
          </w:tcPr>
          <w:p>
            <w:pPr>
              <w:pStyle w:val="28"/>
              <w:bidi w:val="0"/>
              <w:rPr>
                <w:rFonts w:hint="default"/>
                <w:color w:val="auto"/>
              </w:rPr>
            </w:pPr>
            <w:r>
              <w:rPr>
                <w:rFonts w:hint="default"/>
                <w:color w:val="auto"/>
              </w:rPr>
              <w:t>一般工业固体废物</w:t>
            </w:r>
          </w:p>
        </w:tc>
        <w:tc>
          <w:tcPr>
            <w:tcW w:w="1933" w:type="dxa"/>
            <w:vAlign w:val="center"/>
          </w:tcPr>
          <w:p>
            <w:pPr>
              <w:pStyle w:val="28"/>
              <w:bidi w:val="0"/>
              <w:rPr>
                <w:rFonts w:hint="default"/>
                <w:color w:val="auto"/>
                <w:lang w:val="en-US" w:eastAsia="zh-CN"/>
              </w:rPr>
            </w:pPr>
            <w:r>
              <w:rPr>
                <w:rFonts w:hint="eastAsia"/>
                <w:color w:val="auto"/>
                <w:lang w:val="en-US" w:eastAsia="zh-CN"/>
              </w:rPr>
              <w:t>废混凝土</w:t>
            </w:r>
            <w:r>
              <w:rPr>
                <w:rFonts w:hint="default"/>
                <w:color w:val="auto"/>
                <w:lang w:val="en-US" w:eastAsia="zh-CN"/>
              </w:rPr>
              <w:t>(t/a)</w:t>
            </w:r>
          </w:p>
        </w:tc>
        <w:tc>
          <w:tcPr>
            <w:tcW w:w="1609" w:type="dxa"/>
            <w:vAlign w:val="center"/>
          </w:tcPr>
          <w:p>
            <w:pPr>
              <w:pStyle w:val="28"/>
              <w:bidi w:val="0"/>
              <w:jc w:val="center"/>
              <w:rPr>
                <w:rFonts w:hint="default"/>
                <w:color w:val="auto"/>
                <w:lang w:val="en-US" w:eastAsia="zh-CN"/>
              </w:rPr>
            </w:pPr>
            <w:r>
              <w:rPr>
                <w:rFonts w:hint="eastAsia"/>
                <w:color w:val="auto"/>
                <w:vertAlign w:val="baseline"/>
                <w:lang w:val="en-US" w:eastAsia="zh-CN"/>
              </w:rPr>
              <w:t>4010</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11500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vertAlign w:val="baseline"/>
                <w:lang w:val="en-US" w:eastAsia="zh-CN"/>
              </w:rPr>
              <w:t>4010</w:t>
            </w:r>
          </w:p>
        </w:tc>
        <w:tc>
          <w:tcPr>
            <w:tcW w:w="1724" w:type="dxa"/>
            <w:vAlign w:val="center"/>
          </w:tcPr>
          <w:p>
            <w:pPr>
              <w:pStyle w:val="28"/>
              <w:bidi w:val="0"/>
              <w:rPr>
                <w:rFonts w:hint="default"/>
                <w:color w:val="auto"/>
                <w:lang w:val="en-US" w:eastAsia="zh-CN"/>
              </w:rPr>
            </w:pPr>
            <w:r>
              <w:rPr>
                <w:rFonts w:hint="eastAsia"/>
                <w:color w:val="auto"/>
                <w:lang w:val="en-US" w:eastAsia="zh-CN"/>
              </w:rPr>
              <w:t>11500</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7490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废钢材</w:t>
            </w:r>
            <w:r>
              <w:rPr>
                <w:rFonts w:hint="default"/>
                <w:color w:val="auto"/>
                <w:lang w:val="en-US" w:eastAsia="zh-CN"/>
              </w:rPr>
              <w:t>(t/a)</w:t>
            </w:r>
          </w:p>
        </w:tc>
        <w:tc>
          <w:tcPr>
            <w:tcW w:w="1609" w:type="dxa"/>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350</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350</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350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焊渣</w:t>
            </w:r>
            <w:r>
              <w:rPr>
                <w:rFonts w:hint="default"/>
                <w:color w:val="auto"/>
                <w:lang w:val="en-US" w:eastAsia="zh-CN"/>
              </w:rPr>
              <w:t>(t/a)</w:t>
            </w:r>
          </w:p>
        </w:tc>
        <w:tc>
          <w:tcPr>
            <w:tcW w:w="1609" w:type="dxa"/>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0.0157</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0.0157</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0.0157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eastAsia"/>
                <w:color w:val="auto"/>
                <w:lang w:val="en-US" w:eastAsia="zh-CN"/>
              </w:rPr>
              <w:t>不合格品</w:t>
            </w:r>
            <w:r>
              <w:rPr>
                <w:rFonts w:hint="default"/>
                <w:color w:val="auto"/>
                <w:lang w:val="en-US" w:eastAsia="zh-CN"/>
              </w:rPr>
              <w:t>(t/a)</w:t>
            </w:r>
          </w:p>
        </w:tc>
        <w:tc>
          <w:tcPr>
            <w:tcW w:w="1609" w:type="dxa"/>
            <w:vAlign w:val="center"/>
          </w:tcPr>
          <w:p>
            <w:pPr>
              <w:pStyle w:val="28"/>
              <w:bidi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13090.805</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13090.805</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eastAsia"/>
                <w:color w:val="auto"/>
                <w:lang w:val="en-US" w:eastAsia="zh-CN"/>
              </w:rPr>
              <w:t>13090.805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eastAsia"/>
                <w:color w:val="auto"/>
                <w:lang w:val="en-US" w:eastAsia="zh-CN"/>
              </w:rPr>
              <w:t>废包装材料</w:t>
            </w:r>
            <w:r>
              <w:rPr>
                <w:rFonts w:hint="default"/>
                <w:color w:val="auto"/>
                <w:lang w:val="en-US" w:eastAsia="zh-CN"/>
              </w:rPr>
              <w:t>(t/a)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1</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3</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w:t>
            </w:r>
          </w:p>
        </w:tc>
        <w:tc>
          <w:tcPr>
            <w:tcW w:w="1724" w:type="dxa"/>
            <w:vAlign w:val="center"/>
          </w:tcPr>
          <w:p>
            <w:pPr>
              <w:pStyle w:val="28"/>
              <w:bidi w:val="0"/>
              <w:rPr>
                <w:rFonts w:hint="eastAsia"/>
                <w:color w:val="auto"/>
                <w:lang w:val="en-US" w:eastAsia="zh-CN"/>
              </w:rPr>
            </w:pPr>
            <w:r>
              <w:rPr>
                <w:rFonts w:hint="eastAsia"/>
                <w:color w:val="auto"/>
                <w:lang w:val="en-US" w:eastAsia="zh-CN"/>
              </w:rPr>
              <w:t>3</w:t>
            </w:r>
          </w:p>
        </w:tc>
        <w:tc>
          <w:tcPr>
            <w:tcW w:w="1789" w:type="dxa"/>
            <w:vAlign w:val="center"/>
          </w:tcPr>
          <w:p>
            <w:pPr>
              <w:pStyle w:val="28"/>
              <w:bidi w:val="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eastAsia"/>
                <w:color w:val="auto"/>
                <w:lang w:val="en-US" w:eastAsia="zh-CN"/>
              </w:rPr>
              <w:t>污水处理污泥</w:t>
            </w:r>
            <w:r>
              <w:rPr>
                <w:rFonts w:hint="default"/>
                <w:color w:val="auto"/>
                <w:lang w:val="en-US" w:eastAsia="zh-CN"/>
              </w:rPr>
              <w:t>(t/a)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1.938</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1.938</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1.938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eastAsia"/>
                <w:color w:val="auto"/>
                <w:lang w:val="en-US" w:eastAsia="zh-CN"/>
              </w:rPr>
            </w:pPr>
            <w:r>
              <w:rPr>
                <w:rFonts w:hint="eastAsia"/>
                <w:color w:val="auto"/>
                <w:lang w:val="en-US" w:eastAsia="zh-CN"/>
              </w:rPr>
              <w:t>工艺收集尘（t/a）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859</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136.694</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859</w:t>
            </w:r>
          </w:p>
        </w:tc>
        <w:tc>
          <w:tcPr>
            <w:tcW w:w="1724" w:type="dxa"/>
            <w:vAlign w:val="center"/>
          </w:tcPr>
          <w:p>
            <w:pPr>
              <w:pStyle w:val="28"/>
              <w:bidi w:val="0"/>
              <w:rPr>
                <w:rFonts w:hint="default"/>
                <w:color w:val="auto"/>
                <w:lang w:val="en-US" w:eastAsia="zh-CN"/>
              </w:rPr>
            </w:pPr>
            <w:r>
              <w:rPr>
                <w:rFonts w:hint="eastAsia"/>
                <w:color w:val="auto"/>
                <w:lang w:val="en-US" w:eastAsia="zh-CN"/>
              </w:rPr>
              <w:t>136.694</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r>
              <w:rPr>
                <w:rFonts w:hint="eastAsia" w:cs="Times New Roman"/>
                <w:color w:val="auto"/>
                <w:lang w:val="en-US" w:eastAsia="zh-CN"/>
              </w:rPr>
              <w:t>722.306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废水处理沉渣（t/a）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1000</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165.53</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1000</w:t>
            </w:r>
          </w:p>
        </w:tc>
        <w:tc>
          <w:tcPr>
            <w:tcW w:w="1724" w:type="dxa"/>
            <w:vAlign w:val="center"/>
          </w:tcPr>
          <w:p>
            <w:pPr>
              <w:pStyle w:val="28"/>
              <w:bidi w:val="0"/>
              <w:rPr>
                <w:rFonts w:hint="default"/>
                <w:color w:val="auto"/>
                <w:lang w:val="en-US" w:eastAsia="zh-CN"/>
              </w:rPr>
            </w:pPr>
            <w:r>
              <w:rPr>
                <w:rFonts w:hint="eastAsia"/>
                <w:color w:val="auto"/>
                <w:lang w:val="en-US" w:eastAsia="zh-CN"/>
              </w:rPr>
              <w:t>165.53</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-834.47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7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洗砂废水处理渣</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rPr>
                <w:rFonts w:hint="default"/>
                <w:color w:val="auto"/>
                <w:lang w:val="en-US" w:eastAsia="zh-CN"/>
              </w:rPr>
            </w:pPr>
            <w:r>
              <w:rPr>
                <w:rFonts w:hint="eastAsia"/>
                <w:color w:val="auto"/>
                <w:lang w:val="en-US" w:eastAsia="zh-CN"/>
              </w:rPr>
              <w:t>1026</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1026</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cs="Times New Roman"/>
                <w:color w:val="auto"/>
                <w:lang w:val="en-US" w:eastAsia="zh-CN"/>
              </w:rPr>
              <w:t>+1026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restart"/>
            <w:vAlign w:val="center"/>
          </w:tcPr>
          <w:p>
            <w:pPr>
              <w:pStyle w:val="28"/>
              <w:bidi w:val="0"/>
              <w:rPr>
                <w:rFonts w:hint="default"/>
                <w:color w:val="auto"/>
              </w:rPr>
            </w:pPr>
            <w:r>
              <w:rPr>
                <w:rFonts w:hint="default"/>
                <w:color w:val="auto"/>
              </w:rPr>
              <w:t>危险</w:t>
            </w:r>
          </w:p>
          <w:p>
            <w:pPr>
              <w:pStyle w:val="28"/>
              <w:bidi w:val="0"/>
              <w:rPr>
                <w:rFonts w:hint="default"/>
                <w:color w:val="auto"/>
              </w:rPr>
            </w:pPr>
            <w:r>
              <w:rPr>
                <w:rFonts w:hint="default"/>
                <w:color w:val="auto"/>
              </w:rPr>
              <w:t>废物</w:t>
            </w:r>
          </w:p>
        </w:tc>
        <w:tc>
          <w:tcPr>
            <w:tcW w:w="1933" w:type="dxa"/>
            <w:vAlign w:val="center"/>
          </w:tcPr>
          <w:p>
            <w:pPr>
              <w:pStyle w:val="28"/>
              <w:bidi w:val="0"/>
              <w:rPr>
                <w:rFonts w:hint="default"/>
                <w:color w:val="auto"/>
                <w:lang w:val="en-US" w:eastAsia="zh-CN"/>
              </w:rPr>
            </w:pPr>
            <w:r>
              <w:rPr>
                <w:rFonts w:hint="eastAsia"/>
                <w:color w:val="auto"/>
                <w:lang w:val="en-US" w:eastAsia="zh-CN"/>
              </w:rPr>
              <w:t>废机油</w:t>
            </w:r>
            <w:r>
              <w:rPr>
                <w:rFonts w:hint="default"/>
                <w:color w:val="auto"/>
                <w:lang w:val="en-US" w:eastAsia="zh-CN"/>
              </w:rPr>
              <w:t>(t/a)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ind w:left="0" w:leftChars="0" w:firstLine="0" w:firstLineChars="0"/>
              <w:rPr>
                <w:rFonts w:hint="default"/>
                <w:color w:val="auto"/>
                <w:lang w:val="en-US" w:eastAsia="zh-CN"/>
              </w:rPr>
            </w:pPr>
            <w:r>
              <w:rPr>
                <w:rFonts w:hint="eastAsia"/>
                <w:color w:val="auto"/>
                <w:lang w:val="en-US" w:eastAsia="zh-CN"/>
              </w:rPr>
              <w:t>0.2</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0.2</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废油桶</w:t>
            </w:r>
            <w:r>
              <w:rPr>
                <w:rFonts w:hint="default"/>
                <w:color w:val="auto"/>
                <w:lang w:val="en-US" w:eastAsia="zh-CN"/>
              </w:rPr>
              <w:t>(t/a)</w:t>
            </w:r>
          </w:p>
        </w:tc>
        <w:tc>
          <w:tcPr>
            <w:tcW w:w="1609" w:type="dxa"/>
            <w:vAlign w:val="center"/>
          </w:tcPr>
          <w:p>
            <w:pPr>
              <w:pStyle w:val="28"/>
              <w:bidi w:val="0"/>
              <w:jc w:val="center"/>
              <w:rPr>
                <w:rFonts w:hint="default"/>
                <w:color w:val="auto"/>
                <w:lang w:val="en-US" w:eastAsia="zh-CN"/>
              </w:rPr>
            </w:pPr>
            <w:r>
              <w:rPr>
                <w:rFonts w:hint="eastAsia"/>
                <w:color w:val="auto"/>
                <w:lang w:val="en-US" w:eastAsia="zh-CN"/>
              </w:rPr>
              <w:t>/</w:t>
            </w:r>
          </w:p>
        </w:tc>
        <w:tc>
          <w:tcPr>
            <w:tcW w:w="1100" w:type="dxa"/>
            <w:vAlign w:val="center"/>
          </w:tcPr>
          <w:p>
            <w:pPr>
              <w:pStyle w:val="28"/>
              <w:bidi w:val="0"/>
              <w:jc w:val="center"/>
              <w:rPr>
                <w:rFonts w:hint="default"/>
                <w:color w:val="auto"/>
                <w:lang w:val="en-US" w:eastAsia="zh-CN"/>
              </w:rPr>
            </w:pPr>
            <w:r>
              <w:rPr>
                <w:rFonts w:hint="eastAsia"/>
                <w:color w:val="auto"/>
                <w:lang w:val="en-US" w:eastAsia="zh-CN"/>
              </w:rPr>
              <w:t>/</w:t>
            </w:r>
          </w:p>
        </w:tc>
        <w:tc>
          <w:tcPr>
            <w:tcW w:w="1573" w:type="dxa"/>
            <w:vAlign w:val="center"/>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ind w:left="0" w:leftChars="0" w:firstLine="0" w:firstLineChars="0"/>
              <w:rPr>
                <w:rFonts w:hint="default"/>
                <w:color w:val="auto"/>
                <w:lang w:val="en-US" w:eastAsia="zh-CN"/>
              </w:rPr>
            </w:pPr>
            <w:r>
              <w:rPr>
                <w:rFonts w:hint="eastAsia"/>
                <w:color w:val="auto"/>
                <w:lang w:val="en-US" w:eastAsia="zh-CN"/>
              </w:rPr>
              <w:t>0.05</w:t>
            </w:r>
          </w:p>
        </w:tc>
        <w:tc>
          <w:tcPr>
            <w:tcW w:w="1266" w:type="dxa"/>
            <w:vAlign w:val="center"/>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0.05</w:t>
            </w:r>
          </w:p>
        </w:tc>
        <w:tc>
          <w:tcPr>
            <w:tcW w:w="1789" w:type="dxa"/>
            <w:vAlign w:val="center"/>
          </w:tcPr>
          <w:p>
            <w:pPr>
              <w:pStyle w:val="28"/>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废吸油毡</w:t>
            </w:r>
            <w:r>
              <w:rPr>
                <w:rFonts w:hint="default"/>
                <w:color w:val="auto"/>
                <w:lang w:val="en-US" w:eastAsia="zh-CN"/>
              </w:rPr>
              <w:t>(t/a)</w:t>
            </w:r>
          </w:p>
        </w:tc>
        <w:tc>
          <w:tcPr>
            <w:tcW w:w="1609" w:type="dxa"/>
            <w:vAlign w:val="top"/>
          </w:tcPr>
          <w:p>
            <w:pPr>
              <w:pStyle w:val="28"/>
              <w:bidi w:val="0"/>
              <w:jc w:val="center"/>
              <w:rPr>
                <w:rFonts w:hint="default"/>
                <w:color w:val="auto"/>
                <w:lang w:val="en-US" w:eastAsia="zh-CN"/>
              </w:rPr>
            </w:pPr>
            <w:r>
              <w:rPr>
                <w:rFonts w:hint="eastAsia"/>
                <w:color w:val="auto"/>
                <w:lang w:val="en-US" w:eastAsia="zh-CN"/>
              </w:rPr>
              <w:t>/</w:t>
            </w:r>
          </w:p>
        </w:tc>
        <w:tc>
          <w:tcPr>
            <w:tcW w:w="1100" w:type="dxa"/>
            <w:vAlign w:val="top"/>
          </w:tcPr>
          <w:p>
            <w:pPr>
              <w:pStyle w:val="28"/>
              <w:bidi w:val="0"/>
              <w:jc w:val="center"/>
              <w:rPr>
                <w:rFonts w:hint="default"/>
                <w:color w:val="auto"/>
                <w:lang w:val="en-US" w:eastAsia="zh-CN"/>
              </w:rPr>
            </w:pPr>
            <w:r>
              <w:rPr>
                <w:rFonts w:hint="eastAsia"/>
                <w:color w:val="auto"/>
                <w:lang w:val="en-US" w:eastAsia="zh-CN"/>
              </w:rPr>
              <w:t>/</w:t>
            </w:r>
          </w:p>
        </w:tc>
        <w:tc>
          <w:tcPr>
            <w:tcW w:w="1573" w:type="dxa"/>
            <w:vAlign w:val="top"/>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ind w:left="0" w:leftChars="0" w:firstLine="0" w:firstLineChars="0"/>
              <w:rPr>
                <w:rFonts w:hint="default"/>
                <w:color w:val="auto"/>
                <w:lang w:val="en-US" w:eastAsia="zh-CN"/>
              </w:rPr>
            </w:pPr>
            <w:r>
              <w:rPr>
                <w:rFonts w:hint="eastAsia"/>
                <w:color w:val="auto"/>
                <w:lang w:val="en-US" w:eastAsia="zh-CN"/>
              </w:rPr>
              <w:t>0.3</w:t>
            </w:r>
          </w:p>
        </w:tc>
        <w:tc>
          <w:tcPr>
            <w:tcW w:w="1266" w:type="dxa"/>
            <w:vAlign w:val="top"/>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0.3</w:t>
            </w:r>
          </w:p>
        </w:tc>
        <w:tc>
          <w:tcPr>
            <w:tcW w:w="1789" w:type="dxa"/>
            <w:vAlign w:val="center"/>
          </w:tcPr>
          <w:p>
            <w:pPr>
              <w:pStyle w:val="28"/>
              <w:bidi w:val="0"/>
              <w:rPr>
                <w:rFonts w:hint="eastAsia"/>
                <w:color w:val="auto"/>
                <w:lang w:val="en-US" w:eastAsia="zh-CN"/>
              </w:rPr>
            </w:pPr>
            <w:r>
              <w:rPr>
                <w:rFonts w:hint="eastAsia"/>
                <w:color w:val="auto"/>
                <w:lang w:val="en-US" w:eastAsia="zh-CN"/>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13" w:hRule="atLeast"/>
        </w:trPr>
        <w:tc>
          <w:tcPr>
            <w:tcW w:w="1246" w:type="dxa"/>
            <w:vMerge w:val="continue"/>
            <w:vAlign w:val="center"/>
          </w:tcPr>
          <w:p>
            <w:pPr>
              <w:pStyle w:val="28"/>
              <w:bidi w:val="0"/>
              <w:rPr>
                <w:rFonts w:hint="default"/>
                <w:color w:val="auto"/>
              </w:rPr>
            </w:pPr>
          </w:p>
        </w:tc>
        <w:tc>
          <w:tcPr>
            <w:tcW w:w="1933" w:type="dxa"/>
            <w:vAlign w:val="center"/>
          </w:tcPr>
          <w:p>
            <w:pPr>
              <w:pStyle w:val="28"/>
              <w:bidi w:val="0"/>
              <w:rPr>
                <w:rFonts w:hint="default"/>
                <w:color w:val="auto"/>
                <w:lang w:val="en-US" w:eastAsia="zh-CN"/>
              </w:rPr>
            </w:pPr>
            <w:r>
              <w:rPr>
                <w:rFonts w:hint="eastAsia"/>
                <w:color w:val="auto"/>
                <w:lang w:val="en-US" w:eastAsia="zh-CN"/>
              </w:rPr>
              <w:t>含油废抹布及手套</w:t>
            </w:r>
            <w:r>
              <w:rPr>
                <w:rFonts w:hint="default"/>
                <w:color w:val="auto"/>
                <w:lang w:val="en-US" w:eastAsia="zh-CN"/>
              </w:rPr>
              <w:t>(t/a)</w:t>
            </w:r>
          </w:p>
        </w:tc>
        <w:tc>
          <w:tcPr>
            <w:tcW w:w="1609" w:type="dxa"/>
            <w:vAlign w:val="top"/>
          </w:tcPr>
          <w:p>
            <w:pPr>
              <w:pStyle w:val="28"/>
              <w:bidi w:val="0"/>
              <w:jc w:val="center"/>
              <w:rPr>
                <w:rFonts w:hint="default"/>
                <w:color w:val="auto"/>
                <w:lang w:val="en-US" w:eastAsia="zh-CN"/>
              </w:rPr>
            </w:pPr>
            <w:r>
              <w:rPr>
                <w:rFonts w:hint="eastAsia"/>
                <w:color w:val="auto"/>
                <w:lang w:val="en-US" w:eastAsia="zh-CN"/>
              </w:rPr>
              <w:t>/</w:t>
            </w:r>
          </w:p>
        </w:tc>
        <w:tc>
          <w:tcPr>
            <w:tcW w:w="1100" w:type="dxa"/>
            <w:vAlign w:val="top"/>
          </w:tcPr>
          <w:p>
            <w:pPr>
              <w:pStyle w:val="28"/>
              <w:bidi w:val="0"/>
              <w:jc w:val="center"/>
              <w:rPr>
                <w:rFonts w:hint="default"/>
                <w:color w:val="auto"/>
                <w:lang w:val="en-US" w:eastAsia="zh-CN"/>
              </w:rPr>
            </w:pPr>
            <w:r>
              <w:rPr>
                <w:rFonts w:hint="eastAsia"/>
                <w:color w:val="auto"/>
                <w:lang w:val="en-US" w:eastAsia="zh-CN"/>
              </w:rPr>
              <w:t>/</w:t>
            </w:r>
          </w:p>
        </w:tc>
        <w:tc>
          <w:tcPr>
            <w:tcW w:w="1573" w:type="dxa"/>
            <w:vAlign w:val="top"/>
          </w:tcPr>
          <w:p>
            <w:pPr>
              <w:pStyle w:val="28"/>
              <w:bidi w:val="0"/>
              <w:jc w:val="center"/>
              <w:rPr>
                <w:rFonts w:hint="default"/>
                <w:color w:val="auto"/>
                <w:lang w:val="en-US" w:eastAsia="zh-CN"/>
              </w:rPr>
            </w:pPr>
            <w:r>
              <w:rPr>
                <w:rFonts w:hint="eastAsia"/>
                <w:color w:val="auto"/>
                <w:lang w:val="en-US" w:eastAsia="zh-CN"/>
              </w:rPr>
              <w:t>/</w:t>
            </w:r>
          </w:p>
        </w:tc>
        <w:tc>
          <w:tcPr>
            <w:tcW w:w="1812" w:type="dxa"/>
            <w:vAlign w:val="center"/>
          </w:tcPr>
          <w:p>
            <w:pPr>
              <w:pStyle w:val="28"/>
              <w:bidi w:val="0"/>
              <w:ind w:left="0" w:leftChars="0" w:firstLine="0" w:firstLineChars="0"/>
              <w:rPr>
                <w:rFonts w:hint="default"/>
                <w:color w:val="auto"/>
                <w:lang w:val="en-US" w:eastAsia="zh-CN"/>
              </w:rPr>
            </w:pPr>
            <w:r>
              <w:rPr>
                <w:rFonts w:hint="eastAsia"/>
                <w:color w:val="auto"/>
                <w:lang w:val="en-US" w:eastAsia="zh-CN"/>
              </w:rPr>
              <w:t>0.05</w:t>
            </w:r>
          </w:p>
        </w:tc>
        <w:tc>
          <w:tcPr>
            <w:tcW w:w="1266" w:type="dxa"/>
            <w:vAlign w:val="top"/>
          </w:tcPr>
          <w:p>
            <w:pPr>
              <w:pStyle w:val="28"/>
              <w:bidi w:val="0"/>
              <w:ind w:left="0" w:leftChars="0" w:firstLine="0" w:firstLineChars="0"/>
              <w:jc w:val="center"/>
              <w:rPr>
                <w:rFonts w:hint="default"/>
                <w:color w:val="auto"/>
                <w:lang w:val="en-US" w:eastAsia="zh-CN"/>
              </w:rPr>
            </w:pPr>
            <w:r>
              <w:rPr>
                <w:rFonts w:hint="eastAsia"/>
                <w:color w:val="auto"/>
                <w:lang w:val="en-US" w:eastAsia="zh-CN"/>
              </w:rPr>
              <w:t>/</w:t>
            </w:r>
          </w:p>
        </w:tc>
        <w:tc>
          <w:tcPr>
            <w:tcW w:w="1724" w:type="dxa"/>
            <w:vAlign w:val="center"/>
          </w:tcPr>
          <w:p>
            <w:pPr>
              <w:pStyle w:val="28"/>
              <w:bidi w:val="0"/>
              <w:rPr>
                <w:rFonts w:hint="default"/>
                <w:color w:val="auto"/>
                <w:lang w:val="en-US" w:eastAsia="zh-CN"/>
              </w:rPr>
            </w:pPr>
            <w:r>
              <w:rPr>
                <w:rFonts w:hint="eastAsia"/>
                <w:color w:val="auto"/>
                <w:lang w:val="en-US" w:eastAsia="zh-CN"/>
              </w:rPr>
              <w:t>0.05</w:t>
            </w:r>
          </w:p>
        </w:tc>
        <w:tc>
          <w:tcPr>
            <w:tcW w:w="1789" w:type="dxa"/>
            <w:vAlign w:val="center"/>
          </w:tcPr>
          <w:p>
            <w:pPr>
              <w:pStyle w:val="28"/>
              <w:bidi w:val="0"/>
              <w:rPr>
                <w:rFonts w:hint="default"/>
                <w:color w:val="auto"/>
                <w:lang w:val="en-US" w:eastAsia="zh-CN"/>
              </w:rPr>
            </w:pPr>
            <w:r>
              <w:rPr>
                <w:rFonts w:hint="eastAsia"/>
                <w:color w:val="auto"/>
                <w:lang w:val="en-US" w:eastAsia="zh-CN"/>
              </w:rPr>
              <w:t>+0.05</w:t>
            </w:r>
          </w:p>
        </w:tc>
      </w:tr>
    </w:tbl>
    <w:p>
      <w:pPr>
        <w:keepNext w:val="0"/>
        <w:keepLines w:val="0"/>
        <w:pageBreakBefore w:val="0"/>
        <w:widowControl w:val="0"/>
        <w:kinsoku/>
        <w:wordWrap/>
        <w:overflowPunct/>
        <w:topLinePunct w:val="0"/>
        <w:autoSpaceDE/>
        <w:autoSpaceDN/>
        <w:bidi w:val="0"/>
        <w:adjustRightInd/>
        <w:snapToGrid/>
        <w:spacing w:before="192" w:beforeLines="80" w:after="24" w:line="240" w:lineRule="auto"/>
        <w:jc w:val="left"/>
        <w:textAlignment w:val="auto"/>
        <w:rPr>
          <w:rFonts w:hint="default" w:ascii="Times New Roman" w:hAnsi="Times New Roman" w:eastAsia="宋体" w:cs="Times New Roman"/>
          <w:snapToGrid w:val="0"/>
          <w:color w:val="auto"/>
          <w:spacing w:val="-6"/>
          <w:kern w:val="21"/>
          <w:sz w:val="21"/>
          <w:szCs w:val="18"/>
        </w:rPr>
      </w:pPr>
      <w:r>
        <w:rPr>
          <w:rFonts w:hint="default" w:ascii="Times New Roman" w:hAnsi="Times New Roman" w:eastAsia="宋体" w:cs="Times New Roman"/>
          <w:snapToGrid w:val="0"/>
          <w:color w:val="auto"/>
          <w:kern w:val="21"/>
          <w:sz w:val="21"/>
          <w:szCs w:val="18"/>
        </w:rPr>
        <w:t>注：</w:t>
      </w:r>
      <w:r>
        <w:rPr>
          <w:rFonts w:hint="default" w:ascii="Times New Roman" w:hAnsi="Times New Roman" w:eastAsia="宋体" w:cs="Times New Roman"/>
          <w:snapToGrid w:val="0"/>
          <w:color w:val="auto"/>
          <w:spacing w:val="-16"/>
          <w:kern w:val="21"/>
          <w:sz w:val="21"/>
          <w:szCs w:val="18"/>
        </w:rPr>
        <w:fldChar w:fldCharType="begin"/>
      </w:r>
      <w:r>
        <w:rPr>
          <w:rFonts w:hint="default" w:ascii="Times New Roman" w:hAnsi="Times New Roman" w:eastAsia="宋体" w:cs="Times New Roman"/>
          <w:snapToGrid w:val="0"/>
          <w:color w:val="auto"/>
          <w:spacing w:val="-16"/>
          <w:kern w:val="21"/>
          <w:sz w:val="21"/>
          <w:szCs w:val="18"/>
        </w:rPr>
        <w:instrText xml:space="preserve"> = 6 \* GB3 \* MERGEFORMAT </w:instrText>
      </w:r>
      <w:r>
        <w:rPr>
          <w:rFonts w:hint="default" w:ascii="Times New Roman" w:hAnsi="Times New Roman" w:eastAsia="宋体" w:cs="Times New Roman"/>
          <w:snapToGrid w:val="0"/>
          <w:color w:val="auto"/>
          <w:spacing w:val="-16"/>
          <w:kern w:val="21"/>
          <w:sz w:val="21"/>
          <w:szCs w:val="18"/>
        </w:rPr>
        <w:fldChar w:fldCharType="separate"/>
      </w:r>
      <w:r>
        <w:rPr>
          <w:rFonts w:hint="default" w:ascii="Times New Roman" w:hAnsi="Times New Roman" w:eastAsia="宋体" w:cs="Times New Roman"/>
          <w:color w:val="auto"/>
          <w:sz w:val="21"/>
          <w:szCs w:val="18"/>
        </w:rPr>
        <w:t>⑥</w:t>
      </w:r>
      <w:r>
        <w:rPr>
          <w:rFonts w:hint="default" w:ascii="Times New Roman" w:hAnsi="Times New Roman" w:eastAsia="宋体" w:cs="Times New Roman"/>
          <w:snapToGrid w:val="0"/>
          <w:color w:val="auto"/>
          <w:spacing w:val="-16"/>
          <w:kern w:val="21"/>
          <w:sz w:val="21"/>
          <w:szCs w:val="18"/>
        </w:rPr>
        <w:fldChar w:fldCharType="end"/>
      </w:r>
      <w:r>
        <w:rPr>
          <w:rFonts w:hint="default" w:ascii="Times New Roman" w:hAnsi="Times New Roman" w:eastAsia="宋体" w:cs="Times New Roman"/>
          <w:snapToGrid w:val="0"/>
          <w:color w:val="auto"/>
          <w:spacing w:val="-16"/>
          <w:kern w:val="21"/>
          <w:sz w:val="21"/>
          <w:szCs w:val="18"/>
        </w:rPr>
        <w:t>=</w:t>
      </w:r>
      <w:r>
        <w:rPr>
          <w:rFonts w:hint="default" w:ascii="Times New Roman" w:hAnsi="Times New Roman" w:eastAsia="宋体" w:cs="Times New Roman"/>
          <w:snapToGrid w:val="0"/>
          <w:color w:val="auto"/>
          <w:spacing w:val="-6"/>
          <w:kern w:val="21"/>
          <w:sz w:val="21"/>
          <w:szCs w:val="18"/>
        </w:rPr>
        <w:fldChar w:fldCharType="begin"/>
      </w:r>
      <w:r>
        <w:rPr>
          <w:rFonts w:hint="default" w:ascii="Times New Roman" w:hAnsi="Times New Roman" w:eastAsia="宋体" w:cs="Times New Roman"/>
          <w:snapToGrid w:val="0"/>
          <w:color w:val="auto"/>
          <w:spacing w:val="-6"/>
          <w:kern w:val="21"/>
          <w:sz w:val="21"/>
          <w:szCs w:val="18"/>
        </w:rPr>
        <w:instrText xml:space="preserve"> = 1 \* GB3 \* MERGEFORMAT </w:instrText>
      </w:r>
      <w:r>
        <w:rPr>
          <w:rFonts w:hint="default" w:ascii="Times New Roman" w:hAnsi="Times New Roman" w:eastAsia="宋体" w:cs="Times New Roman"/>
          <w:snapToGrid w:val="0"/>
          <w:color w:val="auto"/>
          <w:spacing w:val="-6"/>
          <w:kern w:val="21"/>
          <w:sz w:val="21"/>
          <w:szCs w:val="18"/>
        </w:rPr>
        <w:fldChar w:fldCharType="separate"/>
      </w:r>
      <w:r>
        <w:rPr>
          <w:rFonts w:hint="default" w:ascii="Times New Roman" w:hAnsi="Times New Roman" w:eastAsia="宋体" w:cs="Times New Roman"/>
          <w:color w:val="auto"/>
          <w:sz w:val="21"/>
          <w:szCs w:val="18"/>
        </w:rPr>
        <w:t>①</w:t>
      </w:r>
      <w:r>
        <w:rPr>
          <w:rFonts w:hint="default" w:ascii="Times New Roman" w:hAnsi="Times New Roman" w:eastAsia="宋体" w:cs="Times New Roman"/>
          <w:snapToGrid w:val="0"/>
          <w:color w:val="auto"/>
          <w:spacing w:val="-6"/>
          <w:kern w:val="21"/>
          <w:sz w:val="21"/>
          <w:szCs w:val="18"/>
        </w:rPr>
        <w:fldChar w:fldCharType="end"/>
      </w:r>
      <w:r>
        <w:rPr>
          <w:rFonts w:hint="default" w:ascii="Times New Roman" w:hAnsi="Times New Roman" w:eastAsia="宋体" w:cs="Times New Roman"/>
          <w:snapToGrid w:val="0"/>
          <w:color w:val="auto"/>
          <w:spacing w:val="-6"/>
          <w:kern w:val="21"/>
          <w:sz w:val="21"/>
          <w:szCs w:val="18"/>
        </w:rPr>
        <w:t>+</w:t>
      </w:r>
      <w:r>
        <w:rPr>
          <w:rFonts w:hint="default" w:ascii="Times New Roman" w:hAnsi="Times New Roman" w:eastAsia="宋体" w:cs="Times New Roman"/>
          <w:snapToGrid w:val="0"/>
          <w:color w:val="auto"/>
          <w:spacing w:val="-6"/>
          <w:kern w:val="21"/>
          <w:sz w:val="21"/>
          <w:szCs w:val="18"/>
        </w:rPr>
        <w:fldChar w:fldCharType="begin"/>
      </w:r>
      <w:r>
        <w:rPr>
          <w:rFonts w:hint="default" w:ascii="Times New Roman" w:hAnsi="Times New Roman" w:eastAsia="宋体" w:cs="Times New Roman"/>
          <w:snapToGrid w:val="0"/>
          <w:color w:val="auto"/>
          <w:spacing w:val="-6"/>
          <w:kern w:val="21"/>
          <w:sz w:val="21"/>
          <w:szCs w:val="18"/>
        </w:rPr>
        <w:instrText xml:space="preserve"> = 3 \* GB3 \* MERGEFORMAT </w:instrText>
      </w:r>
      <w:r>
        <w:rPr>
          <w:rFonts w:hint="default" w:ascii="Times New Roman" w:hAnsi="Times New Roman" w:eastAsia="宋体" w:cs="Times New Roman"/>
          <w:snapToGrid w:val="0"/>
          <w:color w:val="auto"/>
          <w:spacing w:val="-6"/>
          <w:kern w:val="21"/>
          <w:sz w:val="21"/>
          <w:szCs w:val="18"/>
        </w:rPr>
        <w:fldChar w:fldCharType="separate"/>
      </w:r>
      <w:r>
        <w:rPr>
          <w:rFonts w:hint="default" w:ascii="Times New Roman" w:hAnsi="Times New Roman" w:eastAsia="宋体" w:cs="Times New Roman"/>
          <w:color w:val="auto"/>
          <w:sz w:val="21"/>
          <w:szCs w:val="18"/>
        </w:rPr>
        <w:t>③</w:t>
      </w:r>
      <w:r>
        <w:rPr>
          <w:rFonts w:hint="default" w:ascii="Times New Roman" w:hAnsi="Times New Roman" w:eastAsia="宋体" w:cs="Times New Roman"/>
          <w:snapToGrid w:val="0"/>
          <w:color w:val="auto"/>
          <w:spacing w:val="-6"/>
          <w:kern w:val="21"/>
          <w:sz w:val="21"/>
          <w:szCs w:val="18"/>
        </w:rPr>
        <w:fldChar w:fldCharType="end"/>
      </w:r>
      <w:r>
        <w:rPr>
          <w:rFonts w:hint="default" w:ascii="Times New Roman" w:hAnsi="Times New Roman" w:eastAsia="宋体" w:cs="Times New Roman"/>
          <w:snapToGrid w:val="0"/>
          <w:color w:val="auto"/>
          <w:spacing w:val="-6"/>
          <w:kern w:val="21"/>
          <w:sz w:val="21"/>
          <w:szCs w:val="18"/>
        </w:rPr>
        <w:t>+</w:t>
      </w:r>
      <w:r>
        <w:rPr>
          <w:rFonts w:hint="default" w:ascii="Times New Roman" w:hAnsi="Times New Roman" w:eastAsia="宋体" w:cs="Times New Roman"/>
          <w:snapToGrid w:val="0"/>
          <w:color w:val="auto"/>
          <w:spacing w:val="-6"/>
          <w:kern w:val="21"/>
          <w:sz w:val="21"/>
          <w:szCs w:val="18"/>
        </w:rPr>
        <w:fldChar w:fldCharType="begin"/>
      </w:r>
      <w:r>
        <w:rPr>
          <w:rFonts w:hint="default" w:ascii="Times New Roman" w:hAnsi="Times New Roman" w:eastAsia="宋体" w:cs="Times New Roman"/>
          <w:snapToGrid w:val="0"/>
          <w:color w:val="auto"/>
          <w:spacing w:val="-6"/>
          <w:kern w:val="21"/>
          <w:sz w:val="21"/>
          <w:szCs w:val="18"/>
        </w:rPr>
        <w:instrText xml:space="preserve"> = 4 \* GB3 \* MERGEFORMAT </w:instrText>
      </w:r>
      <w:r>
        <w:rPr>
          <w:rFonts w:hint="default" w:ascii="Times New Roman" w:hAnsi="Times New Roman" w:eastAsia="宋体" w:cs="Times New Roman"/>
          <w:snapToGrid w:val="0"/>
          <w:color w:val="auto"/>
          <w:spacing w:val="-6"/>
          <w:kern w:val="21"/>
          <w:sz w:val="21"/>
          <w:szCs w:val="18"/>
        </w:rPr>
        <w:fldChar w:fldCharType="separate"/>
      </w:r>
      <w:r>
        <w:rPr>
          <w:rFonts w:hint="default" w:ascii="Times New Roman" w:hAnsi="Times New Roman" w:eastAsia="宋体" w:cs="Times New Roman"/>
          <w:color w:val="auto"/>
          <w:sz w:val="21"/>
          <w:szCs w:val="18"/>
        </w:rPr>
        <w:t>④</w:t>
      </w:r>
      <w:r>
        <w:rPr>
          <w:rFonts w:hint="default" w:ascii="Times New Roman" w:hAnsi="Times New Roman" w:eastAsia="宋体" w:cs="Times New Roman"/>
          <w:snapToGrid w:val="0"/>
          <w:color w:val="auto"/>
          <w:spacing w:val="-6"/>
          <w:kern w:val="21"/>
          <w:sz w:val="21"/>
          <w:szCs w:val="18"/>
        </w:rPr>
        <w:fldChar w:fldCharType="end"/>
      </w:r>
      <w:r>
        <w:rPr>
          <w:rFonts w:hint="default" w:ascii="Times New Roman" w:hAnsi="Times New Roman" w:eastAsia="宋体" w:cs="Times New Roman"/>
          <w:snapToGrid w:val="0"/>
          <w:color w:val="auto"/>
          <w:spacing w:val="-6"/>
          <w:kern w:val="21"/>
          <w:sz w:val="21"/>
          <w:szCs w:val="18"/>
        </w:rPr>
        <w:t>-</w:t>
      </w:r>
      <w:r>
        <w:rPr>
          <w:rFonts w:hint="default" w:ascii="Times New Roman" w:hAnsi="Times New Roman" w:eastAsia="宋体" w:cs="Times New Roman"/>
          <w:snapToGrid w:val="0"/>
          <w:color w:val="auto"/>
          <w:spacing w:val="-16"/>
          <w:kern w:val="21"/>
          <w:sz w:val="21"/>
          <w:szCs w:val="18"/>
        </w:rPr>
        <w:fldChar w:fldCharType="begin"/>
      </w:r>
      <w:r>
        <w:rPr>
          <w:rFonts w:hint="default" w:ascii="Times New Roman" w:hAnsi="Times New Roman" w:eastAsia="宋体" w:cs="Times New Roman"/>
          <w:snapToGrid w:val="0"/>
          <w:color w:val="auto"/>
          <w:spacing w:val="-16"/>
          <w:kern w:val="21"/>
          <w:sz w:val="21"/>
          <w:szCs w:val="18"/>
        </w:rPr>
        <w:instrText xml:space="preserve"> = 5 \* GB3 \* MERGEFORMAT </w:instrText>
      </w:r>
      <w:r>
        <w:rPr>
          <w:rFonts w:hint="default" w:ascii="Times New Roman" w:hAnsi="Times New Roman" w:eastAsia="宋体" w:cs="Times New Roman"/>
          <w:snapToGrid w:val="0"/>
          <w:color w:val="auto"/>
          <w:spacing w:val="-16"/>
          <w:kern w:val="21"/>
          <w:sz w:val="21"/>
          <w:szCs w:val="18"/>
        </w:rPr>
        <w:fldChar w:fldCharType="separate"/>
      </w:r>
      <w:r>
        <w:rPr>
          <w:rFonts w:hint="default" w:ascii="Times New Roman" w:hAnsi="Times New Roman" w:eastAsia="宋体" w:cs="Times New Roman"/>
          <w:color w:val="auto"/>
          <w:sz w:val="21"/>
          <w:szCs w:val="18"/>
        </w:rPr>
        <w:t>⑤</w:t>
      </w:r>
      <w:r>
        <w:rPr>
          <w:rFonts w:hint="default" w:ascii="Times New Roman" w:hAnsi="Times New Roman" w:eastAsia="宋体" w:cs="Times New Roman"/>
          <w:snapToGrid w:val="0"/>
          <w:color w:val="auto"/>
          <w:spacing w:val="-16"/>
          <w:kern w:val="21"/>
          <w:sz w:val="21"/>
          <w:szCs w:val="18"/>
        </w:rPr>
        <w:fldChar w:fldCharType="end"/>
      </w:r>
      <w:r>
        <w:rPr>
          <w:rFonts w:hint="default" w:ascii="Times New Roman" w:hAnsi="Times New Roman" w:eastAsia="宋体" w:cs="Times New Roman"/>
          <w:snapToGrid w:val="0"/>
          <w:color w:val="auto"/>
          <w:spacing w:val="-16"/>
          <w:kern w:val="21"/>
          <w:sz w:val="21"/>
          <w:szCs w:val="18"/>
        </w:rPr>
        <w:t>；</w:t>
      </w:r>
      <w:r>
        <w:rPr>
          <w:rFonts w:hint="default" w:ascii="Times New Roman" w:hAnsi="Times New Roman" w:eastAsia="宋体" w:cs="Times New Roman"/>
          <w:snapToGrid w:val="0"/>
          <w:color w:val="auto"/>
          <w:spacing w:val="-6"/>
          <w:kern w:val="21"/>
          <w:sz w:val="21"/>
          <w:szCs w:val="18"/>
        </w:rPr>
        <w:fldChar w:fldCharType="begin"/>
      </w:r>
      <w:r>
        <w:rPr>
          <w:rFonts w:hint="default" w:ascii="Times New Roman" w:hAnsi="Times New Roman" w:eastAsia="宋体" w:cs="Times New Roman"/>
          <w:snapToGrid w:val="0"/>
          <w:color w:val="auto"/>
          <w:spacing w:val="-6"/>
          <w:kern w:val="21"/>
          <w:sz w:val="21"/>
          <w:szCs w:val="18"/>
        </w:rPr>
        <w:instrText xml:space="preserve"> = 7 \* GB3 \* MERGEFORMAT </w:instrText>
      </w:r>
      <w:r>
        <w:rPr>
          <w:rFonts w:hint="default" w:ascii="Times New Roman" w:hAnsi="Times New Roman" w:eastAsia="宋体" w:cs="Times New Roman"/>
          <w:snapToGrid w:val="0"/>
          <w:color w:val="auto"/>
          <w:spacing w:val="-6"/>
          <w:kern w:val="21"/>
          <w:sz w:val="21"/>
          <w:szCs w:val="18"/>
        </w:rPr>
        <w:fldChar w:fldCharType="separate"/>
      </w:r>
      <w:r>
        <w:rPr>
          <w:rFonts w:hint="default" w:ascii="Times New Roman" w:hAnsi="Times New Roman" w:eastAsia="宋体" w:cs="Times New Roman"/>
          <w:color w:val="auto"/>
          <w:sz w:val="21"/>
          <w:szCs w:val="18"/>
        </w:rPr>
        <w:t>⑦</w:t>
      </w:r>
      <w:r>
        <w:rPr>
          <w:rFonts w:hint="default" w:ascii="Times New Roman" w:hAnsi="Times New Roman" w:eastAsia="宋体" w:cs="Times New Roman"/>
          <w:snapToGrid w:val="0"/>
          <w:color w:val="auto"/>
          <w:spacing w:val="-6"/>
          <w:kern w:val="21"/>
          <w:sz w:val="21"/>
          <w:szCs w:val="18"/>
        </w:rPr>
        <w:fldChar w:fldCharType="end"/>
      </w:r>
      <w:r>
        <w:rPr>
          <w:rFonts w:hint="default" w:ascii="Times New Roman" w:hAnsi="Times New Roman" w:eastAsia="宋体" w:cs="Times New Roman"/>
          <w:snapToGrid w:val="0"/>
          <w:color w:val="auto"/>
          <w:spacing w:val="-6"/>
          <w:kern w:val="21"/>
          <w:sz w:val="21"/>
          <w:szCs w:val="18"/>
        </w:rPr>
        <w:t>=</w:t>
      </w:r>
      <w:r>
        <w:rPr>
          <w:rFonts w:hint="default" w:ascii="Times New Roman" w:hAnsi="Times New Roman" w:eastAsia="宋体" w:cs="Times New Roman"/>
          <w:snapToGrid w:val="0"/>
          <w:color w:val="auto"/>
          <w:spacing w:val="-16"/>
          <w:kern w:val="21"/>
          <w:sz w:val="21"/>
          <w:szCs w:val="18"/>
        </w:rPr>
        <w:fldChar w:fldCharType="begin"/>
      </w:r>
      <w:r>
        <w:rPr>
          <w:rFonts w:hint="default" w:ascii="Times New Roman" w:hAnsi="Times New Roman" w:eastAsia="宋体" w:cs="Times New Roman"/>
          <w:snapToGrid w:val="0"/>
          <w:color w:val="auto"/>
          <w:spacing w:val="-16"/>
          <w:kern w:val="21"/>
          <w:sz w:val="21"/>
          <w:szCs w:val="18"/>
        </w:rPr>
        <w:instrText xml:space="preserve"> = 6 \* GB3 \* MERGEFORMAT </w:instrText>
      </w:r>
      <w:r>
        <w:rPr>
          <w:rFonts w:hint="default" w:ascii="Times New Roman" w:hAnsi="Times New Roman" w:eastAsia="宋体" w:cs="Times New Roman"/>
          <w:snapToGrid w:val="0"/>
          <w:color w:val="auto"/>
          <w:spacing w:val="-16"/>
          <w:kern w:val="21"/>
          <w:sz w:val="21"/>
          <w:szCs w:val="18"/>
        </w:rPr>
        <w:fldChar w:fldCharType="separate"/>
      </w:r>
      <w:r>
        <w:rPr>
          <w:rFonts w:hint="default" w:ascii="Times New Roman" w:hAnsi="Times New Roman" w:eastAsia="宋体" w:cs="Times New Roman"/>
          <w:color w:val="auto"/>
          <w:sz w:val="21"/>
          <w:szCs w:val="18"/>
        </w:rPr>
        <w:t>⑥</w:t>
      </w:r>
      <w:r>
        <w:rPr>
          <w:rFonts w:hint="default" w:ascii="Times New Roman" w:hAnsi="Times New Roman" w:eastAsia="宋体" w:cs="Times New Roman"/>
          <w:snapToGrid w:val="0"/>
          <w:color w:val="auto"/>
          <w:spacing w:val="-16"/>
          <w:kern w:val="21"/>
          <w:sz w:val="21"/>
          <w:szCs w:val="18"/>
        </w:rPr>
        <w:fldChar w:fldCharType="end"/>
      </w:r>
      <w:r>
        <w:rPr>
          <w:rFonts w:hint="default" w:ascii="Times New Roman" w:hAnsi="Times New Roman" w:eastAsia="宋体" w:cs="Times New Roman"/>
          <w:snapToGrid w:val="0"/>
          <w:color w:val="auto"/>
          <w:spacing w:val="-16"/>
          <w:kern w:val="21"/>
          <w:sz w:val="21"/>
          <w:szCs w:val="18"/>
        </w:rPr>
        <w:t>-</w:t>
      </w:r>
      <w:r>
        <w:rPr>
          <w:rFonts w:hint="default" w:ascii="Times New Roman" w:hAnsi="Times New Roman" w:eastAsia="宋体" w:cs="Times New Roman"/>
          <w:snapToGrid w:val="0"/>
          <w:color w:val="auto"/>
          <w:spacing w:val="-6"/>
          <w:kern w:val="21"/>
          <w:sz w:val="21"/>
          <w:szCs w:val="18"/>
        </w:rPr>
        <w:fldChar w:fldCharType="begin"/>
      </w:r>
      <w:r>
        <w:rPr>
          <w:rFonts w:hint="default" w:ascii="Times New Roman" w:hAnsi="Times New Roman" w:eastAsia="宋体" w:cs="Times New Roman"/>
          <w:snapToGrid w:val="0"/>
          <w:color w:val="auto"/>
          <w:spacing w:val="-6"/>
          <w:kern w:val="21"/>
          <w:sz w:val="21"/>
          <w:szCs w:val="18"/>
        </w:rPr>
        <w:instrText xml:space="preserve"> = 1 \* GB3 \* MERGEFORMAT </w:instrText>
      </w:r>
      <w:r>
        <w:rPr>
          <w:rFonts w:hint="default" w:ascii="Times New Roman" w:hAnsi="Times New Roman" w:eastAsia="宋体" w:cs="Times New Roman"/>
          <w:snapToGrid w:val="0"/>
          <w:color w:val="auto"/>
          <w:spacing w:val="-6"/>
          <w:kern w:val="21"/>
          <w:sz w:val="21"/>
          <w:szCs w:val="18"/>
        </w:rPr>
        <w:fldChar w:fldCharType="separate"/>
      </w:r>
      <w:r>
        <w:rPr>
          <w:rFonts w:hint="default" w:ascii="Times New Roman" w:hAnsi="Times New Roman" w:eastAsia="宋体" w:cs="Times New Roman"/>
          <w:color w:val="auto"/>
          <w:sz w:val="21"/>
          <w:szCs w:val="18"/>
        </w:rPr>
        <w:t>①</w:t>
      </w:r>
      <w:r>
        <w:rPr>
          <w:rFonts w:hint="default" w:ascii="Times New Roman" w:hAnsi="Times New Roman" w:eastAsia="宋体" w:cs="Times New Roman"/>
          <w:snapToGrid w:val="0"/>
          <w:color w:val="auto"/>
          <w:spacing w:val="-6"/>
          <w:kern w:val="21"/>
          <w:sz w:val="21"/>
          <w:szCs w:val="18"/>
        </w:rPr>
        <w:fldChar w:fldCharType="end"/>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1"/>
          <w:szCs w:val="21"/>
        </w:rPr>
        <w:sectPr>
          <w:footerReference r:id="rId4" w:type="default"/>
          <w:pgSz w:w="16838" w:h="11906" w:orient="landscape"/>
          <w:pgMar w:top="1417" w:right="1417" w:bottom="1417" w:left="1417" w:header="851" w:footer="851" w:gutter="0"/>
          <w:pgBorders>
            <w:top w:val="none" w:color="auto" w:sz="0" w:space="0"/>
            <w:left w:val="none" w:color="auto" w:sz="0" w:space="0"/>
            <w:bottom w:val="none" w:color="auto" w:sz="0" w:space="0"/>
            <w:right w:val="none" w:color="auto" w:sz="0" w:space="0"/>
          </w:pgBorders>
          <w:pgNumType w:fmt="numberInDash"/>
          <w:cols w:space="720" w:num="1"/>
          <w:docGrid w:linePitch="312" w:charSpace="0"/>
        </w:sectPr>
      </w:pPr>
    </w:p>
    <w:p>
      <w:pPr>
        <w:pStyle w:val="28"/>
        <w:bidi w:val="0"/>
        <w:jc w:val="left"/>
        <w:outlineLvl w:val="0"/>
        <w:rPr>
          <w:rFonts w:hint="default"/>
          <w:b/>
          <w:bCs/>
          <w:color w:val="auto"/>
          <w:sz w:val="28"/>
          <w:szCs w:val="36"/>
          <w:lang w:val="en-US" w:eastAsia="zh-CN"/>
        </w:rPr>
      </w:pPr>
      <w:bookmarkStart w:id="54" w:name="_Toc28855"/>
      <w:r>
        <w:rPr>
          <w:rFonts w:hint="eastAsia"/>
          <w:b/>
          <w:bCs/>
          <w:color w:val="auto"/>
          <w:sz w:val="28"/>
          <w:szCs w:val="36"/>
          <w:lang w:val="en-US" w:eastAsia="zh-CN"/>
        </w:rPr>
        <w:t xml:space="preserve">附件十二 </w:t>
      </w:r>
      <w:r>
        <w:rPr>
          <w:rStyle w:val="48"/>
          <w:rFonts w:hint="eastAsia"/>
          <w:b/>
          <w:bCs/>
          <w:color w:val="auto"/>
          <w:lang w:val="en-US" w:eastAsia="zh-CN"/>
        </w:rPr>
        <w:t>信息删除理由说明和删除依据说明</w:t>
      </w:r>
      <w:bookmarkEnd w:id="54"/>
      <w:r>
        <w:rPr>
          <w:rFonts w:ascii="宋体" w:hAnsi="宋体" w:eastAsia="宋体" w:cs="宋体"/>
          <w:b/>
          <w:bCs/>
          <w:color w:val="auto"/>
          <w:sz w:val="24"/>
          <w:szCs w:val="24"/>
        </w:rPr>
        <w:t xml:space="preserve"> </w:t>
      </w:r>
    </w:p>
    <w:p>
      <w:pPr>
        <w:pStyle w:val="28"/>
        <w:bidi w:val="0"/>
        <w:rPr>
          <w:rFonts w:hint="default"/>
          <w:color w:val="auto"/>
          <w:lang w:val="en-US" w:eastAsia="zh-CN"/>
        </w:rPr>
      </w:pPr>
      <w:r>
        <w:rPr>
          <w:color w:val="auto"/>
        </w:rPr>
        <w:drawing>
          <wp:inline distT="0" distB="0" distL="114300" distR="114300">
            <wp:extent cx="5753735" cy="7280910"/>
            <wp:effectExtent l="0" t="0" r="18415" b="15240"/>
            <wp:docPr id="19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6"/>
                    <pic:cNvPicPr>
                      <a:picLocks noChangeAspect="1"/>
                    </pic:cNvPicPr>
                  </pic:nvPicPr>
                  <pic:blipFill>
                    <a:blip r:embed="rId31"/>
                    <a:stretch>
                      <a:fillRect/>
                    </a:stretch>
                  </pic:blipFill>
                  <pic:spPr>
                    <a:xfrm>
                      <a:off x="0" y="0"/>
                      <a:ext cx="5753735" cy="7280910"/>
                    </a:xfrm>
                    <a:prstGeom prst="rect">
                      <a:avLst/>
                    </a:prstGeom>
                    <a:noFill/>
                    <a:ln>
                      <a:noFill/>
                    </a:ln>
                  </pic:spPr>
                </pic:pic>
              </a:graphicData>
            </a:graphic>
          </wp:inline>
        </w:drawing>
      </w:r>
    </w:p>
    <w:p>
      <w:pPr>
        <w:pStyle w:val="28"/>
        <w:bidi w:val="0"/>
        <w:rPr>
          <w:rFonts w:hint="default"/>
          <w:color w:val="auto"/>
          <w:lang w:val="en-US" w:eastAsia="zh-CN"/>
        </w:rPr>
      </w:pPr>
      <w:r>
        <w:rPr>
          <w:color w:val="auto"/>
        </w:rPr>
        <w:drawing>
          <wp:inline distT="0" distB="0" distL="114300" distR="114300">
            <wp:extent cx="5752465" cy="8066405"/>
            <wp:effectExtent l="0" t="0" r="635" b="10795"/>
            <wp:docPr id="19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7"/>
                    <pic:cNvPicPr>
                      <a:picLocks noChangeAspect="1"/>
                    </pic:cNvPicPr>
                  </pic:nvPicPr>
                  <pic:blipFill>
                    <a:blip r:embed="rId32"/>
                    <a:stretch>
                      <a:fillRect/>
                    </a:stretch>
                  </pic:blipFill>
                  <pic:spPr>
                    <a:xfrm>
                      <a:off x="0" y="0"/>
                      <a:ext cx="5752465" cy="8066405"/>
                    </a:xfrm>
                    <a:prstGeom prst="rect">
                      <a:avLst/>
                    </a:prstGeom>
                    <a:noFill/>
                    <a:ln>
                      <a:noFill/>
                    </a:ln>
                  </pic:spPr>
                </pic:pic>
              </a:graphicData>
            </a:graphic>
          </wp:inline>
        </w:drawing>
      </w:r>
    </w:p>
    <w:p>
      <w:pPr>
        <w:pStyle w:val="28"/>
        <w:bidi w:val="0"/>
        <w:rPr>
          <w:rFonts w:hint="default"/>
          <w:color w:val="auto"/>
          <w:lang w:val="en-US" w:eastAsia="zh-CN"/>
        </w:rPr>
      </w:pPr>
    </w:p>
    <w:p>
      <w:pPr>
        <w:pStyle w:val="28"/>
        <w:bidi w:val="0"/>
        <w:rPr>
          <w:rFonts w:hint="default"/>
          <w:color w:val="auto"/>
          <w:lang w:val="en-US" w:eastAsia="zh-CN"/>
        </w:rPr>
      </w:pPr>
    </w:p>
    <w:p>
      <w:pPr>
        <w:pStyle w:val="28"/>
        <w:bidi w:val="0"/>
        <w:jc w:val="both"/>
        <w:rPr>
          <w:rFonts w:hint="default"/>
          <w:color w:val="auto"/>
          <w:lang w:val="en-US" w:eastAsia="zh-CN"/>
        </w:rPr>
      </w:pPr>
    </w:p>
    <w:sectPr>
      <w:pgSz w:w="11906" w:h="16838"/>
      <w:pgMar w:top="1417" w:right="1417" w:bottom="1417" w:left="1417" w:header="851" w:footer="992" w:gutter="0"/>
      <w:pgBorders>
        <w:top w:val="none" w:color="auto" w:sz="0" w:space="0"/>
        <w:left w:val="none" w:color="auto" w:sz="0" w:space="0"/>
        <w:bottom w:val="none" w:color="auto" w:sz="0" w:space="0"/>
        <w:right w:val="none" w:color="auto" w:sz="0" w:space="0"/>
      </w:pgBorders>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Monotype Corsiva">
    <w:altName w:val="Mongolian Baiti"/>
    <w:panose1 w:val="03010101010201010101"/>
    <w:charset w:val="00"/>
    <w:family w:val="script"/>
    <w:pitch w:val="default"/>
    <w:sig w:usb0="00000000" w:usb1="00000000" w:usb2="00000000" w:usb3="00000000" w:csb0="2000009F" w:csb1="DFD70000"/>
  </w:font>
  <w:font w:name="Mongolian Baiti">
    <w:panose1 w:val="03000500000000000000"/>
    <w:charset w:val="00"/>
    <w:family w:val="auto"/>
    <w:pitch w:val="default"/>
    <w:sig w:usb0="80000023" w:usb1="00000000" w:usb2="00020000" w:usb3="00000000" w:csb0="00000001" w:csb1="00000000"/>
  </w:font>
  <w:font w:name="Arial Unicode MS">
    <w:altName w:val="宋体"/>
    <w:panose1 w:val="020B0604020202020204"/>
    <w:charset w:val="86"/>
    <w:family w:val="auto"/>
    <w:pitch w:val="default"/>
    <w:sig w:usb0="00000000" w:usb1="00000000" w:usb2="0000007F" w:usb3="00000000" w:csb0="203F01FF" w:csb1="DFFF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auto"/>
    <w:pitch w:val="default"/>
    <w:sig w:usb0="00000000" w:usb1="00000000" w:usb2="00000000" w:usb3="00000000" w:csb0="80000000" w:csb1="00000000"/>
  </w:font>
  <w:font w:name="微软雅黑">
    <w:panose1 w:val="020B0503020204020204"/>
    <w:charset w:val="86"/>
    <w:family w:val="auto"/>
    <w:pitch w:val="default"/>
    <w:sig w:usb0="80000287" w:usb1="280F3C52" w:usb2="00000016" w:usb3="00000000" w:csb0="0004001F" w:csb1="00000000"/>
  </w:font>
  <w:font w:name="Kingsoft UE">
    <w:altName w:val="Segoe Print"/>
    <w:panose1 w:val="00000000000000000000"/>
    <w:charset w:val="00"/>
    <w:family w:val="auto"/>
    <w:pitch w:val="default"/>
    <w:sig w:usb0="00000000" w:usb1="00000000" w:usb2="00000000" w:usb3="00000000" w:csb0="00000000" w:csb1="00000000"/>
  </w:font>
  <w:font w:name="AMGDT">
    <w:altName w:val="Vrinda"/>
    <w:panose1 w:val="02000400000000000000"/>
    <w:charset w:val="00"/>
    <w:family w:val="auto"/>
    <w:pitch w:val="default"/>
    <w:sig w:usb0="00000000" w:usb1="00000000" w:usb2="00000000" w:usb3="00000000" w:csb0="00000001"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pPr>
                          <w:r>
                            <w:fldChar w:fldCharType="begin"/>
                          </w:r>
                          <w:r>
                            <w:instrText xml:space="preserve"> PAGE  \* MERGEFORMAT </w:instrText>
                          </w:r>
                          <w:r>
                            <w:fldChar w:fldCharType="separate"/>
                          </w:r>
                          <w:r>
                            <w:t>72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VoWrHrgEAAE0D&#10;AAAOAAAAAAAAAAEAIAAAAB4BAABkcnMvZTJvRG9jLnhtbFBLBQYAAAAABgAGAFkBAAA+BQAAAAA=&#10;">
              <v:fill on="f" focussize="0,0"/>
              <v:stroke on="f"/>
              <v:imagedata o:title=""/>
              <o:lock v:ext="edit" aspectratio="f"/>
              <v:textbox inset="0mm,0mm,0mm,0mm" style="mso-fit-shape-to-text:t;">
                <w:txbxContent>
                  <w:p>
                    <w:pPr>
                      <w:pStyle w:val="15"/>
                    </w:pPr>
                    <w:r>
                      <w:fldChar w:fldCharType="begin"/>
                    </w:r>
                    <w:r>
                      <w:instrText xml:space="preserve"> PAGE  \* MERGEFORMAT </w:instrText>
                    </w:r>
                    <w:r>
                      <w:fldChar w:fldCharType="separate"/>
                    </w:r>
                    <w:r>
                      <w:t>72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CFFA5A"/>
    <w:multiLevelType w:val="singleLevel"/>
    <w:tmpl w:val="81CFFA5A"/>
    <w:lvl w:ilvl="0" w:tentative="0">
      <w:start w:val="2"/>
      <w:numFmt w:val="decimal"/>
      <w:suff w:val="nothing"/>
      <w:lvlText w:val="（%1）"/>
      <w:lvlJc w:val="left"/>
    </w:lvl>
  </w:abstractNum>
  <w:abstractNum w:abstractNumId="1">
    <w:nsid w:val="8B298ADA"/>
    <w:multiLevelType w:val="singleLevel"/>
    <w:tmpl w:val="8B298ADA"/>
    <w:lvl w:ilvl="0" w:tentative="0">
      <w:start w:val="4"/>
      <w:numFmt w:val="chineseCounting"/>
      <w:suff w:val="nothing"/>
      <w:lvlText w:val="%1、"/>
      <w:lvlJc w:val="left"/>
      <w:rPr>
        <w:rFonts w:hint="eastAsia"/>
        <w:b/>
        <w:bCs/>
      </w:rPr>
    </w:lvl>
  </w:abstractNum>
  <w:abstractNum w:abstractNumId="2">
    <w:nsid w:val="9936CCBF"/>
    <w:multiLevelType w:val="singleLevel"/>
    <w:tmpl w:val="9936CCBF"/>
    <w:lvl w:ilvl="0" w:tentative="0">
      <w:start w:val="1"/>
      <w:numFmt w:val="decimal"/>
      <w:suff w:val="nothing"/>
      <w:lvlText w:val="%1、"/>
      <w:lvlJc w:val="left"/>
    </w:lvl>
  </w:abstractNum>
  <w:abstractNum w:abstractNumId="3">
    <w:nsid w:val="FE5CAF8B"/>
    <w:multiLevelType w:val="multilevel"/>
    <w:tmpl w:val="FE5CAF8B"/>
    <w:lvl w:ilvl="0" w:tentative="0">
      <w:start w:val="1"/>
      <w:numFmt w:val="decimal"/>
      <w:isLgl/>
      <w:suff w:val="space"/>
      <w:lvlText w:val="%1 "/>
      <w:lvlJc w:val="left"/>
      <w:rPr>
        <w:rFonts w:hint="eastAsia"/>
      </w:rPr>
    </w:lvl>
    <w:lvl w:ilvl="1" w:tentative="0">
      <w:start w:val="1"/>
      <w:numFmt w:val="decimal"/>
      <w:suff w:val="space"/>
      <w:lvlText w:val="%1.%2 "/>
      <w:lvlJc w:val="left"/>
      <w:rPr>
        <w:rFonts w:hint="eastAsia"/>
      </w:rPr>
    </w:lvl>
    <w:lvl w:ilvl="2" w:tentative="0">
      <w:start w:val="1"/>
      <w:numFmt w:val="decimal"/>
      <w:suff w:val="space"/>
      <w:lvlText w:val="%1.%2.%3 "/>
      <w:lvlJc w:val="left"/>
      <w:rPr>
        <w:rFonts w:hint="default" w:ascii="Times New Roman" w:hAnsi="Times New Roman" w:eastAsia="宋体"/>
        <w:b w:val="0"/>
        <w:bCs w:val="0"/>
        <w:i w:val="0"/>
        <w:iCs w:val="0"/>
        <w:sz w:val="21"/>
        <w:szCs w:val="21"/>
      </w:rPr>
    </w:lvl>
    <w:lvl w:ilvl="3" w:tentative="0">
      <w:start w:val="1"/>
      <w:numFmt w:val="decimal"/>
      <w:pStyle w:val="5"/>
      <w:lvlText w:val="%1.%2.%3.%4 "/>
      <w:lvlJc w:val="left"/>
      <w:pPr>
        <w:tabs>
          <w:tab w:val="left" w:pos="720"/>
        </w:tabs>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4">
    <w:nsid w:val="14AC69CA"/>
    <w:multiLevelType w:val="singleLevel"/>
    <w:tmpl w:val="14AC69CA"/>
    <w:lvl w:ilvl="0" w:tentative="0">
      <w:start w:val="1"/>
      <w:numFmt w:val="chineseCounting"/>
      <w:suff w:val="nothing"/>
      <w:lvlText w:val="%1、"/>
      <w:lvlJc w:val="left"/>
      <w:rPr>
        <w:rFonts w:hint="eastAsia"/>
      </w:rPr>
    </w:lvl>
  </w:abstractNum>
  <w:abstractNum w:abstractNumId="5">
    <w:nsid w:val="1CCCB413"/>
    <w:multiLevelType w:val="singleLevel"/>
    <w:tmpl w:val="1CCCB413"/>
    <w:lvl w:ilvl="0" w:tentative="0">
      <w:start w:val="1"/>
      <w:numFmt w:val="decimal"/>
      <w:suff w:val="nothing"/>
      <w:lvlText w:val="（%1）"/>
      <w:lvlJc w:val="left"/>
    </w:lvl>
  </w:abstractNum>
  <w:abstractNum w:abstractNumId="6">
    <w:nsid w:val="6833FA05"/>
    <w:multiLevelType w:val="singleLevel"/>
    <w:tmpl w:val="6833FA05"/>
    <w:lvl w:ilvl="0" w:tentative="0">
      <w:start w:val="1"/>
      <w:numFmt w:val="decimal"/>
      <w:suff w:val="nothing"/>
      <w:lvlText w:val="%1、"/>
      <w:lvlJc w:val="left"/>
    </w:lvl>
  </w:abstractNum>
  <w:num w:numId="1">
    <w:abstractNumId w:val="3"/>
  </w:num>
  <w:num w:numId="2">
    <w:abstractNumId w:val="6"/>
  </w:num>
  <w:num w:numId="3">
    <w:abstractNumId w:val="4"/>
  </w:num>
  <w:num w:numId="4">
    <w:abstractNumId w:val="5"/>
  </w:num>
  <w:num w:numId="5">
    <w:abstractNumId w:val="0"/>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E09E7"/>
    <w:rsid w:val="005445D5"/>
    <w:rsid w:val="00AD6187"/>
    <w:rsid w:val="00D77D9E"/>
    <w:rsid w:val="01715CA0"/>
    <w:rsid w:val="017936BE"/>
    <w:rsid w:val="02395EC6"/>
    <w:rsid w:val="02B916FA"/>
    <w:rsid w:val="03DA48EA"/>
    <w:rsid w:val="04425631"/>
    <w:rsid w:val="047F77C4"/>
    <w:rsid w:val="05A27BA8"/>
    <w:rsid w:val="0644429B"/>
    <w:rsid w:val="07070072"/>
    <w:rsid w:val="082E3726"/>
    <w:rsid w:val="08367CC1"/>
    <w:rsid w:val="08A9768B"/>
    <w:rsid w:val="08AD3BAB"/>
    <w:rsid w:val="091B2126"/>
    <w:rsid w:val="09244DDD"/>
    <w:rsid w:val="09F71624"/>
    <w:rsid w:val="0A7E1D45"/>
    <w:rsid w:val="0AAF1155"/>
    <w:rsid w:val="0AC163F6"/>
    <w:rsid w:val="0AEA46D1"/>
    <w:rsid w:val="0B5A630E"/>
    <w:rsid w:val="0BD443FD"/>
    <w:rsid w:val="0C142961"/>
    <w:rsid w:val="0C4D5E73"/>
    <w:rsid w:val="0D447EB9"/>
    <w:rsid w:val="0E0B39D9"/>
    <w:rsid w:val="0F3A3614"/>
    <w:rsid w:val="0F583DCD"/>
    <w:rsid w:val="107462EF"/>
    <w:rsid w:val="108A1444"/>
    <w:rsid w:val="11A27578"/>
    <w:rsid w:val="11D638BA"/>
    <w:rsid w:val="12B409FA"/>
    <w:rsid w:val="12BB75A1"/>
    <w:rsid w:val="14997EA7"/>
    <w:rsid w:val="14C70789"/>
    <w:rsid w:val="150D4A50"/>
    <w:rsid w:val="15B91E83"/>
    <w:rsid w:val="15FB4166"/>
    <w:rsid w:val="16065DEF"/>
    <w:rsid w:val="172D64EF"/>
    <w:rsid w:val="176C18A3"/>
    <w:rsid w:val="17FB78A1"/>
    <w:rsid w:val="18F759EF"/>
    <w:rsid w:val="19A61B96"/>
    <w:rsid w:val="19DD3CFB"/>
    <w:rsid w:val="19F1171D"/>
    <w:rsid w:val="19F65454"/>
    <w:rsid w:val="1AA036F0"/>
    <w:rsid w:val="1AE83444"/>
    <w:rsid w:val="1C805E5B"/>
    <w:rsid w:val="1D126A49"/>
    <w:rsid w:val="1DAD49C3"/>
    <w:rsid w:val="1EA25BAA"/>
    <w:rsid w:val="1FC14756"/>
    <w:rsid w:val="200A3D4E"/>
    <w:rsid w:val="22C75BE0"/>
    <w:rsid w:val="234F7FFF"/>
    <w:rsid w:val="23B048C6"/>
    <w:rsid w:val="243948BB"/>
    <w:rsid w:val="24547947"/>
    <w:rsid w:val="249F749A"/>
    <w:rsid w:val="24F26AD5"/>
    <w:rsid w:val="251E565A"/>
    <w:rsid w:val="25F3318F"/>
    <w:rsid w:val="266B064C"/>
    <w:rsid w:val="26754358"/>
    <w:rsid w:val="27724F60"/>
    <w:rsid w:val="27AD67B7"/>
    <w:rsid w:val="2A465EF5"/>
    <w:rsid w:val="2AD24BF6"/>
    <w:rsid w:val="2AE00186"/>
    <w:rsid w:val="2B0E58B3"/>
    <w:rsid w:val="2B1D313C"/>
    <w:rsid w:val="2BA1404C"/>
    <w:rsid w:val="2CF3467C"/>
    <w:rsid w:val="2D2409EB"/>
    <w:rsid w:val="2D7E77E3"/>
    <w:rsid w:val="2E3A72C6"/>
    <w:rsid w:val="2F2B4C36"/>
    <w:rsid w:val="2F843677"/>
    <w:rsid w:val="2F9037FD"/>
    <w:rsid w:val="30A02706"/>
    <w:rsid w:val="30F70992"/>
    <w:rsid w:val="30F92976"/>
    <w:rsid w:val="3136299A"/>
    <w:rsid w:val="3207249C"/>
    <w:rsid w:val="32321E1C"/>
    <w:rsid w:val="32531B4E"/>
    <w:rsid w:val="34B60ED2"/>
    <w:rsid w:val="34B940F2"/>
    <w:rsid w:val="34D4418C"/>
    <w:rsid w:val="34F25D61"/>
    <w:rsid w:val="351D3D85"/>
    <w:rsid w:val="3542559A"/>
    <w:rsid w:val="372E5DD5"/>
    <w:rsid w:val="39352F70"/>
    <w:rsid w:val="39B90520"/>
    <w:rsid w:val="3A3533F4"/>
    <w:rsid w:val="3AED5FA8"/>
    <w:rsid w:val="3B196D9D"/>
    <w:rsid w:val="3B5B5607"/>
    <w:rsid w:val="3B6A43DD"/>
    <w:rsid w:val="3CA42C54"/>
    <w:rsid w:val="3E014244"/>
    <w:rsid w:val="3E9E5F37"/>
    <w:rsid w:val="3EA572C5"/>
    <w:rsid w:val="3ECF75FC"/>
    <w:rsid w:val="3EE65DB0"/>
    <w:rsid w:val="3FE660EF"/>
    <w:rsid w:val="3FEE6A4A"/>
    <w:rsid w:val="40766F2F"/>
    <w:rsid w:val="407A4800"/>
    <w:rsid w:val="41066EA2"/>
    <w:rsid w:val="41281AE7"/>
    <w:rsid w:val="41D57EC1"/>
    <w:rsid w:val="41D659E7"/>
    <w:rsid w:val="422E5823"/>
    <w:rsid w:val="42AE0712"/>
    <w:rsid w:val="42B357A3"/>
    <w:rsid w:val="436D706C"/>
    <w:rsid w:val="437C611B"/>
    <w:rsid w:val="43E66C40"/>
    <w:rsid w:val="43F873F7"/>
    <w:rsid w:val="444D62B8"/>
    <w:rsid w:val="44692B43"/>
    <w:rsid w:val="457B6EA7"/>
    <w:rsid w:val="45BC4EF4"/>
    <w:rsid w:val="45E42D27"/>
    <w:rsid w:val="47A0687C"/>
    <w:rsid w:val="48335942"/>
    <w:rsid w:val="48BA4E3E"/>
    <w:rsid w:val="4904250E"/>
    <w:rsid w:val="49543DC1"/>
    <w:rsid w:val="4A025F64"/>
    <w:rsid w:val="4B9E1E4F"/>
    <w:rsid w:val="4BD123B2"/>
    <w:rsid w:val="4C6409E9"/>
    <w:rsid w:val="4C7B7D25"/>
    <w:rsid w:val="4D01600E"/>
    <w:rsid w:val="4D230F75"/>
    <w:rsid w:val="4D6C669F"/>
    <w:rsid w:val="4DA44BEC"/>
    <w:rsid w:val="4DAC4A19"/>
    <w:rsid w:val="4E2F68D1"/>
    <w:rsid w:val="4E402C73"/>
    <w:rsid w:val="4E972591"/>
    <w:rsid w:val="4EC015B1"/>
    <w:rsid w:val="4F443F90"/>
    <w:rsid w:val="4F5C20E5"/>
    <w:rsid w:val="4F986150"/>
    <w:rsid w:val="509205B0"/>
    <w:rsid w:val="516923D4"/>
    <w:rsid w:val="51AB09B6"/>
    <w:rsid w:val="51DD247A"/>
    <w:rsid w:val="52666914"/>
    <w:rsid w:val="52C8137C"/>
    <w:rsid w:val="53176397"/>
    <w:rsid w:val="53191BD8"/>
    <w:rsid w:val="53212333"/>
    <w:rsid w:val="53750A51"/>
    <w:rsid w:val="53E126F6"/>
    <w:rsid w:val="53E738DD"/>
    <w:rsid w:val="540A00DF"/>
    <w:rsid w:val="54266161"/>
    <w:rsid w:val="54316AAD"/>
    <w:rsid w:val="54505185"/>
    <w:rsid w:val="54624EB9"/>
    <w:rsid w:val="55C13BE6"/>
    <w:rsid w:val="56C47577"/>
    <w:rsid w:val="56E26F1A"/>
    <w:rsid w:val="586D64A8"/>
    <w:rsid w:val="58850B9C"/>
    <w:rsid w:val="58FE7456"/>
    <w:rsid w:val="59B2635D"/>
    <w:rsid w:val="59E06353"/>
    <w:rsid w:val="59F209F7"/>
    <w:rsid w:val="5AAF793F"/>
    <w:rsid w:val="5AEC67FA"/>
    <w:rsid w:val="5B582874"/>
    <w:rsid w:val="5C375640"/>
    <w:rsid w:val="5D3A5B17"/>
    <w:rsid w:val="5DC54D6A"/>
    <w:rsid w:val="5DFB0858"/>
    <w:rsid w:val="5ED61A68"/>
    <w:rsid w:val="5EE97D23"/>
    <w:rsid w:val="5F377342"/>
    <w:rsid w:val="5FB702F3"/>
    <w:rsid w:val="5FC24942"/>
    <w:rsid w:val="603E210B"/>
    <w:rsid w:val="60441932"/>
    <w:rsid w:val="60601378"/>
    <w:rsid w:val="61B1083E"/>
    <w:rsid w:val="621945FC"/>
    <w:rsid w:val="628C1BEE"/>
    <w:rsid w:val="6297671D"/>
    <w:rsid w:val="62F53AC8"/>
    <w:rsid w:val="632A05BD"/>
    <w:rsid w:val="65176D90"/>
    <w:rsid w:val="652F7039"/>
    <w:rsid w:val="65972412"/>
    <w:rsid w:val="65C0678F"/>
    <w:rsid w:val="65DE078B"/>
    <w:rsid w:val="66D97C27"/>
    <w:rsid w:val="688E327E"/>
    <w:rsid w:val="6B252A70"/>
    <w:rsid w:val="6B9145AA"/>
    <w:rsid w:val="6C100B8B"/>
    <w:rsid w:val="6D0611AC"/>
    <w:rsid w:val="6D9A109B"/>
    <w:rsid w:val="6DBF777E"/>
    <w:rsid w:val="6E6164B5"/>
    <w:rsid w:val="6E8F51E0"/>
    <w:rsid w:val="6EDA3817"/>
    <w:rsid w:val="6EE167E4"/>
    <w:rsid w:val="6FD022E5"/>
    <w:rsid w:val="6FDB6359"/>
    <w:rsid w:val="7074681C"/>
    <w:rsid w:val="707C7E64"/>
    <w:rsid w:val="720A08A1"/>
    <w:rsid w:val="7275609B"/>
    <w:rsid w:val="733504E8"/>
    <w:rsid w:val="733A1083"/>
    <w:rsid w:val="73637DB5"/>
    <w:rsid w:val="75114065"/>
    <w:rsid w:val="757E7565"/>
    <w:rsid w:val="76126652"/>
    <w:rsid w:val="76991BEC"/>
    <w:rsid w:val="7798126F"/>
    <w:rsid w:val="77DC592E"/>
    <w:rsid w:val="78360DC6"/>
    <w:rsid w:val="787A6B4F"/>
    <w:rsid w:val="789B3E8B"/>
    <w:rsid w:val="7A1545F8"/>
    <w:rsid w:val="7A471471"/>
    <w:rsid w:val="7B222A21"/>
    <w:rsid w:val="7BB3231A"/>
    <w:rsid w:val="7BEF3979"/>
    <w:rsid w:val="7C0337B4"/>
    <w:rsid w:val="7C2B3C5E"/>
    <w:rsid w:val="7CB44DAC"/>
    <w:rsid w:val="7CBA4FE2"/>
    <w:rsid w:val="7E25749C"/>
    <w:rsid w:val="7F7D6EC7"/>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7"/>
    <w:qFormat/>
    <w:uiPriority w:val="0"/>
    <w:pPr>
      <w:keepNext/>
      <w:tabs>
        <w:tab w:val="left" w:pos="345"/>
      </w:tabs>
      <w:spacing w:before="50" w:beforeLines="50" w:line="360" w:lineRule="auto"/>
      <w:ind w:left="0" w:firstLine="0" w:firstLineChars="0"/>
      <w:jc w:val="left"/>
      <w:outlineLvl w:val="0"/>
    </w:pPr>
    <w:rPr>
      <w:rFonts w:ascii="Times New Roman" w:hAnsi="Times New Roman"/>
      <w:b/>
      <w:sz w:val="32"/>
    </w:rPr>
  </w:style>
  <w:style w:type="paragraph" w:styleId="3">
    <w:name w:val="heading 2"/>
    <w:basedOn w:val="2"/>
    <w:next w:val="1"/>
    <w:link w:val="29"/>
    <w:unhideWhenUsed/>
    <w:qFormat/>
    <w:uiPriority w:val="0"/>
    <w:pPr>
      <w:keepNext/>
      <w:keepLines/>
      <w:spacing w:beforeAutospacing="0" w:after="50" w:afterLines="50" w:afterAutospacing="0" w:line="240" w:lineRule="auto"/>
      <w:ind w:firstLine="0" w:firstLineChars="0"/>
      <w:jc w:val="left"/>
      <w:outlineLvl w:val="1"/>
    </w:pPr>
    <w:rPr>
      <w:rFonts w:ascii="Times New Roman" w:hAnsi="Times New Roman" w:eastAsia="宋体"/>
      <w:sz w:val="30"/>
    </w:rPr>
  </w:style>
  <w:style w:type="paragraph" w:styleId="4">
    <w:name w:val="heading 3"/>
    <w:basedOn w:val="1"/>
    <w:next w:val="1"/>
    <w:unhideWhenUsed/>
    <w:qFormat/>
    <w:uiPriority w:val="0"/>
    <w:pPr>
      <w:spacing w:before="50" w:beforeLines="50" w:beforeAutospacing="0" w:after="50" w:afterLines="50" w:afterAutospacing="0" w:line="240" w:lineRule="auto"/>
      <w:ind w:firstLine="0" w:firstLineChars="0"/>
      <w:jc w:val="left"/>
      <w:outlineLvl w:val="2"/>
    </w:pPr>
    <w:rPr>
      <w:rFonts w:hint="default" w:ascii="Times New Roman" w:hAnsi="Times New Roman" w:eastAsia="宋体" w:cs="宋体"/>
      <w:b/>
      <w:bCs/>
      <w:kern w:val="0"/>
      <w:sz w:val="28"/>
      <w:szCs w:val="27"/>
      <w:lang w:bidi="ar"/>
    </w:rPr>
  </w:style>
  <w:style w:type="paragraph" w:styleId="5">
    <w:name w:val="heading 4"/>
    <w:basedOn w:val="4"/>
    <w:next w:val="1"/>
    <w:unhideWhenUsed/>
    <w:qFormat/>
    <w:uiPriority w:val="0"/>
    <w:pPr>
      <w:numPr>
        <w:ilvl w:val="3"/>
        <w:numId w:val="1"/>
      </w:numPr>
      <w:spacing w:line="360" w:lineRule="auto"/>
      <w:outlineLvl w:val="3"/>
    </w:pPr>
    <w:rPr>
      <w:rFonts w:eastAsia="宋体"/>
      <w:sz w:val="24"/>
    </w:rPr>
  </w:style>
  <w:style w:type="character" w:default="1" w:styleId="20">
    <w:name w:val="Default Paragraph Font"/>
    <w:qFormat/>
    <w:uiPriority w:val="0"/>
  </w:style>
  <w:style w:type="table" w:default="1" w:styleId="24">
    <w:name w:val="Normal Table"/>
    <w:semiHidden/>
    <w:qFormat/>
    <w:uiPriority w:val="0"/>
    <w:tblPr>
      <w:tblLayout w:type="fixed"/>
      <w:tblCellMar>
        <w:top w:w="0" w:type="dxa"/>
        <w:left w:w="108" w:type="dxa"/>
        <w:bottom w:w="0" w:type="dxa"/>
        <w:right w:w="108" w:type="dxa"/>
      </w:tblCellMar>
    </w:tblPr>
  </w:style>
  <w:style w:type="paragraph" w:styleId="6">
    <w:name w:val="toc 7"/>
    <w:basedOn w:val="1"/>
    <w:next w:val="1"/>
    <w:qFormat/>
    <w:uiPriority w:val="39"/>
    <w:pPr>
      <w:ind w:left="1260"/>
      <w:jc w:val="left"/>
    </w:pPr>
    <w:rPr>
      <w:sz w:val="18"/>
      <w:szCs w:val="18"/>
    </w:rPr>
  </w:style>
  <w:style w:type="paragraph" w:styleId="7">
    <w:name w:val="Body Text First Indent"/>
    <w:basedOn w:val="8"/>
    <w:next w:val="1"/>
    <w:qFormat/>
    <w:uiPriority w:val="0"/>
    <w:pPr>
      <w:widowControl/>
      <w:snapToGrid w:val="0"/>
      <w:spacing w:before="60" w:after="160" w:line="259" w:lineRule="auto"/>
      <w:ind w:right="113" w:firstLine="420" w:firstLineChars="100"/>
      <w:jc w:val="both"/>
    </w:pPr>
    <w:rPr>
      <w:rFonts w:ascii="Times New Roman" w:hAnsi="Times New Roman" w:eastAsia="宋体" w:cs="Times New Roman"/>
      <w:kern w:val="0"/>
      <w:sz w:val="18"/>
      <w:szCs w:val="20"/>
      <w:lang w:val="en-US" w:eastAsia="zh-CN" w:bidi="ar-SA"/>
    </w:rPr>
  </w:style>
  <w:style w:type="paragraph" w:styleId="8">
    <w:name w:val="Body Text"/>
    <w:basedOn w:val="1"/>
    <w:next w:val="9"/>
    <w:qFormat/>
    <w:uiPriority w:val="0"/>
    <w:pPr>
      <w:widowControl/>
      <w:snapToGrid w:val="0"/>
      <w:spacing w:before="60" w:after="160" w:line="259" w:lineRule="auto"/>
      <w:ind w:right="113"/>
      <w:jc w:val="both"/>
    </w:pPr>
    <w:rPr>
      <w:rFonts w:ascii="Times New Roman" w:hAnsi="Times New Roman" w:eastAsia="宋体" w:cs="Times New Roman"/>
      <w:kern w:val="0"/>
      <w:sz w:val="18"/>
      <w:szCs w:val="20"/>
      <w:lang w:val="en-US" w:eastAsia="zh-CN" w:bidi="ar-SA"/>
    </w:rPr>
  </w:style>
  <w:style w:type="paragraph" w:styleId="9">
    <w:name w:val="Salutation"/>
    <w:basedOn w:val="1"/>
    <w:next w:val="1"/>
    <w:qFormat/>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0">
    <w:name w:val="Normal Indent"/>
    <w:basedOn w:val="1"/>
    <w:qFormat/>
    <w:uiPriority w:val="0"/>
    <w:pPr>
      <w:widowControl w:val="0"/>
      <w:ind w:firstLine="420"/>
      <w:jc w:val="both"/>
    </w:pPr>
    <w:rPr>
      <w:rFonts w:ascii="Times New Roman" w:hAnsi="Times New Roman" w:eastAsia="宋体" w:cs="Times New Roman"/>
      <w:kern w:val="2"/>
      <w:sz w:val="21"/>
      <w:szCs w:val="24"/>
      <w:lang w:val="en-US" w:eastAsia="zh-CN" w:bidi="ar-SA"/>
    </w:rPr>
  </w:style>
  <w:style w:type="paragraph" w:styleId="11">
    <w:name w:val="annotation text"/>
    <w:basedOn w:val="1"/>
    <w:qFormat/>
    <w:uiPriority w:val="0"/>
    <w:pPr>
      <w:jc w:val="left"/>
    </w:pPr>
  </w:style>
  <w:style w:type="paragraph" w:styleId="12">
    <w:name w:val="Body Text Indent"/>
    <w:basedOn w:val="1"/>
    <w:next w:val="13"/>
    <w:link w:val="36"/>
    <w:qFormat/>
    <w:uiPriority w:val="0"/>
    <w:pPr>
      <w:spacing w:after="120"/>
      <w:ind w:left="420" w:leftChars="200"/>
    </w:pPr>
    <w:rPr>
      <w:kern w:val="0"/>
      <w:sz w:val="24"/>
      <w:szCs w:val="20"/>
    </w:rPr>
  </w:style>
  <w:style w:type="paragraph" w:styleId="13">
    <w:name w:val="Balloon Text"/>
    <w:basedOn w:val="1"/>
    <w:next w:val="8"/>
    <w:semiHidden/>
    <w:qFormat/>
    <w:uiPriority w:val="0"/>
    <w:rPr>
      <w:kern w:val="0"/>
      <w:sz w:val="18"/>
      <w:szCs w:val="20"/>
    </w:rPr>
  </w:style>
  <w:style w:type="paragraph" w:styleId="14">
    <w:name w:val="Block Text"/>
    <w:basedOn w:val="1"/>
    <w:qFormat/>
    <w:uiPriority w:val="0"/>
    <w:pPr>
      <w:spacing w:line="440" w:lineRule="exact"/>
      <w:ind w:left="105" w:leftChars="50" w:right="105" w:rightChars="50" w:firstLine="556"/>
    </w:pPr>
    <w:rPr>
      <w:rFonts w:ascii="仿宋_GB2312" w:hAnsi="Monotype Corsiva" w:eastAsia="仿宋_GB2312"/>
      <w:bCs/>
      <w:sz w:val="24"/>
    </w:rPr>
  </w:style>
  <w:style w:type="paragraph" w:styleId="15">
    <w:name w:val="footer"/>
    <w:basedOn w:val="1"/>
    <w:qFormat/>
    <w:uiPriority w:val="99"/>
    <w:pPr>
      <w:widowControl w:val="0"/>
      <w:tabs>
        <w:tab w:val="center" w:pos="4153"/>
        <w:tab w:val="right" w:pos="8306"/>
      </w:tabs>
      <w:snapToGrid w:val="0"/>
      <w:jc w:val="left"/>
    </w:pPr>
    <w:rPr>
      <w:rFonts w:ascii="Times New Roman" w:hAnsi="Times New Roman" w:eastAsia="宋体" w:cs="Times New Roman"/>
      <w:kern w:val="0"/>
      <w:sz w:val="18"/>
      <w:szCs w:val="20"/>
      <w:lang w:val="en-US" w:eastAsia="zh-CN" w:bidi="ar-SA"/>
    </w:rPr>
  </w:style>
  <w:style w:type="paragraph" w:styleId="16">
    <w:name w:val="Body Text First Indent 2"/>
    <w:basedOn w:val="1"/>
    <w:next w:val="7"/>
    <w:qFormat/>
    <w:uiPriority w:val="0"/>
    <w:pPr>
      <w:keepNext w:val="0"/>
      <w:keepLines w:val="0"/>
      <w:widowControl/>
      <w:suppressLineNumbers w:val="0"/>
      <w:spacing w:before="0" w:beforeAutospacing="0" w:after="120" w:afterAutospacing="0"/>
      <w:ind w:left="420" w:leftChars="200" w:right="0" w:firstLine="420" w:firstLineChars="200"/>
      <w:jc w:val="left"/>
    </w:pPr>
    <w:rPr>
      <w:rFonts w:ascii="Times New Roman" w:hAnsi="Times New Roman" w:eastAsia="宋体" w:cs="Times New Roman"/>
      <w:kern w:val="2"/>
      <w:sz w:val="28"/>
      <w:szCs w:val="28"/>
      <w:lang w:val="en-US" w:eastAsia="zh-CN" w:bidi="ar-SA"/>
    </w:rPr>
  </w:style>
  <w:style w:type="paragraph" w:styleId="17">
    <w:name w:val="header"/>
    <w:basedOn w:val="1"/>
    <w:qFormat/>
    <w:uiPriority w:val="0"/>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20"/>
      <w:lang w:val="en-US" w:eastAsia="zh-CN" w:bidi="ar-SA"/>
    </w:rPr>
  </w:style>
  <w:style w:type="paragraph" w:styleId="18">
    <w:name w:val="toc 1"/>
    <w:basedOn w:val="1"/>
    <w:next w:val="1"/>
    <w:qFormat/>
    <w:uiPriority w:val="0"/>
  </w:style>
  <w:style w:type="paragraph" w:styleId="19">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lang w:val="en-US" w:eastAsia="zh-CN" w:bidi="ar-SA"/>
    </w:rPr>
  </w:style>
  <w:style w:type="character" w:styleId="21">
    <w:name w:val="Strong"/>
    <w:basedOn w:val="20"/>
    <w:qFormat/>
    <w:uiPriority w:val="0"/>
    <w:rPr>
      <w:b/>
    </w:rPr>
  </w:style>
  <w:style w:type="character" w:styleId="22">
    <w:name w:val="Hyperlink"/>
    <w:basedOn w:val="20"/>
    <w:qFormat/>
    <w:uiPriority w:val="0"/>
    <w:rPr>
      <w:color w:val="0000FF"/>
      <w:u w:val="single"/>
    </w:rPr>
  </w:style>
  <w:style w:type="character" w:styleId="23">
    <w:name w:val="annotation reference"/>
    <w:basedOn w:val="20"/>
    <w:semiHidden/>
    <w:qFormat/>
    <w:uiPriority w:val="0"/>
    <w:rPr>
      <w:sz w:val="21"/>
    </w:rPr>
  </w:style>
  <w:style w:type="table" w:styleId="25">
    <w:name w:val="Table Grid"/>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6">
    <w:name w:val="图片标题"/>
    <w:basedOn w:val="1"/>
    <w:link w:val="41"/>
    <w:qFormat/>
    <w:uiPriority w:val="0"/>
    <w:pPr>
      <w:spacing w:beforeLines="0" w:line="240" w:lineRule="auto"/>
      <w:ind w:firstLine="0" w:firstLineChars="0"/>
      <w:jc w:val="center"/>
    </w:pPr>
    <w:rPr>
      <w:rFonts w:eastAsia="宋体"/>
      <w:b/>
    </w:rPr>
  </w:style>
  <w:style w:type="character" w:customStyle="1" w:styleId="27">
    <w:name w:val="标题 1 Char"/>
    <w:link w:val="2"/>
    <w:qFormat/>
    <w:uiPriority w:val="0"/>
    <w:rPr>
      <w:rFonts w:ascii="Times New Roman" w:hAnsi="Times New Roman" w:eastAsia="宋体" w:cs="Times New Roman"/>
      <w:b/>
      <w:bCs/>
      <w:kern w:val="44"/>
      <w:sz w:val="30"/>
      <w:szCs w:val="44"/>
      <w:lang w:val="en-US" w:eastAsia="zh-CN" w:bidi="ar-SA"/>
    </w:rPr>
  </w:style>
  <w:style w:type="paragraph" w:customStyle="1" w:styleId="28">
    <w:name w:val="表格文字"/>
    <w:basedOn w:val="1"/>
    <w:qFormat/>
    <w:uiPriority w:val="0"/>
    <w:pPr>
      <w:snapToGrid/>
      <w:spacing w:line="240" w:lineRule="auto"/>
      <w:ind w:left="0" w:leftChars="0" w:firstLine="0" w:firstLineChars="0"/>
      <w:jc w:val="center"/>
    </w:pPr>
    <w:rPr>
      <w:rFonts w:ascii="Times New Roman" w:hAnsi="Times New Roman" w:eastAsia="宋体"/>
      <w:sz w:val="21"/>
    </w:rPr>
  </w:style>
  <w:style w:type="character" w:customStyle="1" w:styleId="29">
    <w:name w:val="标题 2 Char"/>
    <w:link w:val="3"/>
    <w:qFormat/>
    <w:uiPriority w:val="0"/>
    <w:rPr>
      <w:rFonts w:ascii="Times New Roman" w:hAnsi="Times New Roman" w:eastAsia="宋体" w:cs="Times New Roman"/>
      <w:b/>
      <w:sz w:val="30"/>
    </w:rPr>
  </w:style>
  <w:style w:type="paragraph" w:customStyle="1" w:styleId="30">
    <w:name w:val="Default"/>
    <w:basedOn w:val="31"/>
    <w:next w:val="32"/>
    <w:qFormat/>
    <w:uiPriority w:val="0"/>
    <w:pPr>
      <w:widowControl w:val="0"/>
      <w:autoSpaceDE w:val="0"/>
      <w:autoSpaceDN w:val="0"/>
      <w:adjustRightInd w:val="0"/>
    </w:pPr>
    <w:rPr>
      <w:rFonts w:ascii="Arial Unicode MS" w:hAnsi="Arial Unicode MS" w:eastAsia="宋体" w:cs="Arial Unicode MS"/>
      <w:color w:val="000000"/>
      <w:sz w:val="24"/>
      <w:szCs w:val="24"/>
      <w:lang w:val="en-US" w:eastAsia="zh-CN" w:bidi="ar-SA"/>
    </w:rPr>
  </w:style>
  <w:style w:type="paragraph" w:customStyle="1" w:styleId="31">
    <w:name w:val="纯文本1"/>
    <w:basedOn w:val="1"/>
    <w:qFormat/>
    <w:uiPriority w:val="0"/>
    <w:pPr>
      <w:adjustRightInd w:val="0"/>
    </w:pPr>
    <w:rPr>
      <w:rFonts w:ascii="宋体" w:hAnsi="Courier New"/>
      <w:szCs w:val="20"/>
    </w:rPr>
  </w:style>
  <w:style w:type="paragraph" w:customStyle="1" w:styleId="32">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3">
    <w:name w:val="表头"/>
    <w:basedOn w:val="28"/>
    <w:next w:val="28"/>
    <w:link w:val="42"/>
    <w:qFormat/>
    <w:uiPriority w:val="0"/>
    <w:pPr>
      <w:keepNext/>
      <w:spacing w:before="50" w:beforeLines="50" w:after="50" w:afterLines="50"/>
    </w:pPr>
    <w:rPr>
      <w:rFonts w:ascii="Times New Roman" w:hAnsi="Times New Roman" w:eastAsia="宋体"/>
      <w:b/>
    </w:rPr>
  </w:style>
  <w:style w:type="table" w:customStyle="1" w:styleId="34">
    <w:name w:val="样式6"/>
    <w:basedOn w:val="24"/>
    <w:qFormat/>
    <w:uiPriority w:val="99"/>
    <w:pPr>
      <w:jc w:val="center"/>
    </w:pPr>
    <w:rPr>
      <w:rFonts w:ascii="Times New Roman" w:hAnsi="Times New Roman"/>
    </w:rPr>
    <w:tblPr>
      <w:tblBorders>
        <w:top w:val="single" w:color="auto" w:sz="12" w:space="0"/>
        <w:bottom w:val="single" w:color="auto" w:sz="12" w:space="0"/>
        <w:insideH w:val="single" w:color="auto" w:sz="4" w:space="0"/>
        <w:insideV w:val="single" w:color="auto" w:sz="4" w:space="0"/>
      </w:tblBorders>
      <w:tblLayout w:type="fixed"/>
      <w:tblCellMar>
        <w:left w:w="0" w:type="dxa"/>
        <w:right w:w="0" w:type="dxa"/>
      </w:tblCellMar>
    </w:tblPr>
    <w:tcPr>
      <w:vAlign w:val="center"/>
    </w:tcPr>
  </w:style>
  <w:style w:type="paragraph" w:customStyle="1" w:styleId="35">
    <w:name w:val="List Paragraph"/>
    <w:basedOn w:val="1"/>
    <w:unhideWhenUsed/>
    <w:qFormat/>
    <w:uiPriority w:val="99"/>
    <w:pPr>
      <w:ind w:firstLine="420" w:firstLineChars="200"/>
    </w:pPr>
    <w:rPr>
      <w:rFonts w:ascii="Times New Roman" w:hAnsi="Times New Roman" w:eastAsia="宋体"/>
    </w:rPr>
  </w:style>
  <w:style w:type="character" w:customStyle="1" w:styleId="36">
    <w:name w:val="正文文本缩进 Char"/>
    <w:basedOn w:val="20"/>
    <w:link w:val="12"/>
    <w:semiHidden/>
    <w:qFormat/>
    <w:locked/>
    <w:uiPriority w:val="0"/>
    <w:rPr>
      <w:kern w:val="0"/>
      <w:sz w:val="24"/>
      <w:szCs w:val="20"/>
    </w:rPr>
  </w:style>
  <w:style w:type="paragraph" w:customStyle="1" w:styleId="37">
    <w:name w:val="表格内容Q1"/>
    <w:basedOn w:val="1"/>
    <w:qFormat/>
    <w:uiPriority w:val="0"/>
    <w:pPr>
      <w:spacing w:line="240" w:lineRule="auto"/>
      <w:ind w:firstLine="0" w:firstLineChars="0"/>
      <w:jc w:val="center"/>
    </w:pPr>
    <w:rPr>
      <w:kern w:val="0"/>
      <w:sz w:val="18"/>
      <w:szCs w:val="20"/>
    </w:rPr>
  </w:style>
  <w:style w:type="paragraph" w:customStyle="1" w:styleId="38">
    <w:name w:val="a表格"/>
    <w:basedOn w:val="1"/>
    <w:qFormat/>
    <w:uiPriority w:val="0"/>
    <w:pPr>
      <w:snapToGrid w:val="0"/>
      <w:ind w:firstLine="0"/>
      <w:jc w:val="center"/>
    </w:pPr>
    <w:rPr>
      <w:rFonts w:eastAsia="宋体"/>
      <w:sz w:val="21"/>
      <w:szCs w:val="24"/>
    </w:rPr>
  </w:style>
  <w:style w:type="paragraph" w:customStyle="1" w:styleId="39">
    <w:name w:val="常用"/>
    <w:basedOn w:val="1"/>
    <w:qFormat/>
    <w:uiPriority w:val="0"/>
    <w:pPr>
      <w:widowControl/>
      <w:spacing w:line="360" w:lineRule="auto"/>
      <w:ind w:firstLine="200" w:firstLineChars="200"/>
      <w:jc w:val="left"/>
    </w:pPr>
    <w:rPr>
      <w:rFonts w:ascii="宋体" w:hAnsi="宋体" w:eastAsia="宋体"/>
      <w:kern w:val="0"/>
      <w:szCs w:val="28"/>
    </w:rPr>
  </w:style>
  <w:style w:type="paragraph" w:customStyle="1" w:styleId="40">
    <w:name w:val="表格固定文字"/>
    <w:basedOn w:val="1"/>
    <w:qFormat/>
    <w:uiPriority w:val="0"/>
    <w:pPr>
      <w:ind w:firstLine="0"/>
    </w:pPr>
    <w:rPr>
      <w:rFonts w:eastAsia="宋体"/>
      <w:sz w:val="21"/>
      <w:szCs w:val="24"/>
    </w:rPr>
  </w:style>
  <w:style w:type="character" w:customStyle="1" w:styleId="41">
    <w:name w:val="图片标题 Char"/>
    <w:link w:val="26"/>
    <w:qFormat/>
    <w:uiPriority w:val="0"/>
    <w:rPr>
      <w:rFonts w:eastAsia="宋体"/>
      <w:b/>
    </w:rPr>
  </w:style>
  <w:style w:type="character" w:customStyle="1" w:styleId="42">
    <w:name w:val="表头 Char"/>
    <w:link w:val="33"/>
    <w:qFormat/>
    <w:uiPriority w:val="0"/>
    <w:rPr>
      <w:rFonts w:ascii="Times New Roman" w:hAnsi="Times New Roman" w:eastAsia="宋体"/>
      <w:b/>
    </w:rPr>
  </w:style>
  <w:style w:type="paragraph" w:customStyle="1" w:styleId="43">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44">
    <w:name w:val=" Char Char Char Char Char Char Char Char Char1 Char"/>
    <w:basedOn w:val="1"/>
    <w:semiHidden/>
    <w:qFormat/>
    <w:uiPriority w:val="0"/>
    <w:pPr>
      <w:ind w:firstLine="0"/>
    </w:pPr>
    <w:rPr>
      <w:rFonts w:ascii="宋体" w:hAnsi="宋体" w:eastAsia="宋体" w:cs="Courier New"/>
      <w:sz w:val="32"/>
      <w:szCs w:val="32"/>
    </w:rPr>
  </w:style>
  <w:style w:type="paragraph" w:customStyle="1" w:styleId="45">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46">
    <w:name w:val="表格内容"/>
    <w:basedOn w:val="47"/>
    <w:qFormat/>
    <w:uiPriority w:val="0"/>
    <w:pPr>
      <w:autoSpaceDE w:val="0"/>
      <w:autoSpaceDN w:val="0"/>
      <w:ind w:firstLine="0"/>
      <w:jc w:val="center"/>
    </w:pPr>
    <w:rPr>
      <w:kern w:val="0"/>
      <w:sz w:val="24"/>
      <w:lang w:bidi="he-IL"/>
    </w:rPr>
  </w:style>
  <w:style w:type="paragraph" w:customStyle="1" w:styleId="47">
    <w:name w:val="内容"/>
    <w:basedOn w:val="1"/>
    <w:qFormat/>
    <w:uiPriority w:val="0"/>
    <w:pPr>
      <w:adjustRightInd w:val="0"/>
      <w:spacing w:before="100" w:beforeLines="50" w:beforeAutospacing="1" w:after="100" w:afterLines="50" w:afterAutospacing="1" w:line="400" w:lineRule="atLeast"/>
      <w:ind w:left="851"/>
      <w:textAlignment w:val="baseline"/>
    </w:pPr>
    <w:rPr>
      <w:kern w:val="0"/>
      <w:sz w:val="24"/>
    </w:rPr>
  </w:style>
  <w:style w:type="character" w:customStyle="1" w:styleId="48">
    <w:name w:val="fontstyle01"/>
    <w:basedOn w:val="20"/>
    <w:qFormat/>
    <w:uiPriority w:val="0"/>
    <w:rPr>
      <w:rFonts w:ascii="宋体" w:hAnsi="宋体" w:eastAsia="宋体" w:cs="宋体"/>
      <w:color w:val="000000"/>
      <w:sz w:val="28"/>
      <w:szCs w:val="28"/>
    </w:rPr>
  </w:style>
  <w:style w:type="paragraph" w:customStyle="1" w:styleId="49">
    <w:name w:val="正文样式"/>
    <w:basedOn w:val="1"/>
    <w:unhideWhenUsed/>
    <w:qFormat/>
    <w:uiPriority w:val="0"/>
    <w:pPr>
      <w:spacing w:line="360" w:lineRule="auto"/>
      <w:ind w:firstLine="720" w:firstLineChars="200"/>
    </w:pPr>
    <w:rPr>
      <w:sz w:val="24"/>
    </w:rPr>
  </w:style>
  <w:style w:type="paragraph" w:customStyle="1" w:styleId="50">
    <w:name w:val="正文样式-zsy"/>
    <w:basedOn w:val="49"/>
    <w:next w:val="1"/>
    <w:qFormat/>
    <w:uiPriority w:val="0"/>
    <w:pPr>
      <w:keepNext/>
      <w:keepLines/>
      <w:spacing w:line="360" w:lineRule="auto"/>
      <w:ind w:firstLine="720" w:firstLineChars="200"/>
      <w:outlineLvl w:val="9"/>
    </w:pPr>
    <w:rPr>
      <w:rFonts w:ascii="Times New Roman" w:hAnsi="Times New Roman" w:eastAsia="宋体"/>
      <w:sz w:val="24"/>
    </w:rPr>
  </w:style>
  <w:style w:type="paragraph" w:customStyle="1" w:styleId="51">
    <w:name w:val="表格样式"/>
    <w:basedOn w:val="1"/>
    <w:next w:val="1"/>
    <w:qFormat/>
    <w:uiPriority w:val="0"/>
    <w:pPr>
      <w:keepNext/>
      <w:overflowPunct w:val="0"/>
      <w:snapToGrid w:val="0"/>
      <w:spacing w:line="340" w:lineRule="exact"/>
      <w:ind w:left="0" w:firstLine="0"/>
      <w:jc w:val="center"/>
      <w:outlineLvl w:val="9"/>
    </w:pPr>
    <w:rPr>
      <w:rFonts w:hint="eastAsia" w:ascii="Times New Roman" w:hAnsi="Times New Roman" w:eastAsia="宋体"/>
      <w:bCs/>
      <w:color w:val="000000"/>
      <w:kern w:val="44"/>
      <w:szCs w:val="30"/>
    </w:rPr>
  </w:style>
  <w:style w:type="paragraph" w:customStyle="1" w:styleId="52">
    <w:name w:val="4正文"/>
    <w:basedOn w:val="1"/>
    <w:qFormat/>
    <w:uiPriority w:val="0"/>
    <w:pPr>
      <w:adjustRightInd w:val="0"/>
      <w:snapToGrid w:val="0"/>
      <w:spacing w:line="360" w:lineRule="auto"/>
      <w:ind w:firstLine="480" w:firstLineChars="200"/>
    </w:pPr>
    <w:rPr>
      <w:rFonts w:eastAsia="宋体" w:cs="宋体"/>
      <w:sz w:val="24"/>
    </w:rPr>
  </w:style>
  <w:style w:type="paragraph" w:customStyle="1" w:styleId="53">
    <w:name w:val="足乐正文"/>
    <w:basedOn w:val="1"/>
    <w:qFormat/>
    <w:uiPriority w:val="0"/>
    <w:pPr>
      <w:spacing w:line="360" w:lineRule="auto"/>
      <w:ind w:firstLine="720" w:firstLineChars="200"/>
    </w:pPr>
    <w:rPr>
      <w:kern w:val="0"/>
      <w:sz w:val="20"/>
      <w:szCs w:val="20"/>
    </w:rPr>
  </w:style>
  <w:style w:type="paragraph" w:customStyle="1" w:styleId="54">
    <w:name w:val="样式 黑色 行距: 最小值 26 磅"/>
    <w:basedOn w:val="1"/>
    <w:qFormat/>
    <w:uiPriority w:val="0"/>
    <w:pPr>
      <w:ind w:firstLine="200" w:firstLineChars="200"/>
    </w:pPr>
    <w:rPr>
      <w:rFonts w:ascii="Times New Roman" w:hAnsi="Times New Roman" w:eastAsia="楷体_GB2312" w:cs="宋体"/>
      <w:color w:val="000000"/>
      <w:spacing w:val="6"/>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jpeg"/><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emf"/><Relationship Id="rId17" Type="http://schemas.openxmlformats.org/officeDocument/2006/relationships/image" Target="media/image12.wmf"/><Relationship Id="rId16" Type="http://schemas.openxmlformats.org/officeDocument/2006/relationships/image" Target="media/image11.wmf"/><Relationship Id="rId15" Type="http://schemas.openxmlformats.org/officeDocument/2006/relationships/image" Target="media/image10.wmf"/><Relationship Id="rId14" Type="http://schemas.openxmlformats.org/officeDocument/2006/relationships/image" Target="media/image9.wmf"/><Relationship Id="rId13" Type="http://schemas.openxmlformats.org/officeDocument/2006/relationships/image" Target="media/image8.jpeg"/><Relationship Id="rId12" Type="http://schemas.openxmlformats.org/officeDocument/2006/relationships/image" Target="media/image7.wmf"/><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96</Pages>
  <Words>1253</Words>
  <Characters>1407</Characters>
  <Lines>0</Lines>
  <Paragraphs>0</Paragraphs>
  <TotalTime>0</TotalTime>
  <ScaleCrop>false</ScaleCrop>
  <LinksUpToDate>false</LinksUpToDate>
  <CharactersWithSpaces>1498</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2025-02-05T02:30:00Z</dcterms:created>
  <dc:creator>MIX（环评陈工）</dc:creator>
  <cp:lastModifiedBy>NTKO</cp:lastModifiedBy>
  <cp:lastPrinted>2025-04-02T03:16:00Z</cp:lastPrinted>
  <dcterms:modified xsi:type="dcterms:W3CDTF">2025-10-13T01:50:12Z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y fmtid="{D5CDD505-2E9C-101B-9397-08002B2CF9AE}" pid="3" name="ICV">
    <vt:lpwstr>4E9FDE297FA0464DA213A1A837734928_13</vt:lpwstr>
  </property>
  <property fmtid="{D5CDD505-2E9C-101B-9397-08002B2CF9AE}" pid="4" name="KSOTemplateDocerSaveRecord">
    <vt:lpwstr>eyJoZGlkIjoiYmZlYTE5ZDc4MTljODdiYzkwNzFkZjRjYzc2MDUxMGUiLCJ1c2VySWQiOiIxMjA3MTQyNDI4In0=</vt:lpwstr>
  </property>
</Properties>
</file>