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仿宋_GB2312"/>
          <w:color w:val="000000" w:themeColor="text1"/>
          <w:sz w:val="36"/>
          <w:szCs w:val="36"/>
          <w:lang w:eastAsia="zh-CN"/>
          <w14:textFill>
            <w14:solidFill>
              <w14:schemeClr w14:val="tx1"/>
            </w14:solidFill>
          </w14:textFill>
        </w:rPr>
      </w:pP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609590" cy="7892415"/>
            <wp:effectExtent l="0" t="0" r="10160" b="13335"/>
            <wp:docPr id="58" name="图片 58" descr="环评文件扩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环评文件扩建_页面_1"/>
                    <pic:cNvPicPr>
                      <a:picLocks noChangeAspect="1"/>
                    </pic:cNvPicPr>
                  </pic:nvPicPr>
                  <pic:blipFill>
                    <a:blip r:embed="rId11"/>
                    <a:stretch>
                      <a:fillRect/>
                    </a:stretch>
                  </pic:blipFill>
                  <pic:spPr>
                    <a:xfrm>
                      <a:off x="0" y="0"/>
                      <a:ext cx="5609590" cy="7892415"/>
                    </a:xfrm>
                    <a:prstGeom prst="rect">
                      <a:avLst/>
                    </a:prstGeom>
                  </pic:spPr>
                </pic:pic>
              </a:graphicData>
            </a:graphic>
          </wp:inline>
        </w:drawing>
      </w:r>
      <w:bookmarkStart w:id="9" w:name="_GoBack"/>
      <w:bookmarkEnd w:id="9"/>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hint="eastAsia" w:eastAsia="仿宋_GB2312"/>
          <w:color w:val="000000" w:themeColor="text1"/>
          <w:sz w:val="36"/>
          <w:szCs w:val="36"/>
          <w:lang w:eastAsia="zh-CN"/>
          <w14:textFill>
            <w14:solidFill>
              <w14:schemeClr w14:val="tx1"/>
            </w14:solidFill>
          </w14:textFill>
        </w:rPr>
      </w:pPr>
    </w:p>
    <w:p>
      <w:pPr>
        <w:jc w:val="both"/>
        <w:rPr>
          <w:rFonts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4"/>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773"/>
        <w:gridCol w:w="2246"/>
        <w:gridCol w:w="1948"/>
        <w:gridCol w:w="264"/>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7097" w:type="dxa"/>
            <w:gridSpan w:val="4"/>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红树林（福州）智能家居有限公司年加工木质家具1.5万套扩建项目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7097" w:type="dxa"/>
            <w:gridSpan w:val="4"/>
            <w:vAlign w:val="center"/>
          </w:tcPr>
          <w:p>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2510</w:t>
            </w:r>
            <w:r>
              <w:rPr>
                <w:rFonts w:hint="eastAsia"/>
                <w:color w:val="000000" w:themeColor="text1"/>
                <w:sz w:val="24"/>
                <w:highlight w:val="none"/>
                <w14:textFill>
                  <w14:solidFill>
                    <w14:schemeClr w14:val="tx1"/>
                  </w14:solidFill>
                </w14:textFill>
              </w:rPr>
              <w:t>-350181-04-0</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873153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建设单位联系人</w:t>
            </w:r>
          </w:p>
        </w:tc>
        <w:tc>
          <w:tcPr>
            <w:tcW w:w="2246" w:type="dxa"/>
            <w:vAlign w:val="center"/>
          </w:tcPr>
          <w:p>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2212" w:type="dxa"/>
            <w:gridSpan w:val="2"/>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联系方式</w:t>
            </w:r>
          </w:p>
        </w:tc>
        <w:tc>
          <w:tcPr>
            <w:tcW w:w="2639" w:type="dxa"/>
            <w:vAlign w:val="center"/>
          </w:tcPr>
          <w:p>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097" w:type="dxa"/>
            <w:gridSpan w:val="4"/>
            <w:vAlign w:val="center"/>
          </w:tcPr>
          <w:p>
            <w:pPr>
              <w:textAlignment w:val="center"/>
              <w:rPr>
                <w:color w:val="000000" w:themeColor="text1"/>
                <w:sz w:val="24"/>
                <w:highlight w:val="none"/>
                <w14:textFill>
                  <w14:solidFill>
                    <w14:schemeClr w14:val="tx1"/>
                  </w14:solidFill>
                </w14:textFill>
              </w:rPr>
            </w:pP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097" w:type="dxa"/>
            <w:gridSpan w:val="4"/>
            <w:vAlign w:val="center"/>
          </w:tcPr>
          <w:p>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 xml:space="preserve"> 1</w:t>
            </w:r>
            <w:r>
              <w:rPr>
                <w:rFonts w:hint="eastAsia"/>
                <w:color w:val="000000" w:themeColor="text1"/>
                <w:sz w:val="24"/>
                <w:highlight w:val="none"/>
                <w:u w:val="single"/>
                <w14:textFill>
                  <w14:solidFill>
                    <w14:schemeClr w14:val="tx1"/>
                  </w14:solidFill>
                </w14:textFill>
              </w:rPr>
              <w:t>19</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14:textFill>
                  <w14:solidFill>
                    <w14:schemeClr w14:val="tx1"/>
                  </w14:solidFill>
                </w14:textFill>
              </w:rPr>
              <w:t xml:space="preserve"> 24</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14:textFill>
                  <w14:solidFill>
                    <w14:schemeClr w14:val="tx1"/>
                  </w14:solidFill>
                </w14:textFill>
              </w:rPr>
              <w:t>7.560</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 xml:space="preserve"> 2</w:t>
            </w:r>
            <w:r>
              <w:rPr>
                <w:rFonts w:hint="eastAsia"/>
                <w:color w:val="000000" w:themeColor="text1"/>
                <w:sz w:val="24"/>
                <w:highlight w:val="none"/>
                <w:u w:val="single"/>
                <w14:textFill>
                  <w14:solidFill>
                    <w14:schemeClr w14:val="tx1"/>
                  </w14:solidFill>
                </w14:textFill>
              </w:rPr>
              <w:t>5</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14:textFill>
                  <w14:solidFill>
                    <w14:schemeClr w14:val="tx1"/>
                  </w14:solidFill>
                </w14:textFill>
              </w:rPr>
              <w:t>46</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14:textFill>
                  <w14:solidFill>
                    <w14:schemeClr w14:val="tx1"/>
                  </w14:solidFill>
                </w14:textFill>
              </w:rPr>
              <w:t>17.328</w:t>
            </w:r>
            <w:r>
              <w:rPr>
                <w:color w:val="000000" w:themeColor="text1"/>
                <w:sz w:val="24"/>
                <w:highlight w:val="none"/>
                <w14:textFill>
                  <w14:solidFill>
                    <w14:schemeClr w14:val="tx1"/>
                  </w14:solidFill>
                </w14:textFill>
              </w:rPr>
              <w:t>秒</w:t>
            </w:r>
            <w:r>
              <w:rPr>
                <w:rFonts w:hint="eastAsia"/>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国民经济</w:t>
            </w:r>
          </w:p>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p>
        </w:tc>
        <w:tc>
          <w:tcPr>
            <w:tcW w:w="2246" w:type="dxa"/>
            <w:vAlign w:val="center"/>
          </w:tcPr>
          <w:p>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C2110木质家具制造</w:t>
            </w:r>
          </w:p>
        </w:tc>
        <w:tc>
          <w:tcPr>
            <w:tcW w:w="1948" w:type="dxa"/>
            <w:vAlign w:val="center"/>
          </w:tcPr>
          <w:p>
            <w:pPr>
              <w:jc w:val="center"/>
              <w:textAlignment w:val="center"/>
              <w:rPr>
                <w:color w:val="000000" w:themeColor="text1"/>
                <w:sz w:val="24"/>
                <w:highlight w:val="none"/>
                <w14:textFill>
                  <w14:solidFill>
                    <w14:schemeClr w14:val="tx1"/>
                  </w14:solidFill>
                </w14:textFill>
              </w:rPr>
            </w:pPr>
            <w:bookmarkStart w:id="0" w:name="_Hlk49843745"/>
            <w:r>
              <w:rPr>
                <w:color w:val="000000" w:themeColor="text1"/>
                <w:sz w:val="24"/>
                <w:highlight w:val="none"/>
                <w14:textFill>
                  <w14:solidFill>
                    <w14:schemeClr w14:val="tx1"/>
                  </w14:solidFill>
                </w14:textFill>
              </w:rPr>
              <w:t>建设项目</w:t>
            </w:r>
          </w:p>
          <w:p>
            <w:pPr>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bookmarkEnd w:id="0"/>
          </w:p>
        </w:tc>
        <w:tc>
          <w:tcPr>
            <w:tcW w:w="2903" w:type="dxa"/>
            <w:gridSpan w:val="2"/>
            <w:vAlign w:val="center"/>
          </w:tcPr>
          <w:p>
            <w:pPr>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十八</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家具制造业21：36木质家具制造211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9"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建设性质</w:t>
            </w:r>
          </w:p>
        </w:tc>
        <w:tc>
          <w:tcPr>
            <w:tcW w:w="2246" w:type="dxa"/>
            <w:vAlign w:val="center"/>
          </w:tcPr>
          <w:p>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新建（迁建）</w:t>
            </w:r>
          </w:p>
          <w:p>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改建</w:t>
            </w:r>
          </w:p>
          <w:p>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扩建</w:t>
            </w:r>
          </w:p>
          <w:p>
            <w:pP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技术改造</w:t>
            </w:r>
          </w:p>
        </w:tc>
        <w:tc>
          <w:tcPr>
            <w:tcW w:w="1948" w:type="dxa"/>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2903" w:type="dxa"/>
            <w:gridSpan w:val="2"/>
            <w:vAlign w:val="center"/>
          </w:tcPr>
          <w:p>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√首次申报项目             </w:t>
            </w:r>
          </w:p>
          <w:p>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 xml:space="preserve">□超五年重新审核项目     </w:t>
            </w:r>
          </w:p>
          <w:p>
            <w:pP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部门</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2246" w:type="dxa"/>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福清市</w:t>
            </w:r>
            <w:r>
              <w:rPr>
                <w:rFonts w:hint="eastAsia"/>
                <w:color w:val="000000" w:themeColor="text1"/>
                <w:sz w:val="24"/>
                <w:highlight w:val="none"/>
                <w:lang w:eastAsia="zh-CN"/>
                <w14:textFill>
                  <w14:solidFill>
                    <w14:schemeClr w14:val="tx1"/>
                  </w14:solidFill>
                </w14:textFill>
              </w:rPr>
              <w:t>工业和信息化</w:t>
            </w:r>
            <w:r>
              <w:rPr>
                <w:rFonts w:hint="eastAsia"/>
                <w:color w:val="000000" w:themeColor="text1"/>
                <w:sz w:val="24"/>
                <w:highlight w:val="none"/>
                <w14:textFill>
                  <w14:solidFill>
                    <w14:schemeClr w14:val="tx1"/>
                  </w14:solidFill>
                </w14:textFill>
              </w:rPr>
              <w:t>局</w:t>
            </w:r>
          </w:p>
        </w:tc>
        <w:tc>
          <w:tcPr>
            <w:tcW w:w="1948" w:type="dxa"/>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核准/</w:t>
            </w:r>
          </w:p>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文号</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选填</w:t>
            </w:r>
            <w:r>
              <w:rPr>
                <w:rFonts w:hint="eastAsia"/>
                <w:color w:val="000000" w:themeColor="text1"/>
                <w:sz w:val="24"/>
                <w:highlight w:val="none"/>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闽</w:t>
            </w:r>
            <w:r>
              <w:rPr>
                <w:rFonts w:hint="eastAsia"/>
                <w:color w:val="000000" w:themeColor="text1"/>
                <w:sz w:val="24"/>
                <w:highlight w:val="none"/>
                <w:lang w:eastAsia="zh-CN"/>
                <w14:textFill>
                  <w14:solidFill>
                    <w14:schemeClr w14:val="tx1"/>
                  </w14:solidFill>
                </w14:textFill>
              </w:rPr>
              <w:t>工信</w:t>
            </w:r>
            <w:r>
              <w:rPr>
                <w:rFonts w:hint="eastAsia"/>
                <w:color w:val="000000" w:themeColor="text1"/>
                <w:sz w:val="24"/>
                <w:highlight w:val="none"/>
                <w14:textFill>
                  <w14:solidFill>
                    <w14:schemeClr w14:val="tx1"/>
                  </w14:solidFill>
                </w14:textFill>
              </w:rPr>
              <w:t>备[2025]A06</w:t>
            </w:r>
            <w:r>
              <w:rPr>
                <w:rFonts w:hint="eastAsia"/>
                <w:color w:val="000000" w:themeColor="text1"/>
                <w:sz w:val="24"/>
                <w:highlight w:val="none"/>
                <w:lang w:val="en-US" w:eastAsia="zh-CN"/>
                <w14:textFill>
                  <w14:solidFill>
                    <w14:schemeClr w14:val="tx1"/>
                  </w14:solidFill>
                </w14:textFill>
              </w:rPr>
              <w:t>0089</w:t>
            </w:r>
            <w:r>
              <w:rPr>
                <w:rFonts w:hint="eastAsia"/>
                <w:color w:val="000000" w:themeColor="text1"/>
                <w:sz w:val="24"/>
                <w:highlight w:val="none"/>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2246" w:type="dxa"/>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00</w:t>
            </w:r>
          </w:p>
        </w:tc>
        <w:tc>
          <w:tcPr>
            <w:tcW w:w="1948"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万元</w:t>
            </w:r>
            <w:r>
              <w:rPr>
                <w:rFonts w:hint="eastAsia"/>
                <w:color w:val="000000" w:themeColor="text1"/>
                <w:sz w:val="24"/>
                <w:highlight w:val="none"/>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w:t>
            </w:r>
          </w:p>
        </w:tc>
        <w:tc>
          <w:tcPr>
            <w:tcW w:w="2246" w:type="dxa"/>
            <w:vAlign w:val="center"/>
          </w:tcPr>
          <w:p>
            <w:pPr>
              <w:adjustRightInd w:val="0"/>
              <w:snapToGrid w:val="0"/>
              <w:jc w:val="center"/>
              <w:textAlignment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6.7</w:t>
            </w:r>
          </w:p>
        </w:tc>
        <w:tc>
          <w:tcPr>
            <w:tcW w:w="1948"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903" w:type="dxa"/>
            <w:gridSpan w:val="2"/>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int="eastAsia"/>
                <w:color w:val="000000" w:themeColor="text1"/>
                <w:sz w:val="24"/>
                <w:highlight w:val="none"/>
                <w14:textFill>
                  <w14:solidFill>
                    <w14:schemeClr w14:val="tx1"/>
                  </w14:solidFill>
                </w14:textFill>
              </w:rPr>
              <w:t>个</w:t>
            </w:r>
            <w:r>
              <w:rPr>
                <w:color w:val="000000" w:themeColor="text1"/>
                <w:sz w:val="24"/>
                <w:highlight w:val="none"/>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73" w:type="dxa"/>
            <w:tcMar>
              <w:top w:w="16" w:type="dxa"/>
              <w:left w:w="16" w:type="dxa"/>
              <w:right w:w="16" w:type="dxa"/>
            </w:tcMar>
            <w:vAlign w:val="center"/>
          </w:tcPr>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2246" w:type="dxa"/>
            <w:vAlign w:val="center"/>
          </w:tcPr>
          <w:p>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√否</w:t>
            </w:r>
          </w:p>
          <w:p>
            <w:pPr>
              <w:adjustRightInd w:val="0"/>
              <w:snapToGrid w:val="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w:t>
            </w:r>
          </w:p>
        </w:tc>
        <w:tc>
          <w:tcPr>
            <w:tcW w:w="1948" w:type="dxa"/>
            <w:tcMar>
              <w:top w:w="16" w:type="dxa"/>
              <w:left w:w="16" w:type="dxa"/>
              <w:right w:w="16" w:type="dxa"/>
            </w:tcMar>
            <w:vAlign w:val="center"/>
          </w:tcPr>
          <w:p>
            <w:pPr>
              <w:adjustRightInd w:val="0"/>
              <w:snapToGrid w:val="0"/>
              <w:jc w:val="center"/>
              <w:textAlignment w:val="center"/>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用海</w:t>
            </w:r>
            <w:r>
              <w:rPr>
                <w:rFonts w:hint="eastAsia"/>
                <w:color w:val="000000" w:themeColor="text1"/>
                <w:spacing w:val="-6"/>
                <w:sz w:val="24"/>
                <w:highlight w:val="none"/>
                <w14:textFill>
                  <w14:solidFill>
                    <w14:schemeClr w14:val="tx1"/>
                  </w14:solidFill>
                </w14:textFill>
              </w:rPr>
              <w:t>）</w:t>
            </w:r>
          </w:p>
          <w:p>
            <w:pPr>
              <w:adjustRightInd w:val="0"/>
              <w:snapToGrid w:val="0"/>
              <w:jc w:val="center"/>
              <w:textAlignment w:val="center"/>
              <w:rPr>
                <w:color w:val="000000" w:themeColor="text1"/>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面积</w:t>
            </w:r>
            <w:r>
              <w:rPr>
                <w:rFonts w:hint="eastAsia"/>
                <w:color w:val="000000" w:themeColor="text1"/>
                <w:spacing w:val="-6"/>
                <w:sz w:val="24"/>
                <w:highlight w:val="none"/>
                <w14:textFill>
                  <w14:solidFill>
                    <w14:schemeClr w14:val="tx1"/>
                  </w14:solidFill>
                </w14:textFill>
              </w:rPr>
              <w:t>（</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r>
              <w:rPr>
                <w:rFonts w:hint="eastAsia"/>
                <w:color w:val="000000" w:themeColor="text1"/>
                <w:spacing w:val="-6"/>
                <w:sz w:val="24"/>
                <w:highlight w:val="none"/>
                <w14:textFill>
                  <w14:solidFill>
                    <w14:schemeClr w14:val="tx1"/>
                  </w14:solidFill>
                </w14:textFill>
              </w:rPr>
              <w:t>）</w:t>
            </w:r>
          </w:p>
        </w:tc>
        <w:tc>
          <w:tcPr>
            <w:tcW w:w="2903" w:type="dxa"/>
            <w:gridSpan w:val="2"/>
            <w:vAlign w:val="center"/>
          </w:tcPr>
          <w:p>
            <w:pPr>
              <w:adjustRightInd w:val="0"/>
              <w:snapToGrid w:val="0"/>
              <w:jc w:val="center"/>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1670</w:t>
            </w:r>
            <w:r>
              <w:rPr>
                <w:color w:val="000000" w:themeColor="text1"/>
                <w:spacing w:val="-6"/>
                <w:sz w:val="24"/>
                <w:highlight w:val="none"/>
                <w14:textFill>
                  <w14:solidFill>
                    <w14:schemeClr w14:val="tx1"/>
                  </w14:solidFill>
                </w14:textFill>
              </w:rPr>
              <w:t>m</w:t>
            </w:r>
            <w:r>
              <w:rPr>
                <w:color w:val="000000" w:themeColor="text1"/>
                <w:spacing w:val="-6"/>
                <w:sz w:val="24"/>
                <w:highlight w:val="none"/>
                <w:vertAlign w:val="superscript"/>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1773" w:type="dxa"/>
            <w:vAlign w:val="center"/>
          </w:tcPr>
          <w:p>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7097" w:type="dxa"/>
            <w:gridSpan w:val="4"/>
            <w:vAlign w:val="center"/>
          </w:tcPr>
          <w:p>
            <w:pPr>
              <w:autoSpaceDE w:val="0"/>
              <w:autoSpaceDN w:val="0"/>
              <w:adjustRightInd w:val="0"/>
              <w:snapToGrid w:val="0"/>
              <w:ind w:firstLine="600" w:firstLineChars="250"/>
              <w:textAlignment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对照《建设项目环境影响报告表编制建设指南——污染影响类》专题评价设置原则表，</w:t>
            </w: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项目专题评价设置情况判定如下：</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2859"/>
              <w:gridCol w:w="2576"/>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专项评价类别</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设置原则</w:t>
                  </w:r>
                </w:p>
              </w:tc>
              <w:tc>
                <w:tcPr>
                  <w:tcW w:w="1832"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p>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情况</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排放废气含有毒有害污染物、二噁英、苯并芘、氰化物、氯气</w:t>
                  </w:r>
                  <w:r>
                    <w:rPr>
                      <w:rFonts w:hint="eastAsia"/>
                      <w:color w:val="000000" w:themeColor="text1"/>
                      <w:highlight w:val="none"/>
                      <w:lang w:eastAsia="zh-CN"/>
                      <w14:textFill>
                        <w14:solidFill>
                          <w14:schemeClr w14:val="tx1"/>
                        </w14:solidFill>
                      </w14:textFill>
                    </w:rPr>
                    <w:t>且</w:t>
                  </w:r>
                  <w:r>
                    <w:rPr>
                      <w:color w:val="000000" w:themeColor="text1"/>
                      <w:highlight w:val="none"/>
                      <w14:textFill>
                        <w14:solidFill>
                          <w14:schemeClr w14:val="tx1"/>
                        </w14:solidFill>
                      </w14:textFill>
                    </w:rPr>
                    <w:t>厂界外500米范围内有环境空气保护目标的项目</w:t>
                  </w:r>
                </w:p>
              </w:tc>
              <w:tc>
                <w:tcPr>
                  <w:tcW w:w="1832" w:type="pct"/>
                  <w:vAlign w:val="center"/>
                </w:tcPr>
                <w:p>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项目排放废气中不含有毒有害污染物、二噁英、苯并[a]芘、氰化物、氯气</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新增工业废水直排建设项目（槽罐车外送污水处理厂的除外），新增废水直排的污水集中处理厂</w:t>
                  </w:r>
                </w:p>
              </w:tc>
              <w:tc>
                <w:tcPr>
                  <w:tcW w:w="1832" w:type="pct"/>
                  <w:vAlign w:val="center"/>
                </w:tcPr>
                <w:p>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项目新增废水经处理后接入市政污水管网，排入福清市融元污水处理厂，属于间接排放，不存在工业废水直排</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有毒有害和易燃易爆危险物质存储量超过临界量的建设项目</w:t>
                  </w:r>
                </w:p>
              </w:tc>
              <w:tc>
                <w:tcPr>
                  <w:tcW w:w="1832" w:type="pct"/>
                  <w:vAlign w:val="center"/>
                </w:tcPr>
                <w:p>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项目使用涂料等，环境风险物质存储量未超过临界量</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取水口下游500米范围内有重要水生生物的自然产卵场、索饵场、越冬场和洄游通道的新增河道取水的污染类建设项目</w:t>
                  </w:r>
                </w:p>
              </w:tc>
              <w:tc>
                <w:tcPr>
                  <w:tcW w:w="1832" w:type="pct"/>
                  <w:vAlign w:val="center"/>
                </w:tcPr>
                <w:p>
                  <w:pPr>
                    <w:pStyle w:val="31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项目使用自来水，不设置取水口</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海洋</w:t>
                  </w:r>
                </w:p>
              </w:tc>
              <w:tc>
                <w:tcPr>
                  <w:tcW w:w="203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直接向海排放污染物的海洋工程建设项目</w:t>
                  </w:r>
                </w:p>
              </w:tc>
              <w:tc>
                <w:tcPr>
                  <w:tcW w:w="1832" w:type="pct"/>
                  <w:vAlign w:val="center"/>
                </w:tcPr>
                <w:p>
                  <w:pPr>
                    <w:pStyle w:val="311"/>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项目不属于海洋工程建设项目</w:t>
                  </w:r>
                </w:p>
              </w:tc>
              <w:tc>
                <w:tcPr>
                  <w:tcW w:w="543" w:type="pct"/>
                  <w:vAlign w:val="center"/>
                </w:tcPr>
                <w:p>
                  <w:pPr>
                    <w:pStyle w:val="31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不需开展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pStyle w:val="33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注：1.废气中有毒有害污染物指纳入《有毒有害大气污染物名录》的污染物(不包括无排放标准的污染物)。</w:t>
                  </w:r>
                </w:p>
                <w:p>
                  <w:pPr>
                    <w:pStyle w:val="33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2.环境空气保护目标指自然保护区、风景名胜区、居住区、文化区和农村地区中人群较集中的区域。</w:t>
                  </w:r>
                </w:p>
                <w:p>
                  <w:pPr>
                    <w:pStyle w:val="311"/>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3.临界量及其计算方法可参考《建设项目环境风险评价技术导则》(HJ169)附录B、附录C。</w:t>
                  </w:r>
                </w:p>
              </w:tc>
            </w:tr>
          </w:tbl>
          <w:p>
            <w:pPr>
              <w:autoSpaceDE w:val="0"/>
              <w:autoSpaceDN w:val="0"/>
              <w:adjustRightInd w:val="0"/>
              <w:snapToGrid w:val="0"/>
              <w:ind w:firstLine="600" w:firstLineChars="250"/>
              <w:textAlignment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经判定，</w:t>
            </w:r>
            <w:r>
              <w:rPr>
                <w:rFonts w:hint="eastAsia"/>
                <w:color w:val="000000" w:themeColor="text1"/>
                <w:sz w:val="24"/>
                <w:highlight w:val="none"/>
                <w:lang w:eastAsia="zh-CN"/>
                <w14:textFill>
                  <w14:solidFill>
                    <w14:schemeClr w14:val="tx1"/>
                  </w14:solidFill>
                </w14:textFill>
              </w:rPr>
              <w:t>扩建</w:t>
            </w:r>
            <w:r>
              <w:rPr>
                <w:color w:val="000000" w:themeColor="text1"/>
                <w:sz w:val="24"/>
                <w:highlight w:val="none"/>
                <w14:textFill>
                  <w14:solidFill>
                    <w14:schemeClr w14:val="tx1"/>
                  </w14:solidFill>
                </w14:textFill>
              </w:rPr>
              <w:t>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1773" w:type="dxa"/>
            <w:vAlign w:val="center"/>
          </w:tcPr>
          <w:p>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规划情况</w:t>
            </w:r>
          </w:p>
        </w:tc>
        <w:tc>
          <w:tcPr>
            <w:tcW w:w="7097" w:type="dxa"/>
            <w:gridSpan w:val="4"/>
            <w:vAlign w:val="center"/>
          </w:tcPr>
          <w:p>
            <w:pPr>
              <w:pStyle w:val="162"/>
              <w:ind w:firstLine="0" w:firstLineChars="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规划名称：</w:t>
            </w:r>
            <w:r>
              <w:rPr>
                <w:color w:val="000000" w:themeColor="text1"/>
                <w:sz w:val="24"/>
                <w:szCs w:val="24"/>
                <w:highlight w:val="none"/>
                <w14:textFill>
                  <w14:solidFill>
                    <w14:schemeClr w14:val="tx1"/>
                  </w14:solidFill>
                </w14:textFill>
              </w:rPr>
              <w:t>《福清融侨经济技术开发区总体规划（2018-2035年）》</w:t>
            </w:r>
          </w:p>
          <w:p>
            <w:pPr>
              <w:pStyle w:val="162"/>
              <w:ind w:firstLine="0" w:firstLineChars="0"/>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审批机关：融侨经济技术开发区管委会</w:t>
            </w:r>
          </w:p>
          <w:p>
            <w:pPr>
              <w:pStyle w:val="162"/>
              <w:ind w:firstLine="0" w:firstLineChars="0"/>
              <w:jc w:val="left"/>
              <w:rPr>
                <w:color w:val="000000" w:themeColor="text1"/>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773" w:type="dxa"/>
            <w:vAlign w:val="center"/>
          </w:tcPr>
          <w:p>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规划环境影响</w:t>
            </w:r>
          </w:p>
          <w:p>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评价情况</w:t>
            </w:r>
          </w:p>
        </w:tc>
        <w:tc>
          <w:tcPr>
            <w:tcW w:w="7097" w:type="dxa"/>
            <w:gridSpan w:val="4"/>
            <w:vAlign w:val="center"/>
          </w:tcPr>
          <w:p>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《福清融侨经济技术开发区总体规划（2018-2035年）环境影响报告书》；</w:t>
            </w:r>
          </w:p>
          <w:p>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审查机关：中华人民共和国生态环境部；</w:t>
            </w:r>
          </w:p>
          <w:p>
            <w:pPr>
              <w:pStyle w:val="162"/>
              <w:ind w:firstLine="0" w:firstLineChars="0"/>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审查意见文号： 环审</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2020</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1773" w:type="dxa"/>
            <w:vAlign w:val="center"/>
          </w:tcPr>
          <w:p>
            <w:pPr>
              <w:autoSpaceDE w:val="0"/>
              <w:autoSpaceDN w:val="0"/>
              <w:adjustRightInd w:val="0"/>
              <w:snapToGrid w:val="0"/>
              <w:jc w:val="center"/>
              <w:textAlignment w:val="center"/>
              <w:rPr>
                <w:rFonts w:ascii="宋体u.砸.葷." w:eastAsia="宋体u.砸.葷." w:cs="宋体u.砸.葷."/>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规划及规划环境</w:t>
            </w:r>
          </w:p>
          <w:p>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rFonts w:ascii="宋体u.砸.葷." w:eastAsia="宋体u.砸.葷." w:cs="宋体u.砸.葷."/>
                <w:color w:val="000000" w:themeColor="text1"/>
                <w:kern w:val="0"/>
                <w:sz w:val="24"/>
                <w:highlight w:val="none"/>
                <w14:textFill>
                  <w14:solidFill>
                    <w14:schemeClr w14:val="tx1"/>
                  </w14:solidFill>
                </w14:textFill>
              </w:rPr>
              <w:t>影响评价符合性分析</w:t>
            </w:r>
          </w:p>
        </w:tc>
        <w:tc>
          <w:tcPr>
            <w:tcW w:w="7097" w:type="dxa"/>
            <w:gridSpan w:val="4"/>
            <w:vAlign w:val="center"/>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1.1与《福清融侨经济技术开发区总体规划</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2018-2035年</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》符合性分析</w:t>
            </w:r>
          </w:p>
          <w:p>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福清融侨经济技术开发区规划面积</w:t>
            </w:r>
            <w:r>
              <w:rPr>
                <w:color w:val="000000" w:themeColor="text1"/>
                <w:highlight w:val="none"/>
                <w:lang w:val="en-US"/>
                <w14:textFill>
                  <w14:solidFill>
                    <w14:schemeClr w14:val="tx1"/>
                  </w14:solidFill>
                </w14:textFill>
              </w:rPr>
              <w:t>53.2</w:t>
            </w:r>
            <w:r>
              <w:rPr>
                <w:color w:val="000000" w:themeColor="text1"/>
                <w:highlight w:val="none"/>
                <w14:textFill>
                  <w14:solidFill>
                    <w14:schemeClr w14:val="tx1"/>
                  </w14:solidFill>
                </w14:textFill>
              </w:rPr>
              <w:t>平方公里，规划期2018年至2035年，以电子信息、精密汽车部件、光学为支柱产业。拟形成“一区三园多组团”的空间结构，“一区”即融侨经济技术开发区，“三园”即中心产业园、城北产业园(包括洪宽工业村)和南部产业园，“多组团”指各子园区内部分别形成若干工业、居住和服务组团。</w:t>
            </w:r>
          </w:p>
          <w:p>
            <w:pPr>
              <w:pStyle w:val="186"/>
              <w:ind w:firstLine="48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本</w:t>
            </w:r>
            <w:r>
              <w:rPr>
                <w:rFonts w:hint="eastAsia"/>
                <w:color w:val="000000" w:themeColor="text1"/>
                <w:szCs w:val="21"/>
                <w:highlight w:val="none"/>
                <w:lang w:eastAsia="zh-CN"/>
                <w14:textFill>
                  <w14:solidFill>
                    <w14:schemeClr w14:val="tx1"/>
                  </w14:solidFill>
                </w14:textFill>
              </w:rPr>
              <w:t>扩建</w:t>
            </w:r>
            <w:r>
              <w:rPr>
                <w:color w:val="000000" w:themeColor="text1"/>
                <w:szCs w:val="21"/>
                <w:highlight w:val="none"/>
                <w14:textFill>
                  <w14:solidFill>
                    <w14:schemeClr w14:val="tx1"/>
                  </w14:solidFill>
                </w14:textFill>
              </w:rPr>
              <w:t>项</w:t>
            </w:r>
            <w:r>
              <w:rPr>
                <w:color w:val="000000" w:themeColor="text1"/>
                <w:highlight w:val="none"/>
                <w14:textFill>
                  <w14:solidFill>
                    <w14:schemeClr w14:val="tx1"/>
                  </w14:solidFill>
                </w14:textFill>
              </w:rPr>
              <w:t>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，属于福清融侨经济技术开发区范围。根据《福清融侨经济技术开发区总体规划（2018-2035年）》，</w:t>
            </w:r>
            <w:r>
              <w:rPr>
                <w:color w:val="000000" w:themeColor="text1"/>
                <w:szCs w:val="21"/>
                <w:highlight w:val="none"/>
                <w14:textFill>
                  <w14:solidFill>
                    <w14:schemeClr w14:val="tx1"/>
                  </w14:solidFill>
                </w14:textFill>
              </w:rPr>
              <w:t>项目用地规划用途为工业用地。</w:t>
            </w:r>
          </w:p>
          <w:p>
            <w:pPr>
              <w:pStyle w:val="1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根据建设单位提供的</w:t>
            </w:r>
            <w:r>
              <w:rPr>
                <w:rFonts w:hint="eastAsia"/>
                <w:color w:val="000000" w:themeColor="text1"/>
                <w:highlight w:val="none"/>
                <w14:textFill>
                  <w14:solidFill>
                    <w14:schemeClr w14:val="tx1"/>
                  </w14:solidFill>
                </w14:textFill>
              </w:rPr>
              <w:t>福建乐翔服饰制造有限公司不动产权证</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闽（2024）福清市不动产权第9037608号</w:t>
            </w:r>
            <w:r>
              <w:rPr>
                <w:color w:val="000000" w:themeColor="text1"/>
                <w:highlight w:val="none"/>
                <w14:textFill>
                  <w14:solidFill>
                    <w14:schemeClr w14:val="tx1"/>
                  </w14:solidFill>
                </w14:textFill>
              </w:rPr>
              <w:t>），项目用地为</w:t>
            </w:r>
            <w:r>
              <w:rPr>
                <w:rFonts w:hint="eastAsia"/>
                <w:color w:val="000000" w:themeColor="text1"/>
                <w:highlight w:val="none"/>
                <w14:textFill>
                  <w14:solidFill>
                    <w14:schemeClr w14:val="tx1"/>
                  </w14:solidFill>
                </w14:textFill>
              </w:rPr>
              <w:t>工业用地</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项目用地合法，符合《福清融侨经济技术开发区总体规划（2018-2035年）》规划要求。</w:t>
            </w:r>
          </w:p>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1.2与《福清融侨经济技术开发区总体规划（2018-2035年）环境影响报告书》及规划环评审查意见的符合性分析</w:t>
            </w:r>
          </w:p>
          <w:p>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清融侨经济技术开发区总体规划环境影响报告书(2018-2035年)》及其审查意见(环审[2020]80号)，融侨经济技术开发区产业主要为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GB/T4754-2017)，主导行业涉及国民经济类别主要包括C29、C304、C33、C34、C35、C36、C38、C39、C40；禁止新建，含电镀工艺、冶炼工艺、电解铝的项目，现有生产能力一定期限内搬迁；包装印刷业禁止使用不符合环保要求的油墨、胶黏剂。</w:t>
            </w:r>
          </w:p>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，项目与规划环评中空间布局管控要求符合性见表1.2-1。</w:t>
            </w:r>
          </w:p>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项目为木质家具生产项目，属于国民经济行业C2110木质家具制造，不属于含电镀工艺、冶炼工艺、电解铝的项目。不涉及包装印刷行业。不属于禁止类</w:t>
            </w:r>
            <w:r>
              <w:rPr>
                <w:color w:val="000000" w:themeColor="text1"/>
                <w:highlight w:val="none"/>
                <w:lang w:val="en-US"/>
                <w14:textFill>
                  <w14:solidFill>
                    <w14:schemeClr w14:val="tx1"/>
                  </w14:solidFill>
                </w14:textFill>
              </w:rPr>
              <w:t>新建</w:t>
            </w:r>
            <w:r>
              <w:rPr>
                <w:color w:val="000000" w:themeColor="text1"/>
                <w:highlight w:val="none"/>
                <w14:textFill>
                  <w14:solidFill>
                    <w14:schemeClr w14:val="tx1"/>
                  </w14:solidFill>
                </w14:textFill>
              </w:rPr>
              <w:t>项目。项目与规划环评中规划区配套及其他行业环境准入符合性见表1.2-2。</w:t>
            </w:r>
          </w:p>
          <w:p>
            <w:pPr>
              <w:pStyle w:val="186"/>
              <w:ind w:firstLine="480"/>
              <w:rPr>
                <w:color w:val="000000" w:themeColor="text1"/>
                <w:highlight w:val="none"/>
                <w14:textFill>
                  <w14:solidFill>
                    <w14:schemeClr w14:val="tx1"/>
                  </w14:solidFill>
                </w14:textFill>
              </w:rPr>
            </w:pPr>
          </w:p>
          <w:p>
            <w:pPr>
              <w:spacing w:line="360" w:lineRule="auto"/>
              <w:ind w:firstLine="420" w:firstLineChars="200"/>
              <w:rPr>
                <w:color w:val="000000" w:themeColor="text1"/>
                <w:highlight w:val="none"/>
                <w14:textFill>
                  <w14:solidFill>
                    <w14:schemeClr w14:val="tx1"/>
                  </w14:solidFill>
                </w14:textFill>
              </w:rPr>
            </w:pPr>
          </w:p>
        </w:tc>
      </w:tr>
    </w:tbl>
    <w:p>
      <w:pPr>
        <w:spacing w:line="360" w:lineRule="auto"/>
        <w:ind w:firstLine="600"/>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6" w:type="dxa"/>
          </w:tcPr>
          <w:p>
            <w:pPr>
              <w:pStyle w:val="188"/>
              <w:ind w:firstLine="48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表1.2-1项目与</w:t>
            </w:r>
            <w:r>
              <w:rPr>
                <w:color w:val="000000" w:themeColor="text1"/>
                <w:highlight w:val="none"/>
                <w14:textFill>
                  <w14:solidFill>
                    <w14:schemeClr w14:val="tx1"/>
                  </w14:solidFill>
                </w14:textFill>
              </w:rPr>
              <w:t>规划环评空间布局管控要求符合性表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123"/>
              <w:gridCol w:w="3220"/>
              <w:gridCol w:w="4262"/>
              <w:gridCol w:w="2545"/>
              <w:gridCol w:w="1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所含空间单元</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（规划区块编号）</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面积（hm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四至范围</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管控要求</w:t>
                  </w:r>
                </w:p>
              </w:tc>
              <w:tc>
                <w:tcPr>
                  <w:tcW w:w="2545"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p>
              </w:tc>
              <w:tc>
                <w:tcPr>
                  <w:tcW w:w="1230"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融侨开发区龙江干支流防护区（GK-01）</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255.69</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规划区范围内龙江干流及主要支流关溪、太城溪、大北溪、虎溪及沿岸规划绿地。</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1，应采取最严格的土地保护管理措施，保证基本农田与优质林地不受侵占。</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2、对区内的裸地、荒草地、闲置土地等进行综合整治，防止对现有植被的破坏，减少自然灾害和水土流失.</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3.调整区内的土地结构，修复提升生态系统服务功能。</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4、对区内不符合相关法规和规定的现状建筑，应控制规模，逐步予以清退，并按相关部门要求进行永久性复绿。</w:t>
                  </w:r>
                </w:p>
              </w:tc>
              <w:tc>
                <w:tcPr>
                  <w:tcW w:w="2545"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福建乐翔服饰制造有限公司已建的厂房内新增生产设备进行生产。厂房用地合法，符合规划和相关法规的要求。</w:t>
                  </w:r>
                </w:p>
              </w:tc>
              <w:tc>
                <w:tcPr>
                  <w:tcW w:w="1230"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融侨开发区基本农田保护区（GK-02）</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530.6</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规划区范围内基本农田</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规划开发建设涉及基本农田时，需先取得主管部门同意，用地性质调整后方可进行建设。</w:t>
                  </w:r>
                </w:p>
              </w:tc>
              <w:tc>
                <w:tcPr>
                  <w:tcW w:w="2545"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在</w:t>
                  </w:r>
                  <w:r>
                    <w:rPr>
                      <w:color w:val="000000" w:themeColor="text1"/>
                      <w:highlight w:val="none"/>
                      <w14:textFill>
                        <w14:solidFill>
                          <w14:schemeClr w14:val="tx1"/>
                        </w14:solidFill>
                      </w14:textFill>
                    </w:rPr>
                    <w:t>福建乐翔服饰制造有限公司已建的厂房内新增生产设备进行生产。不涉及新增用地。</w:t>
                  </w:r>
                </w:p>
              </w:tc>
              <w:tc>
                <w:tcPr>
                  <w:tcW w:w="1230"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闽江调水工程新局调节库缓冲区（GK-03）</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108.66</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调节库周边200m范围内</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1、禁止工业企业生产过程使用危化品；2、禁止新建排放烟粉尘、VOCs废气的工业项目。</w:t>
                  </w:r>
                </w:p>
              </w:tc>
              <w:tc>
                <w:tcPr>
                  <w:tcW w:w="2545"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项目不涉及该布局</w:t>
                  </w:r>
                </w:p>
              </w:tc>
              <w:tc>
                <w:tcPr>
                  <w:tcW w:w="1230"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石竹山升级风景名胜区防护区（GK-04）</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133.58</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石竹山省级风景名胜区800m范围内</w:t>
                  </w:r>
                </w:p>
              </w:tc>
              <w:tc>
                <w:tcPr>
                  <w:tcW w:w="0" w:type="auto"/>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1.禁止新建排放烟粉尘、VOCs废气的工业项目；</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2、禁止使用燃煤锅炉；</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3、现有废气排放企业控制不新增废气排放量。</w:t>
                  </w:r>
                </w:p>
              </w:tc>
              <w:tc>
                <w:tcPr>
                  <w:tcW w:w="2545"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项目不涉及该布局</w:t>
                  </w:r>
                </w:p>
              </w:tc>
              <w:tc>
                <w:tcPr>
                  <w:tcW w:w="1230" w:type="dxa"/>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pPr>
              <w:pStyle w:val="188"/>
              <w:ind w:firstLine="480"/>
              <w:rPr>
                <w:snapToGrid w:val="0"/>
                <w:color w:val="000000" w:themeColor="text1"/>
                <w:highlight w:val="none"/>
                <w14:textFill>
                  <w14:solidFill>
                    <w14:schemeClr w14:val="tx1"/>
                  </w14:solidFill>
                </w14:textFill>
              </w:rPr>
            </w:pPr>
            <w:r>
              <w:rPr>
                <w:snapToGrid w:val="0"/>
                <w:color w:val="000000" w:themeColor="text1"/>
                <w:highlight w:val="none"/>
                <w14:textFill>
                  <w14:solidFill>
                    <w14:schemeClr w14:val="tx1"/>
                  </w14:solidFill>
                </w14:textFill>
              </w:rPr>
              <w:t>表1.2-2</w:t>
            </w:r>
            <w:r>
              <w:rPr>
                <w:color w:val="000000" w:themeColor="text1"/>
                <w:highlight w:val="none"/>
                <w14:textFill>
                  <w14:solidFill>
                    <w14:schemeClr w14:val="tx1"/>
                  </w14:solidFill>
                </w14:textFill>
              </w:rPr>
              <w:t>项目与规划环评中规划区配套及其他行业环境准入符合性表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1466"/>
              <w:gridCol w:w="1791"/>
              <w:gridCol w:w="1920"/>
              <w:gridCol w:w="1791"/>
              <w:gridCol w:w="3450"/>
              <w:gridCol w:w="8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类别名称</w:t>
                  </w:r>
                </w:p>
              </w:tc>
              <w:tc>
                <w:tcPr>
                  <w:tcW w:w="50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空间布局约束</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环境风险防控</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污染物排放管控</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资源环境效率管控</w:t>
                  </w:r>
                </w:p>
              </w:tc>
              <w:tc>
                <w:tcPr>
                  <w:tcW w:w="1177"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C17纺织业（含印染精加工）</w:t>
                  </w:r>
                </w:p>
              </w:tc>
              <w:tc>
                <w:tcPr>
                  <w:tcW w:w="50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C22造纸和纸制品业（纸制品制造除外）</w:t>
                  </w:r>
                </w:p>
              </w:tc>
              <w:tc>
                <w:tcPr>
                  <w:tcW w:w="50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C26化学原料和化学制品制造业（工业气体生产除外）</w:t>
                  </w:r>
                </w:p>
              </w:tc>
              <w:tc>
                <w:tcPr>
                  <w:tcW w:w="50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C32有色金属冶炼及压延加工业（压延加工除外）</w:t>
                  </w:r>
                </w:p>
              </w:tc>
              <w:tc>
                <w:tcPr>
                  <w:tcW w:w="50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严禁引入</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1177"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项目不属于</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2"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其他非主导行业</w:t>
                  </w:r>
                </w:p>
              </w:tc>
              <w:tc>
                <w:tcPr>
                  <w:tcW w:w="500" w:type="pct"/>
                  <w:vAlign w:val="center"/>
                </w:tcPr>
                <w:p>
                  <w:pPr>
                    <w:jc w:val="center"/>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1.禁止新建，含电镀工艺、冶炼工艺、电解铝的项目，现有生产能力一定期限内搬迁</w:t>
                  </w:r>
                  <w:r>
                    <w:rPr>
                      <w:rFonts w:hint="eastAsia"/>
                      <w:color w:val="000000" w:themeColor="text1"/>
                      <w:highlight w:val="none"/>
                      <w:lang w:eastAsia="zh-CN"/>
                      <w14:textFill>
                        <w14:solidFill>
                          <w14:schemeClr w14:val="tx1"/>
                        </w14:solidFill>
                      </w14:textFill>
                    </w:rPr>
                    <w:t>；</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2.包装印刷业禁止使用不符合环保要求的油墨、胶黏剂。</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1.必须规范配套应急池,建设企业、园区和周边水系三级环境风险防控工程，确保有效拦截、降污和倒流;</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受园区排污影响的周边水系应建设应急闸门，防止泄漏物和消防水等排入外环境。</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2、开发区内污水处理设施应采取必要的防渗处理，不得污染地下水环境.</w:t>
                  </w:r>
                </w:p>
              </w:tc>
              <w:tc>
                <w:tcPr>
                  <w:tcW w:w="6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1、新、改、扩建项目新增大气污染物(现阶段指SO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、NOx) 排放量实行1.5倍削减替代(不含使用天然气、液化石油气等作为燃料的非火电锅炉和工业炉窑) 。</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2、新、改、扩建项目新增VOCs排放量实行倍量削减替代。</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3、工业企业废水全部纳管进入污水厂集中处理后达标排放。</w:t>
                  </w:r>
                </w:p>
              </w:tc>
              <w:tc>
                <w:tcPr>
                  <w:tcW w:w="61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1、能耗不超过0.23吨标煤/万元工业增加值</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2.水耗不超过6.90 t/万元工业增加值</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3、污水排放量不超过5.43t/万元工业增加值</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4、VOCs排放量不超过0.46kg/万元工业增加值</w:t>
                  </w:r>
                </w:p>
              </w:tc>
              <w:tc>
                <w:tcPr>
                  <w:tcW w:w="1177"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新增VOCs排放量实行倍量削减替代。项目生产废水</w:t>
                  </w:r>
                  <w:r>
                    <w:rPr>
                      <w:rFonts w:hint="eastAsia"/>
                      <w:color w:val="000000" w:themeColor="text1"/>
                      <w:highlight w:val="none"/>
                      <w:lang w:eastAsia="zh-CN"/>
                      <w14:textFill>
                        <w14:solidFill>
                          <w14:schemeClr w14:val="tx1"/>
                        </w14:solidFill>
                      </w14:textFill>
                    </w:rPr>
                    <w:t>循环使用</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不外排；</w:t>
                  </w:r>
                  <w:r>
                    <w:rPr>
                      <w:color w:val="000000" w:themeColor="text1"/>
                      <w:highlight w:val="none"/>
                      <w14:textFill>
                        <w14:solidFill>
                          <w14:schemeClr w14:val="tx1"/>
                        </w14:solidFill>
                      </w14:textFill>
                    </w:rPr>
                    <w:t>生活污水进入污水处理厂集中处理后达标排放。</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VOCs排放量0.</w:t>
                  </w:r>
                  <w:r>
                    <w:rPr>
                      <w:rFonts w:hint="eastAsia"/>
                      <w:color w:val="000000" w:themeColor="text1"/>
                      <w:highlight w:val="none"/>
                      <w:lang w:val="en-US" w:eastAsia="zh-CN"/>
                      <w14:textFill>
                        <w14:solidFill>
                          <w14:schemeClr w14:val="tx1"/>
                        </w14:solidFill>
                      </w14:textFill>
                    </w:rPr>
                    <w:t>0302</w:t>
                  </w:r>
                  <w:r>
                    <w:rPr>
                      <w:color w:val="000000" w:themeColor="text1"/>
                      <w:highlight w:val="none"/>
                      <w14:textFill>
                        <w14:solidFill>
                          <w14:schemeClr w14:val="tx1"/>
                        </w14:solidFill>
                      </w14:textFill>
                    </w:rPr>
                    <w:t>kg/万元工业增加值</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水耗</w:t>
                  </w: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 xml:space="preserve"> t/万元工业增加值。</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能耗0.0</w:t>
                  </w:r>
                  <w:r>
                    <w:rPr>
                      <w:rFonts w:hint="eastAsia"/>
                      <w:color w:val="000000" w:themeColor="text1"/>
                      <w:highlight w:val="none"/>
                      <w:lang w:val="en-US" w:eastAsia="zh-CN"/>
                      <w14:textFill>
                        <w14:solidFill>
                          <w14:schemeClr w14:val="tx1"/>
                        </w14:solidFill>
                      </w14:textFill>
                    </w:rPr>
                    <w:t>15</w:t>
                  </w:r>
                  <w:r>
                    <w:rPr>
                      <w:color w:val="000000" w:themeColor="text1"/>
                      <w:highlight w:val="none"/>
                      <w14:textFill>
                        <w14:solidFill>
                          <w14:schemeClr w14:val="tx1"/>
                        </w14:solidFill>
                      </w14:textFill>
                    </w:rPr>
                    <w:t>吨标煤/万元工业增加值。</w:t>
                  </w:r>
                </w:p>
              </w:tc>
              <w:tc>
                <w:tcPr>
                  <w:tcW w:w="29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pPr>
              <w:spacing w:line="360" w:lineRule="auto"/>
              <w:outlineLvl w:val="0"/>
              <w:rPr>
                <w:rFonts w:eastAsia="黑体"/>
                <w:color w:val="000000" w:themeColor="text1"/>
                <w:sz w:val="30"/>
                <w:highlight w:val="none"/>
                <w14:textFill>
                  <w14:solidFill>
                    <w14:schemeClr w14:val="tx1"/>
                  </w14:solidFill>
                </w14:textFill>
              </w:rPr>
            </w:pPr>
            <w:r>
              <w:rPr>
                <w:color w:val="000000" w:themeColor="text1"/>
                <w:highlight w:val="none"/>
                <w14:textFill>
                  <w14:solidFill>
                    <w14:schemeClr w14:val="tx1"/>
                  </w14:solidFill>
                </w14:textFill>
              </w:rPr>
              <w:t>综上所述，项目符合《福清融侨经济技术开发区总体规划（2018-2035年）环境影响报告书》 及审查小组意见相关要求。</w:t>
            </w:r>
          </w:p>
        </w:tc>
      </w:tr>
    </w:tbl>
    <w:p>
      <w:pPr>
        <w:spacing w:line="360" w:lineRule="auto"/>
        <w:ind w:firstLine="600"/>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01"/>
        <w:gridCol w:w="83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2" w:hRule="atLeast"/>
          <w:jc w:val="center"/>
        </w:trPr>
        <w:tc>
          <w:tcPr>
            <w:tcW w:w="501" w:type="dxa"/>
            <w:vAlign w:val="center"/>
          </w:tcPr>
          <w:p>
            <w:pPr>
              <w:autoSpaceDE w:val="0"/>
              <w:autoSpaceDN w:val="0"/>
              <w:adjustRightInd w:val="0"/>
              <w:snapToGrid w:val="0"/>
              <w:jc w:val="center"/>
              <w:textAlignment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8369" w:type="dxa"/>
            <w:vAlign w:val="center"/>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14:textFill>
                  <w14:solidFill>
                    <w14:schemeClr w14:val="tx1"/>
                  </w14:solidFill>
                </w14:textFill>
              </w:rPr>
              <w:t>3“</w:t>
            </w:r>
            <w:r>
              <w:rPr>
                <w:b/>
                <w:color w:val="000000" w:themeColor="text1"/>
                <w:sz w:val="30"/>
                <w:szCs w:val="30"/>
                <w:highlight w:val="none"/>
                <w14:textFill>
                  <w14:solidFill>
                    <w14:schemeClr w14:val="tx1"/>
                  </w14:solidFill>
                </w14:textFill>
              </w:rPr>
              <w:t>三线一单</w:t>
            </w:r>
            <w:r>
              <w:rPr>
                <w:rFonts w:hint="eastAsia"/>
                <w:b/>
                <w:color w:val="000000" w:themeColor="text1"/>
                <w:sz w:val="30"/>
                <w:szCs w:val="30"/>
                <w:highlight w:val="none"/>
                <w14:textFill>
                  <w14:solidFill>
                    <w14:schemeClr w14:val="tx1"/>
                  </w14:solidFill>
                </w14:textFill>
              </w:rPr>
              <w:t>”</w:t>
            </w:r>
            <w:r>
              <w:rPr>
                <w:b/>
                <w:color w:val="000000" w:themeColor="text1"/>
                <w:sz w:val="30"/>
                <w:szCs w:val="30"/>
                <w:highlight w:val="none"/>
                <w14:textFill>
                  <w14:solidFill>
                    <w14:schemeClr w14:val="tx1"/>
                  </w14:solidFill>
                </w14:textFill>
              </w:rPr>
              <w:t>控制要求符合性分析</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根据《福建省人民政府关于实施“三线一单”生态分区管控的通知》（闽政[2020]12号），项目与福建省“三线一单”管控相关要求符合性分析如下：</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（1）生态保护红线</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福州市生态保护红线包括陆域生态保护红线和海洋生态保护红线，陆域生态保护红线：按照《福建省生态保护红线划定方案（报批稿）》（闽政函〔2018〕70号），福州市陆域生态保护红线划定面积为2497.75平方千米，占全市陆域国土面积的21.06%。陆域生态保护红线最终面积与比例以省政府发布结果为准。</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海洋生态保护红线：根据《福建省海洋生态保护红线划定成果》（闽政文〔2017〕457号），福州市海洋生态保护红线划定总面积2835.96平方千米，占福州市海域总选划面积的34.06%。海洋生态保护红线最终面积与比例以省政府发布结果为准。</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项目位于福清融侨经济技术开发区，建设区未涉及生态保护红线，因此项目建设与生态保护红线管控要求不冲突。</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（2）环境质量底线</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水环境质量底线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类）比例总体达到90.0%，福清海口桥断面水质稳定达到</w:t>
            </w:r>
            <w:r>
              <w:rPr>
                <w:rFonts w:hint="eastAsia"/>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类；县级以上集中式饮用水水源水质达标率达100%。到2030年，国省控断面水质优良（达到或优于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类）比例总体达到90.0%；县级以上城市建成区黑臭水体总体得到消除；县级以上集中式饮用水水源水质达标率达100%。到2035年，国省考断面水质优良（达到或优于</w:t>
            </w:r>
            <w:r>
              <w:rPr>
                <w:rFonts w:hint="eastAsia"/>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类）比例总体达到95.0%；生态系统实现良性循环。</w:t>
            </w:r>
          </w:p>
          <w:p>
            <w:pPr>
              <w:pStyle w:val="9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项目无生产废水外排，生活污水</w:t>
            </w:r>
            <w:r>
              <w:rPr>
                <w:color w:val="000000" w:themeColor="text1"/>
                <w:highlight w:val="none"/>
                <w14:textFill>
                  <w14:solidFill>
                    <w14:schemeClr w14:val="tx1"/>
                  </w14:solidFill>
                </w14:textFill>
              </w:rPr>
              <w:t>经</w:t>
            </w:r>
            <w:r>
              <w:rPr>
                <w:rFonts w:hint="eastAsia"/>
                <w:color w:val="000000" w:themeColor="text1"/>
                <w:highlight w:val="none"/>
                <w14:textFill>
                  <w14:solidFill>
                    <w14:schemeClr w14:val="tx1"/>
                  </w14:solidFill>
                </w14:textFill>
              </w:rPr>
              <w:t>产业园</w:t>
            </w:r>
            <w:r>
              <w:rPr>
                <w:color w:val="000000" w:themeColor="text1"/>
                <w:highlight w:val="none"/>
                <w14:textFill>
                  <w14:solidFill>
                    <w14:schemeClr w14:val="tx1"/>
                  </w14:solidFill>
                </w14:textFill>
              </w:rPr>
              <w:t>化粪池</w:t>
            </w:r>
            <w:r>
              <w:rPr>
                <w:rFonts w:hint="eastAsia"/>
                <w:color w:val="000000" w:themeColor="text1"/>
                <w:highlight w:val="none"/>
                <w14:textFill>
                  <w14:solidFill>
                    <w14:schemeClr w14:val="tx1"/>
                  </w14:solidFill>
                </w14:textFill>
              </w:rPr>
              <w:t>预</w:t>
            </w:r>
            <w:r>
              <w:rPr>
                <w:color w:val="000000" w:themeColor="text1"/>
                <w:highlight w:val="none"/>
                <w14:textFill>
                  <w14:solidFill>
                    <w14:schemeClr w14:val="tx1"/>
                  </w14:solidFill>
                </w14:textFill>
              </w:rPr>
              <w:t>处理</w:t>
            </w:r>
            <w:r>
              <w:rPr>
                <w:rFonts w:hint="eastAsia"/>
                <w:color w:val="000000" w:themeColor="text1"/>
                <w:highlight w:val="none"/>
                <w14:textFill>
                  <w14:solidFill>
                    <w14:schemeClr w14:val="tx1"/>
                  </w14:solidFill>
                </w14:textFill>
              </w:rPr>
              <w:t>达标</w:t>
            </w:r>
            <w:r>
              <w:rPr>
                <w:color w:val="000000" w:themeColor="text1"/>
                <w:highlight w:val="none"/>
                <w14:textFill>
                  <w14:solidFill>
                    <w14:schemeClr w14:val="tx1"/>
                  </w14:solidFill>
                </w14:textFill>
              </w:rPr>
              <w:t>后排入市政污水管网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汇入福清市融元污水处理厂集中处理，符合水环境质量底线要求。</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大气环境质量底线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生态分区管控》，到2025年，地级以上城市空气质量PM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年平均浓度不高于23μg/m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。到2035年，县级以上地区空气质量PM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年平均浓度不高于18μg/m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项目生产过程产生的大气污染物经废气净化设施处理后达标排放，不会对大气环境产生明显的不良影响，符合大气环境质量底线要求。</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土壤环境风险防控底线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到2025年，全省土壤环境质量保持稳定，土壤环境风险得到管控，受污染耕地安全利用率达到93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，污染地块安全利用率达到93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。到2035年，全省土壤环境质量稳中向好，土壤环境风险得到全面管控，受污染耕地安全利用率达95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以上，污染地块安全利用率达95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以上。</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，用地性质属于工业用地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项目场地</w:t>
            </w:r>
            <w:r>
              <w:rPr>
                <w:rFonts w:hint="eastAsia"/>
                <w:color w:val="000000" w:themeColor="text1"/>
                <w:highlight w:val="none"/>
                <w14:textFill>
                  <w14:solidFill>
                    <w14:schemeClr w14:val="tx1"/>
                  </w14:solidFill>
                </w14:textFill>
              </w:rPr>
              <w:t>为已建成标准厂房；厂区</w:t>
            </w:r>
            <w:r>
              <w:rPr>
                <w:color w:val="000000" w:themeColor="text1"/>
                <w:highlight w:val="none"/>
                <w14:textFill>
                  <w14:solidFill>
                    <w14:schemeClr w14:val="tx1"/>
                  </w14:solidFill>
                </w14:textFill>
              </w:rPr>
              <w:t>内除绿化外均进行了硬化处理，企业按生产管理要求安全生产，不会对厂区内土壤环境产生明显的不良影响，符合土壤环境风险防控底线要求。</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（3）资源利用上线</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水资源利用上线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生态分区管控》，衔接水资源管理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三条红线</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，控制目标以省政府下达为准，即全市水资源利用不会突破水资源利用上线。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项目运营期用水为生活用水</w:t>
            </w:r>
            <w:r>
              <w:rPr>
                <w:rFonts w:hint="eastAsia"/>
                <w:color w:val="000000" w:themeColor="text1"/>
                <w:highlight w:val="none"/>
                <w14:textFill>
                  <w14:solidFill>
                    <w14:schemeClr w14:val="tx1"/>
                  </w14:solidFill>
                </w14:textFill>
              </w:rPr>
              <w:t>和生产循环系统补充水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循环水补充</w:t>
            </w:r>
            <w:r>
              <w:rPr>
                <w:color w:val="000000" w:themeColor="text1"/>
                <w:highlight w:val="none"/>
                <w14:textFill>
                  <w14:solidFill>
                    <w14:schemeClr w14:val="tx1"/>
                  </w14:solidFill>
                </w14:textFill>
              </w:rPr>
              <w:t>量</w:t>
            </w:r>
            <w:r>
              <w:rPr>
                <w:rFonts w:hint="eastAsia"/>
                <w:color w:val="000000" w:themeColor="text1"/>
                <w:highlight w:val="none"/>
                <w14:textFill>
                  <w14:solidFill>
                    <w14:schemeClr w14:val="tx1"/>
                  </w14:solidFill>
                </w14:textFill>
              </w:rPr>
              <w:t>较小，该用水</w:t>
            </w:r>
            <w:r>
              <w:rPr>
                <w:color w:val="000000" w:themeColor="text1"/>
                <w:highlight w:val="none"/>
                <w14:textFill>
                  <w14:solidFill>
                    <w14:schemeClr w14:val="tx1"/>
                  </w14:solidFill>
                </w14:textFill>
              </w:rPr>
              <w:t>循环使用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不外排</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生活和生产用水来源于市政给水，与福州市水资源利用上线管控要求相符。</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土地资源利用上线</w:t>
            </w:r>
          </w:p>
          <w:p>
            <w:pPr>
              <w:pStyle w:val="92"/>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根据</w:t>
            </w:r>
            <w:r>
              <w:rPr>
                <w:color w:val="000000" w:themeColor="text1"/>
                <w:kern w:val="2"/>
                <w:szCs w:val="24"/>
                <w:highlight w:val="none"/>
                <w14:textFill>
                  <w14:solidFill>
                    <w14:schemeClr w14:val="tx1"/>
                  </w14:solidFill>
                </w14:textFill>
              </w:rPr>
              <w:t>《福州市生态环境分区管控方案（2023年更新）》（榕政办规〔2024〕20号）</w:t>
            </w:r>
            <w:r>
              <w:rPr>
                <w:color w:val="000000" w:themeColor="text1"/>
                <w:kern w:val="0"/>
                <w:highlight w:val="none"/>
                <w14:textFill>
                  <w14:solidFill>
                    <w14:schemeClr w14:val="tx1"/>
                  </w14:solidFill>
                </w14:textFill>
              </w:rPr>
              <w:t>，衔接《</w:t>
            </w:r>
            <w:r>
              <w:rPr>
                <w:color w:val="000000" w:themeColor="text1"/>
                <w:highlight w:val="none"/>
                <w14:textFill>
                  <w14:solidFill>
                    <w14:schemeClr w14:val="tx1"/>
                  </w14:solidFill>
                </w14:textFill>
              </w:rPr>
              <w:t>福清融侨经济技术开发区总体规划（2018-2035年）</w:t>
            </w:r>
            <w:r>
              <w:rPr>
                <w:color w:val="000000" w:themeColor="text1"/>
                <w:kern w:val="0"/>
                <w:highlight w:val="none"/>
                <w14:textFill>
                  <w14:solidFill>
                    <w14:schemeClr w14:val="tx1"/>
                  </w14:solidFill>
                </w14:textFill>
              </w:rPr>
              <w:t>》，项目与《</w:t>
            </w:r>
            <w:r>
              <w:rPr>
                <w:color w:val="000000" w:themeColor="text1"/>
                <w:highlight w:val="none"/>
                <w14:textFill>
                  <w14:solidFill>
                    <w14:schemeClr w14:val="tx1"/>
                  </w14:solidFill>
                </w14:textFill>
              </w:rPr>
              <w:t>福清融侨经济技术开发区总体规划（2018-2035年）</w:t>
            </w:r>
            <w:r>
              <w:rPr>
                <w:color w:val="000000" w:themeColor="text1"/>
                <w:kern w:val="0"/>
                <w:highlight w:val="none"/>
                <w14:textFill>
                  <w14:solidFill>
                    <w14:schemeClr w14:val="tx1"/>
                  </w14:solidFill>
                </w14:textFill>
              </w:rPr>
              <w:t>》不冲突，符合土地资源利用上线管控要求。</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能源资源利用上线</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福建省“</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分区管控》，衔接碳达峰方案、节能减排、能源规划等文件要求，控制目标以省政府下达为准。项目所在地不属于划定的高污染燃料禁燃区，项目生产设备使用电能，非高耗能项目，与福州市能源资源利用上线要求相符。</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（4）环境准入清单</w:t>
            </w:r>
          </w:p>
          <w:p>
            <w:pPr>
              <w:pStyle w:val="92"/>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《福州市生态环境分区管控方案（2023年更新）》（榕政办规〔2024〕20号）</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（下文简称“方案”）</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，属于</w:t>
            </w:r>
            <w:r>
              <w:rPr>
                <w:color w:val="000000" w:themeColor="text1"/>
                <w:highlight w:val="none"/>
                <w14:textFill>
                  <w14:solidFill>
                    <w14:schemeClr w14:val="tx1"/>
                  </w14:solidFill>
                </w14:textFill>
              </w:rPr>
              <w:t>福清融侨经济技术开发区，为重点管控单元</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环境管控单位编码ZH3501812000</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，其管控要求见表1.3-1。</w:t>
            </w:r>
          </w:p>
          <w:p>
            <w:pPr>
              <w:pStyle w:val="188"/>
              <w:ind w:firstLine="48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表1.3-1项目与</w:t>
            </w:r>
            <w:r>
              <w:rPr>
                <w:rFonts w:hint="eastAsia" w:ascii="Times New Roman" w:hAnsi="Times New Roman" w:cs="Times New Roman"/>
                <w:b/>
                <w:bCs/>
                <w:color w:val="000000" w:themeColor="text1"/>
                <w:highlight w:val="none"/>
                <w:lang w:val="en-US" w:eastAsia="zh-CN"/>
                <w14:textFill>
                  <w14:solidFill>
                    <w14:schemeClr w14:val="tx1"/>
                  </w14:solidFill>
                </w14:textFill>
              </w:rPr>
              <w:t>生态环境准入清单</w:t>
            </w:r>
            <w:r>
              <w:rPr>
                <w:b/>
                <w:bCs/>
                <w:color w:val="000000" w:themeColor="text1"/>
                <w:highlight w:val="none"/>
                <w14:textFill>
                  <w14:solidFill>
                    <w14:schemeClr w14:val="tx1"/>
                  </w14:solidFill>
                </w14:textFill>
              </w:rPr>
              <w:t>要求符合性分析</w:t>
            </w:r>
          </w:p>
          <w:tbl>
            <w:tblPr>
              <w:tblStyle w:val="38"/>
              <w:tblW w:w="4987" w:type="pct"/>
              <w:tblInd w:w="-7"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550"/>
              <w:gridCol w:w="546"/>
              <w:gridCol w:w="3598"/>
              <w:gridCol w:w="2461"/>
              <w:gridCol w:w="57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1"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环境管控单元名称</w:t>
                  </w:r>
                  <w:r>
                    <w:rPr>
                      <w:rFonts w:hint="eastAsia"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及类别</w:t>
                  </w:r>
                </w:p>
              </w:tc>
              <w:tc>
                <w:tcPr>
                  <w:tcW w:w="250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管控要求</w:t>
                  </w:r>
                </w:p>
              </w:tc>
              <w:tc>
                <w:tcPr>
                  <w:tcW w:w="14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本项目情况</w:t>
                  </w:r>
                </w:p>
              </w:tc>
              <w:tc>
                <w:tcPr>
                  <w:tcW w:w="3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lang w:val="en-US" w:eastAsia="zh-CN"/>
                      <w14:textFill>
                        <w14:solidFill>
                          <w14:schemeClr w14:val="tx1"/>
                        </w14:solidFill>
                      </w14:textFill>
                    </w:rPr>
                    <w:t>符合性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福州市</w:t>
                  </w:r>
                  <w:r>
                    <w:rPr>
                      <w:rFonts w:hint="eastAsia"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福清市</w:t>
                  </w:r>
                </w:p>
              </w:tc>
              <w:tc>
                <w:tcPr>
                  <w:tcW w:w="33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重点管控单元</w:t>
                  </w:r>
                </w:p>
              </w:tc>
              <w:tc>
                <w:tcPr>
                  <w:tcW w:w="33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空间布局约束</w:t>
                  </w:r>
                </w:p>
              </w:tc>
              <w:tc>
                <w:tcPr>
                  <w:tcW w:w="2173" w:type="pct"/>
                  <w:tcBorders>
                    <w:tl2br w:val="nil"/>
                    <w:tr2bl w:val="nil"/>
                  </w:tcBorders>
                  <w:noWrap w:val="0"/>
                  <w:vAlign w:val="center"/>
                </w:tcPr>
                <w:p>
                  <w:pP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486" w:type="pct"/>
                  <w:tcBorders>
                    <w:tl2br w:val="nil"/>
                    <w:tr2bl w:val="nil"/>
                  </w:tcBorders>
                  <w:noWrap w:val="0"/>
                  <w:vAlign w:val="center"/>
                </w:tcPr>
                <w:p>
                  <w:pPr>
                    <w:pStyle w:val="35"/>
                    <w:spacing w:line="240" w:lineRule="auto"/>
                    <w:ind w:left="0" w:leftChars="0" w:firstLine="0" w:firstLineChars="0"/>
                    <w:jc w:val="center"/>
                    <w:rPr>
                      <w:rFonts w:hint="default"/>
                      <w:color w:val="000000" w:themeColor="text1"/>
                      <w:highlight w:val="none"/>
                      <w:lang w:val="en-US" w:eastAsia="zh-CN"/>
                      <w14:textFill>
                        <w14:solidFill>
                          <w14:schemeClr w14:val="tx1"/>
                        </w14:solidFill>
                      </w14:textFill>
                    </w:rPr>
                  </w:pPr>
                  <w:r>
                    <w:rPr>
                      <w:rFonts w:hint="eastAsia" w:cs="Times New Roman"/>
                      <w:snapToGrid/>
                      <w:color w:val="000000" w:themeColor="text1"/>
                      <w:kern w:val="2"/>
                      <w:sz w:val="21"/>
                      <w:szCs w:val="24"/>
                      <w:highlight w:val="none"/>
                      <w:lang w:val="en-US" w:eastAsia="zh-CN" w:bidi="ar-SA"/>
                      <w14:textFill>
                        <w14:solidFill>
                          <w14:schemeClr w14:val="tx1"/>
                        </w14:solidFill>
                      </w14:textFill>
                    </w:rPr>
                    <w:t>扩建</w:t>
                  </w:r>
                  <w:r>
                    <w:rPr>
                      <w:rFonts w:hint="eastAsia" w:ascii="Times New Roman" w:hAnsi="Times New Roman" w:eastAsia="宋体" w:cs="Times New Roman"/>
                      <w:snapToGrid/>
                      <w:color w:val="000000" w:themeColor="text1"/>
                      <w:kern w:val="2"/>
                      <w:sz w:val="21"/>
                      <w:szCs w:val="24"/>
                      <w:highlight w:val="none"/>
                      <w:lang w:val="en-US" w:eastAsia="zh-CN" w:bidi="ar-SA"/>
                      <w14:textFill>
                        <w14:solidFill>
                          <w14:schemeClr w14:val="tx1"/>
                        </w14:solidFill>
                      </w14:textFill>
                    </w:rPr>
                    <w:t>项目属于C2110木质家具制造，不属于福清融侨经济技术开发区禁止引进的项目。</w:t>
                  </w:r>
                </w:p>
              </w:tc>
              <w:tc>
                <w:tcPr>
                  <w:tcW w:w="3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污染物排放管控</w:t>
                  </w:r>
                </w:p>
              </w:tc>
              <w:tc>
                <w:tcPr>
                  <w:tcW w:w="2173" w:type="pct"/>
                  <w:tcBorders>
                    <w:tl2br w:val="nil"/>
                    <w:tr2bl w:val="nil"/>
                  </w:tcBorders>
                  <w:noWrap w:val="0"/>
                  <w:vAlign w:val="center"/>
                </w:tcPr>
                <w:p>
                  <w:pP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落实新增二氧化硫、氮氧化物和VOCs排放总量控制要求。</w:t>
                  </w:r>
                </w:p>
              </w:tc>
              <w:tc>
                <w:tcPr>
                  <w:tcW w:w="1486" w:type="pct"/>
                  <w:tcBorders>
                    <w:tl2br w:val="nil"/>
                    <w:tr2bl w:val="nil"/>
                  </w:tcBorders>
                  <w:noWrap w:val="0"/>
                  <w:vAlign w:val="center"/>
                </w:tcPr>
                <w:p>
                  <w:pPr>
                    <w:rPr>
                      <w:rFonts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项目使用</w:t>
                  </w:r>
                  <w:r>
                    <w:rPr>
                      <w:rFonts w:hint="eastAsia"/>
                      <w:color w:val="000000" w:themeColor="text1"/>
                      <w:highlight w:val="none"/>
                      <w14:textFill>
                        <w14:solidFill>
                          <w14:schemeClr w14:val="tx1"/>
                        </w14:solidFill>
                      </w14:textFill>
                    </w:rPr>
                    <w:t>环保油漆</w:t>
                  </w:r>
                  <w:r>
                    <w:rPr>
                      <w:color w:val="000000" w:themeColor="text1"/>
                      <w:highlight w:val="none"/>
                      <w14:textFill>
                        <w14:solidFill>
                          <w14:schemeClr w14:val="tx1"/>
                        </w14:solidFill>
                      </w14:textFill>
                    </w:rPr>
                    <w:t>，为进一步控制有机废气的排放，</w:t>
                  </w:r>
                  <w:r>
                    <w:rPr>
                      <w:rFonts w:hint="eastAsia"/>
                      <w:color w:val="000000" w:themeColor="text1"/>
                      <w:highlight w:val="none"/>
                      <w14:textFill>
                        <w14:solidFill>
                          <w14:schemeClr w14:val="tx1"/>
                        </w14:solidFill>
                      </w14:textFill>
                    </w:rPr>
                    <w:t>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，经</w:t>
                  </w:r>
                  <w:r>
                    <w:rPr>
                      <w:rFonts w:hint="eastAsia"/>
                      <w:color w:val="000000" w:themeColor="text1"/>
                      <w:highlight w:val="none"/>
                      <w14:textFill>
                        <w14:solidFill>
                          <w14:schemeClr w14:val="tx1"/>
                        </w14:solidFill>
                      </w14:textFill>
                    </w:rPr>
                    <w:t>净化处理</w:t>
                  </w:r>
                  <w:r>
                    <w:rPr>
                      <w:color w:val="000000" w:themeColor="text1"/>
                      <w:highlight w:val="none"/>
                      <w14:textFill>
                        <w14:solidFill>
                          <w14:schemeClr w14:val="tx1"/>
                        </w14:solidFill>
                      </w14:textFill>
                    </w:rPr>
                    <w:t>后有机废气</w:t>
                  </w:r>
                  <w:r>
                    <w:rPr>
                      <w:rFonts w:ascii="Times New Roman" w:hAnsi="Times New Roman" w:eastAsia="宋体" w:cs="Times New Roman"/>
                      <w:color w:val="000000" w:themeColor="text1"/>
                      <w:highlight w:val="none"/>
                      <w14:textFill>
                        <w14:solidFill>
                          <w14:schemeClr w14:val="tx1"/>
                        </w14:solidFill>
                      </w14:textFill>
                    </w:rPr>
                    <w:t>可达标排放。</w:t>
                  </w:r>
                </w:p>
                <w:p>
                  <w:pP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本项目新增排放的VOCs排放实行区域内倍量替代。</w:t>
                  </w:r>
                </w:p>
              </w:tc>
              <w:tc>
                <w:tcPr>
                  <w:tcW w:w="3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eastAsia" w:ascii="Times New Roman" w:hAnsi="Times New Roman" w:eastAsia="宋体" w:cs="Times New Roman"/>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14:textFill>
                        <w14:solidFill>
                          <w14:schemeClr w14:val="tx1"/>
                        </w14:solidFill>
                      </w14:textFill>
                    </w:rPr>
                    <w:t>环境风险防控</w:t>
                  </w:r>
                </w:p>
              </w:tc>
              <w:tc>
                <w:tcPr>
                  <w:tcW w:w="2173" w:type="pct"/>
                  <w:tcBorders>
                    <w:tl2br w:val="nil"/>
                    <w:tr2bl w:val="nil"/>
                  </w:tcBorders>
                  <w:noWrap w:val="0"/>
                  <w:vAlign w:val="center"/>
                </w:tcPr>
                <w:p>
                  <w:pPr>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p>
                  <w:pPr>
                    <w:rPr>
                      <w:rFonts w:hint="eastAsia"/>
                      <w:color w:val="000000" w:themeColor="text1"/>
                      <w:highlight w:val="none"/>
                      <w:vertAlign w:val="baseline"/>
                      <w:lang w:val="en-US" w:eastAsia="zh-CN"/>
                      <w14:textFill>
                        <w14:solidFill>
                          <w14:schemeClr w14:val="tx1"/>
                        </w14:solidFill>
                      </w14:textFill>
                    </w:rPr>
                  </w:pPr>
                </w:p>
              </w:tc>
              <w:tc>
                <w:tcPr>
                  <w:tcW w:w="1486" w:type="pct"/>
                  <w:tcBorders>
                    <w:tl2br w:val="nil"/>
                    <w:tr2bl w:val="nil"/>
                  </w:tcBorders>
                  <w:noWrap w:val="0"/>
                  <w:vAlign w:val="center"/>
                </w:tcPr>
                <w:p>
                  <w:pPr>
                    <w:pStyle w:val="265"/>
                    <w:jc w:val="left"/>
                    <w:rPr>
                      <w:rFonts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项目外排废水为生活污水，经化粪池预处理达标后排入市政污水管网，</w:t>
                  </w:r>
                  <w:r>
                    <w:rPr>
                      <w:color w:val="000000" w:themeColor="text1"/>
                      <w:highlight w:val="none"/>
                      <w14:textFill>
                        <w14:solidFill>
                          <w14:schemeClr w14:val="tx1"/>
                        </w14:solidFill>
                      </w14:textFill>
                    </w:rPr>
                    <w:t>汇入福清市融元污水处理厂集</w:t>
                  </w:r>
                  <w:r>
                    <w:rPr>
                      <w:rFonts w:ascii="Times New Roman" w:hAnsi="Times New Roman" w:eastAsia="宋体" w:cs="Times New Roman"/>
                      <w:color w:val="000000" w:themeColor="text1"/>
                      <w:highlight w:val="none"/>
                      <w14:textFill>
                        <w14:solidFill>
                          <w14:schemeClr w14:val="tx1"/>
                        </w14:solidFill>
                      </w14:textFill>
                    </w:rPr>
                    <w:t>中处理</w:t>
                  </w:r>
                  <w:r>
                    <w:rPr>
                      <w:rFonts w:hint="eastAsia" w:ascii="Times New Roman" w:hAnsi="Times New Roman" w:eastAsia="宋体" w:cs="Times New Roman"/>
                      <w:color w:val="000000" w:themeColor="text1"/>
                      <w:highlight w:val="none"/>
                      <w14:textFill>
                        <w14:solidFill>
                          <w14:schemeClr w14:val="tx1"/>
                        </w14:solidFill>
                      </w14:textFill>
                    </w:rPr>
                    <w:t>；本项目无生产废水外排，不涉及准入要求中提及的环境风险。</w:t>
                  </w:r>
                </w:p>
                <w:p>
                  <w:pPr>
                    <w:pStyle w:val="265"/>
                    <w:jc w:val="left"/>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项目符合环境风险防控。</w:t>
                  </w:r>
                </w:p>
              </w:tc>
              <w:tc>
                <w:tcPr>
                  <w:tcW w:w="3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p>
              </w:tc>
              <w:tc>
                <w:tcPr>
                  <w:tcW w:w="33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资源开发效率要求</w:t>
                  </w:r>
                </w:p>
              </w:tc>
              <w:tc>
                <w:tcPr>
                  <w:tcW w:w="2173"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高污染燃料禁燃区内禁止燃用高污染燃料，禁止新建、扩建燃用高污染燃料的设施。已建的燃用高污染燃料设施，限期改用电、天然气、液化石油气等清洁能源。</w:t>
                  </w:r>
                </w:p>
              </w:tc>
              <w:tc>
                <w:tcPr>
                  <w:tcW w:w="148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不涉及高污染燃料使用</w:t>
                  </w:r>
                  <w:r>
                    <w:rPr>
                      <w:color w:val="000000" w:themeColor="text1"/>
                      <w:highlight w:val="none"/>
                      <w14:textFill>
                        <w14:solidFill>
                          <w14:schemeClr w14:val="tx1"/>
                        </w14:solidFill>
                      </w14:textFill>
                    </w:rPr>
                    <w:t>，生产设备使用电能。</w:t>
                  </w:r>
                </w:p>
              </w:tc>
              <w:tc>
                <w:tcPr>
                  <w:tcW w:w="3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符合</w:t>
                  </w:r>
                </w:p>
              </w:tc>
            </w:tr>
          </w:tbl>
          <w:p>
            <w:pPr>
              <w:spacing w:before="120" w:beforeLines="50" w:line="360" w:lineRule="auto"/>
              <w:ind w:firstLine="480" w:firstLineChars="200"/>
              <w:outlineLvl w:val="1"/>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综上所述，项目选址和建设符合</w:t>
            </w:r>
            <w:r>
              <w:rPr>
                <w:rFonts w:hint="eastAsia"/>
                <w:color w:val="000000" w:themeColor="text1"/>
                <w:sz w:val="24"/>
                <w:highlight w:val="none"/>
                <w:lang w:eastAsia="zh-CN"/>
                <w14:textFill>
                  <w14:solidFill>
                    <w14:schemeClr w14:val="tx1"/>
                  </w14:solidFill>
                </w14:textFill>
              </w:rPr>
              <w:t>所在区域</w:t>
            </w:r>
            <w:r>
              <w:rPr>
                <w:color w:val="000000" w:themeColor="text1"/>
                <w:sz w:val="24"/>
                <w:highlight w:val="none"/>
                <w14:textFill>
                  <w14:solidFill>
                    <w14:schemeClr w14:val="tx1"/>
                  </w14:solidFill>
                </w14:textFill>
              </w:rPr>
              <w:t>“三线一单”控制要求。</w:t>
            </w:r>
          </w:p>
          <w:p>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1.4与产业政策符合性分析</w:t>
            </w:r>
          </w:p>
          <w:p>
            <w:pPr>
              <w:spacing w:line="360" w:lineRule="auto"/>
              <w:ind w:firstLine="480"/>
              <w:rPr>
                <w:color w:val="000000" w:themeColor="text1"/>
                <w:sz w:val="24"/>
                <w:szCs w:val="20"/>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项目主要从事</w:t>
            </w:r>
            <w:r>
              <w:rPr>
                <w:rFonts w:hint="eastAsia"/>
                <w:color w:val="000000" w:themeColor="text1"/>
                <w:sz w:val="24"/>
                <w:szCs w:val="20"/>
                <w:highlight w:val="none"/>
                <w14:textFill>
                  <w14:solidFill>
                    <w14:schemeClr w14:val="tx1"/>
                  </w14:solidFill>
                </w14:textFill>
              </w:rPr>
              <w:t>木质家具</w:t>
            </w:r>
            <w:r>
              <w:rPr>
                <w:color w:val="000000" w:themeColor="text1"/>
                <w:sz w:val="24"/>
                <w:szCs w:val="20"/>
                <w:highlight w:val="none"/>
                <w14:textFill>
                  <w14:solidFill>
                    <w14:schemeClr w14:val="tx1"/>
                  </w14:solidFill>
                </w14:textFill>
              </w:rPr>
              <w:t>生产，</w:t>
            </w:r>
            <w:r>
              <w:rPr>
                <w:rFonts w:hint="eastAsia"/>
                <w:color w:val="000000" w:themeColor="text1"/>
                <w:sz w:val="24"/>
                <w:szCs w:val="20"/>
                <w:highlight w:val="none"/>
                <w14:textFill>
                  <w14:solidFill>
                    <w14:schemeClr w14:val="tx1"/>
                  </w14:solidFill>
                </w14:textFill>
              </w:rPr>
              <w:t>属于</w:t>
            </w:r>
            <w:r>
              <w:rPr>
                <w:rFonts w:hint="eastAsia"/>
                <w:color w:val="000000" w:themeColor="text1"/>
                <w:sz w:val="24"/>
                <w:highlight w:val="none"/>
                <w14:textFill>
                  <w14:solidFill>
                    <w14:schemeClr w14:val="tx1"/>
                  </w14:solidFill>
                </w14:textFill>
              </w:rPr>
              <w:t>木质家具制造</w:t>
            </w:r>
            <w:r>
              <w:rPr>
                <w:rFonts w:hint="eastAsia"/>
                <w:color w:val="000000" w:themeColor="text1"/>
                <w:sz w:val="24"/>
                <w:szCs w:val="20"/>
                <w:highlight w:val="none"/>
                <w14:textFill>
                  <w14:solidFill>
                    <w14:schemeClr w14:val="tx1"/>
                  </w14:solidFill>
                </w14:textFill>
              </w:rPr>
              <w:t>业。</w:t>
            </w:r>
            <w:r>
              <w:rPr>
                <w:color w:val="000000" w:themeColor="text1"/>
                <w:kern w:val="0"/>
                <w:sz w:val="24"/>
                <w:highlight w:val="none"/>
                <w:lang w:bidi="ar"/>
                <w14:textFill>
                  <w14:solidFill>
                    <w14:schemeClr w14:val="tx1"/>
                  </w14:solidFill>
                </w14:textFill>
              </w:rPr>
              <w:t>《产业结构调整指导目录 (20</w:t>
            </w:r>
            <w:r>
              <w:rPr>
                <w:rFonts w:hint="eastAsia"/>
                <w:color w:val="000000" w:themeColor="text1"/>
                <w:kern w:val="0"/>
                <w:sz w:val="24"/>
                <w:highlight w:val="none"/>
                <w:lang w:bidi="ar"/>
                <w14:textFill>
                  <w14:solidFill>
                    <w14:schemeClr w14:val="tx1"/>
                  </w14:solidFill>
                </w14:textFill>
              </w:rPr>
              <w:t>24</w:t>
            </w:r>
            <w:r>
              <w:rPr>
                <w:color w:val="000000" w:themeColor="text1"/>
                <w:kern w:val="0"/>
                <w:sz w:val="24"/>
                <w:highlight w:val="none"/>
                <w:lang w:bidi="ar"/>
                <w14:textFill>
                  <w14:solidFill>
                    <w14:schemeClr w14:val="tx1"/>
                  </w14:solidFill>
                </w14:textFill>
              </w:rPr>
              <w:t>年本)》，</w:t>
            </w:r>
            <w:r>
              <w:rPr>
                <w:rFonts w:hint="eastAsia"/>
                <w:color w:val="000000" w:themeColor="text1"/>
                <w:kern w:val="0"/>
                <w:sz w:val="24"/>
                <w:highlight w:val="none"/>
                <w:lang w:eastAsia="zh-CN" w:bidi="ar"/>
                <w14:textFill>
                  <w14:solidFill>
                    <w14:schemeClr w14:val="tx1"/>
                  </w14:solidFill>
                </w14:textFill>
              </w:rPr>
              <w:t>扩建</w:t>
            </w:r>
            <w:r>
              <w:rPr>
                <w:color w:val="000000" w:themeColor="text1"/>
                <w:kern w:val="0"/>
                <w:sz w:val="24"/>
                <w:highlight w:val="none"/>
                <w:lang w:bidi="ar"/>
                <w14:textFill>
                  <w14:solidFill>
                    <w14:schemeClr w14:val="tx1"/>
                  </w14:solidFill>
                </w14:textFill>
              </w:rPr>
              <w:t>项目不属于鼓励类、限值类、淘汰类产业，因此属于允许类。</w:t>
            </w:r>
            <w:r>
              <w:rPr>
                <w:color w:val="000000" w:themeColor="text1"/>
                <w:sz w:val="24"/>
                <w:szCs w:val="20"/>
                <w:highlight w:val="none"/>
                <w14:textFill>
                  <w14:solidFill>
                    <w14:schemeClr w14:val="tx1"/>
                  </w14:solidFill>
                </w14:textFill>
              </w:rPr>
              <w:t>同时，</w:t>
            </w: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项目已于 202</w:t>
            </w:r>
            <w:r>
              <w:rPr>
                <w:rFonts w:hint="eastAsia"/>
                <w:color w:val="000000" w:themeColor="text1"/>
                <w:sz w:val="24"/>
                <w:szCs w:val="20"/>
                <w:highlight w:val="none"/>
                <w14:textFill>
                  <w14:solidFill>
                    <w14:schemeClr w14:val="tx1"/>
                  </w14:solidFill>
                </w14:textFill>
              </w:rPr>
              <w:t>5</w:t>
            </w:r>
            <w:r>
              <w:rPr>
                <w:rFonts w:hint="eastAsia"/>
                <w:color w:val="000000" w:themeColor="text1"/>
                <w:sz w:val="24"/>
                <w:szCs w:val="20"/>
                <w:highlight w:val="none"/>
                <w:lang w:val="en-US" w:eastAsia="zh-CN"/>
                <w14:textFill>
                  <w14:solidFill>
                    <w14:schemeClr w14:val="tx1"/>
                  </w14:solidFill>
                </w14:textFill>
              </w:rPr>
              <w:t>年10月9</w:t>
            </w:r>
            <w:r>
              <w:rPr>
                <w:color w:val="000000" w:themeColor="text1"/>
                <w:sz w:val="24"/>
                <w:szCs w:val="20"/>
                <w:highlight w:val="none"/>
                <w14:textFill>
                  <w14:solidFill>
                    <w14:schemeClr w14:val="tx1"/>
                  </w14:solidFill>
                </w14:textFill>
              </w:rPr>
              <w:t>日取得了福清市</w:t>
            </w:r>
            <w:r>
              <w:rPr>
                <w:rFonts w:hint="eastAsia"/>
                <w:color w:val="000000" w:themeColor="text1"/>
                <w:sz w:val="24"/>
                <w:szCs w:val="20"/>
                <w:highlight w:val="none"/>
                <w:lang w:eastAsia="zh-CN"/>
                <w14:textFill>
                  <w14:solidFill>
                    <w14:schemeClr w14:val="tx1"/>
                  </w14:solidFill>
                </w14:textFill>
              </w:rPr>
              <w:t>工业和信息化局</w:t>
            </w:r>
            <w:r>
              <w:rPr>
                <w:color w:val="000000" w:themeColor="text1"/>
                <w:sz w:val="24"/>
                <w:szCs w:val="20"/>
                <w:highlight w:val="none"/>
                <w14:textFill>
                  <w14:solidFill>
                    <w14:schemeClr w14:val="tx1"/>
                  </w14:solidFill>
                </w14:textFill>
              </w:rPr>
              <w:t>的备案（</w:t>
            </w:r>
            <w:r>
              <w:rPr>
                <w:rFonts w:hint="eastAsia"/>
                <w:color w:val="000000" w:themeColor="text1"/>
                <w:sz w:val="24"/>
                <w:highlight w:val="none"/>
                <w14:textFill>
                  <w14:solidFill>
                    <w14:schemeClr w14:val="tx1"/>
                  </w14:solidFill>
                </w14:textFill>
              </w:rPr>
              <w:t>闽</w:t>
            </w:r>
            <w:r>
              <w:rPr>
                <w:rFonts w:hint="eastAsia"/>
                <w:color w:val="000000" w:themeColor="text1"/>
                <w:sz w:val="24"/>
                <w:highlight w:val="none"/>
                <w:lang w:eastAsia="zh-CN"/>
                <w14:textFill>
                  <w14:solidFill>
                    <w14:schemeClr w14:val="tx1"/>
                  </w14:solidFill>
                </w14:textFill>
              </w:rPr>
              <w:t>工信</w:t>
            </w:r>
            <w:r>
              <w:rPr>
                <w:rFonts w:hint="eastAsia"/>
                <w:color w:val="000000" w:themeColor="text1"/>
                <w:sz w:val="24"/>
                <w:highlight w:val="none"/>
                <w14:textFill>
                  <w14:solidFill>
                    <w14:schemeClr w14:val="tx1"/>
                  </w14:solidFill>
                </w14:textFill>
              </w:rPr>
              <w:t>备[2025]A06</w:t>
            </w:r>
            <w:r>
              <w:rPr>
                <w:rFonts w:hint="eastAsia"/>
                <w:color w:val="000000" w:themeColor="text1"/>
                <w:sz w:val="24"/>
                <w:highlight w:val="none"/>
                <w:lang w:val="en-US" w:eastAsia="zh-CN"/>
                <w14:textFill>
                  <w14:solidFill>
                    <w14:schemeClr w14:val="tx1"/>
                  </w14:solidFill>
                </w14:textFill>
              </w:rPr>
              <w:t>0089</w:t>
            </w:r>
            <w:r>
              <w:rPr>
                <w:rFonts w:hint="eastAsia"/>
                <w:color w:val="000000" w:themeColor="text1"/>
                <w:sz w:val="24"/>
                <w:highlight w:val="none"/>
                <w14:textFill>
                  <w14:solidFill>
                    <w14:schemeClr w14:val="tx1"/>
                  </w14:solidFill>
                </w14:textFill>
              </w:rPr>
              <w:t>号</w:t>
            </w:r>
            <w:r>
              <w:rPr>
                <w:color w:val="000000" w:themeColor="text1"/>
                <w:sz w:val="24"/>
                <w:szCs w:val="20"/>
                <w:highlight w:val="none"/>
                <w14:textFill>
                  <w14:solidFill>
                    <w14:schemeClr w14:val="tx1"/>
                  </w14:solidFill>
                </w14:textFill>
              </w:rPr>
              <w:t>，</w:t>
            </w:r>
            <w:r>
              <w:rPr>
                <w:rFonts w:hint="eastAsia"/>
                <w:color w:val="000000" w:themeColor="text1"/>
                <w:sz w:val="24"/>
                <w:szCs w:val="20"/>
                <w:highlight w:val="none"/>
                <w14:textFill>
                  <w14:solidFill>
                    <w14:schemeClr w14:val="tx1"/>
                  </w14:solidFill>
                </w14:textFill>
              </w:rPr>
              <w:t>详</w:t>
            </w:r>
            <w:r>
              <w:rPr>
                <w:color w:val="000000" w:themeColor="text1"/>
                <w:sz w:val="24"/>
                <w:szCs w:val="20"/>
                <w:highlight w:val="none"/>
                <w14:textFill>
                  <w14:solidFill>
                    <w14:schemeClr w14:val="tx1"/>
                  </w14:solidFill>
                </w14:textFill>
              </w:rPr>
              <w:t>见附件</w:t>
            </w:r>
            <w:r>
              <w:rPr>
                <w:rFonts w:hint="eastAsia"/>
                <w:color w:val="000000" w:themeColor="text1"/>
                <w:sz w:val="24"/>
                <w:szCs w:val="20"/>
                <w:highlight w:val="none"/>
                <w14:textFill>
                  <w14:solidFill>
                    <w14:schemeClr w14:val="tx1"/>
                  </w14:solidFill>
                </w14:textFill>
              </w:rPr>
              <w:t>8</w:t>
            </w:r>
            <w:r>
              <w:rPr>
                <w:color w:val="000000" w:themeColor="text1"/>
                <w:sz w:val="24"/>
                <w:szCs w:val="20"/>
                <w:highlight w:val="none"/>
                <w14:textFill>
                  <w14:solidFill>
                    <w14:schemeClr w14:val="tx1"/>
                  </w14:solidFill>
                </w14:textFill>
              </w:rPr>
              <w:t>）。因此，项目建设符合国家和地方产业政策。</w:t>
            </w:r>
          </w:p>
          <w:p>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1.5用地合法性分析</w:t>
            </w:r>
          </w:p>
          <w:p>
            <w:pPr>
              <w:pStyle w:val="186"/>
              <w:ind w:firstLine="480"/>
              <w:rPr>
                <w:rFonts w:hint="default"/>
                <w:color w:val="000000" w:themeColor="text1"/>
                <w:highlight w:val="yellow"/>
                <w:lang w:val="en-US"/>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扩建</w:t>
            </w:r>
            <w:r>
              <w:rPr>
                <w:color w:val="000000" w:themeColor="text1"/>
                <w:szCs w:val="21"/>
                <w:highlight w:val="none"/>
                <w14:textFill>
                  <w14:solidFill>
                    <w14:schemeClr w14:val="tx1"/>
                  </w14:solidFill>
                </w14:textFill>
              </w:rPr>
              <w:t>项目位于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color w:val="000000" w:themeColor="text1"/>
                <w:highlight w:val="none"/>
                <w14:textFill>
                  <w14:solidFill>
                    <w14:schemeClr w14:val="tx1"/>
                  </w14:solidFill>
                </w14:textFill>
              </w:rPr>
              <w:t>，属于福清融侨经济技术开发区范围</w:t>
            </w:r>
            <w:r>
              <w:rPr>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t>根据建设单位提供的</w:t>
            </w:r>
            <w:r>
              <w:rPr>
                <w:rFonts w:hint="eastAsia"/>
                <w:color w:val="000000" w:themeColor="text1"/>
                <w:highlight w:val="none"/>
                <w14:textFill>
                  <w14:solidFill>
                    <w14:schemeClr w14:val="tx1"/>
                  </w14:solidFill>
                </w14:textFill>
              </w:rPr>
              <w:t>福建乐翔服饰制造有限公司不动产权证</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闽（2024）福清市不动产权第9037608号</w:t>
            </w:r>
            <w:r>
              <w:rPr>
                <w:color w:val="000000" w:themeColor="text1"/>
                <w:highlight w:val="none"/>
                <w14:textFill>
                  <w14:solidFill>
                    <w14:schemeClr w14:val="tx1"/>
                  </w14:solidFill>
                </w14:textFill>
              </w:rPr>
              <w:t>），项目用地为</w:t>
            </w:r>
            <w:r>
              <w:rPr>
                <w:rFonts w:hint="eastAsia"/>
                <w:color w:val="000000" w:themeColor="text1"/>
                <w:highlight w:val="none"/>
                <w14:textFill>
                  <w14:solidFill>
                    <w14:schemeClr w14:val="tx1"/>
                  </w14:solidFill>
                </w14:textFill>
              </w:rPr>
              <w:t>工业用地</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租赁</w:t>
            </w:r>
            <w:r>
              <w:rPr>
                <w:rFonts w:hint="eastAsia" w:eastAsia="宋体" w:cs="Times New Roman"/>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福建乐翔服饰制造有限公司</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厂房</w:t>
            </w:r>
            <w:r>
              <w:rPr>
                <w:rFonts w:hint="eastAsia" w:eastAsia="宋体" w:cs="Times New Roman"/>
                <w:color w:val="000000" w:themeColor="text1"/>
                <w:highlight w:val="none"/>
                <w:lang w:val="en-US" w:eastAsia="zh-CN"/>
                <w14:textFill>
                  <w14:solidFill>
                    <w14:schemeClr w14:val="tx1"/>
                  </w14:solidFill>
                </w14:textFill>
              </w:rPr>
              <w:t>于2015年11月编制完成</w:t>
            </w:r>
            <w:r>
              <w:rPr>
                <w:rFonts w:hint="eastAsia"/>
                <w:color w:val="000000" w:themeColor="text1"/>
                <w:highlight w:val="none"/>
                <w14:textFill>
                  <w14:solidFill>
                    <w14:schemeClr w14:val="tx1"/>
                  </w14:solidFill>
                </w14:textFill>
              </w:rPr>
              <w:t>福建乐翔服饰制造有限公司</w:t>
            </w:r>
            <w:r>
              <w:rPr>
                <w:rFonts w:hint="eastAsia" w:eastAsia="宋体" w:cs="Times New Roman"/>
                <w:color w:val="000000" w:themeColor="text1"/>
                <w:highlight w:val="none"/>
                <w:lang w:val="en-US" w:eastAsia="zh-CN"/>
                <w14:textFill>
                  <w14:solidFill>
                    <w14:schemeClr w14:val="tx1"/>
                  </w14:solidFill>
                </w14:textFill>
              </w:rPr>
              <w:t>厂房及配套项目环境影响评价登记表，并于2015年11月26日取得福清市</w:t>
            </w:r>
            <w:r>
              <w:rPr>
                <w:rFonts w:hint="eastAsia" w:cs="Times New Roman"/>
                <w:color w:val="000000" w:themeColor="text1"/>
                <w:highlight w:val="none"/>
                <w:lang w:val="en-US" w:eastAsia="zh-CN"/>
                <w14:textFill>
                  <w14:solidFill>
                    <w14:schemeClr w14:val="tx1"/>
                  </w14:solidFill>
                </w14:textFill>
              </w:rPr>
              <w:t>生态环境局</w:t>
            </w:r>
            <w:r>
              <w:rPr>
                <w:rFonts w:hint="eastAsia" w:eastAsia="宋体" w:cs="Times New Roman"/>
                <w:color w:val="000000" w:themeColor="text1"/>
                <w:highlight w:val="none"/>
                <w:lang w:val="en-US" w:eastAsia="zh-CN"/>
                <w14:textFill>
                  <w14:solidFill>
                    <w14:schemeClr w14:val="tx1"/>
                  </w14:solidFill>
                </w14:textFill>
              </w:rPr>
              <w:t>批复（融侨环评登[2015]1号），</w:t>
            </w:r>
            <w:r>
              <w:rPr>
                <w:rFonts w:hint="eastAsia" w:cs="Times New Roman"/>
                <w:color w:val="000000" w:themeColor="text1"/>
                <w:highlight w:val="none"/>
                <w:lang w:val="en-US" w:eastAsia="zh-CN"/>
                <w14:textFill>
                  <w14:solidFill>
                    <w14:schemeClr w14:val="tx1"/>
                  </w14:solidFill>
                </w14:textFill>
              </w:rPr>
              <w:t>扩建</w:t>
            </w:r>
            <w:r>
              <w:rPr>
                <w:rFonts w:hint="eastAsia" w:eastAsia="宋体" w:cs="Times New Roman"/>
                <w:color w:val="000000" w:themeColor="text1"/>
                <w:highlight w:val="none"/>
                <w:lang w:val="en-US" w:eastAsia="zh-CN"/>
                <w14:textFill>
                  <w14:solidFill>
                    <w14:schemeClr w14:val="tx1"/>
                  </w14:solidFill>
                </w14:textFill>
              </w:rPr>
              <w:t>项目租赁1号厂房原</w:t>
            </w:r>
            <w:r>
              <w:rPr>
                <w:rFonts w:hint="eastAsia" w:cs="Times New Roman"/>
                <w:color w:val="000000" w:themeColor="text1"/>
                <w:highlight w:val="none"/>
                <w:lang w:val="en-US" w:eastAsia="zh-CN"/>
                <w14:textFill>
                  <w14:solidFill>
                    <w14:schemeClr w14:val="tx1"/>
                  </w14:solidFill>
                </w14:textFill>
              </w:rPr>
              <w:t>为制衣车间及仓库，</w:t>
            </w:r>
            <w:r>
              <w:rPr>
                <w:rFonts w:hint="eastAsia" w:eastAsia="宋体" w:cs="Times New Roman"/>
                <w:color w:val="000000" w:themeColor="text1"/>
                <w:highlight w:val="none"/>
                <w:lang w:val="en-US" w:eastAsia="zh-CN"/>
                <w14:textFill>
                  <w14:solidFill>
                    <w14:schemeClr w14:val="tx1"/>
                  </w14:solidFill>
                </w14:textFill>
              </w:rPr>
              <w:t>原厂房内</w:t>
            </w:r>
            <w:r>
              <w:rPr>
                <w:rFonts w:hint="eastAsia" w:cs="Times New Roman"/>
                <w:color w:val="000000" w:themeColor="text1"/>
                <w:highlight w:val="none"/>
                <w:lang w:val="en-US" w:eastAsia="zh-CN"/>
                <w14:textFill>
                  <w14:solidFill>
                    <w14:schemeClr w14:val="tx1"/>
                  </w14:solidFill>
                </w14:textFill>
              </w:rPr>
              <w:t>历史建设情况</w:t>
            </w:r>
            <w:r>
              <w:rPr>
                <w:rFonts w:hint="eastAsia" w:eastAsia="宋体" w:cs="Times New Roman"/>
                <w:color w:val="000000" w:themeColor="text1"/>
                <w:highlight w:val="none"/>
                <w:lang w:val="en-US" w:eastAsia="zh-CN"/>
                <w14:textFill>
                  <w14:solidFill>
                    <w14:schemeClr w14:val="tx1"/>
                  </w14:solidFill>
                </w14:textFill>
              </w:rPr>
              <w:t>详见附件11。</w:t>
            </w:r>
          </w:p>
          <w:p>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1.6三线三区</w:t>
            </w:r>
          </w:p>
          <w:p>
            <w:pPr>
              <w:pStyle w:val="186"/>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自然资源部办公厅关于北京等省(区、市)启用“三区三线”划定成果作为报批建设项目用地用海依据的函》(自然资办函〔2022〕2207号)，福建省已按照《全国国土空间规划纲要(2021—2035年)》确定的耕地和永久基本农田保护红线任务和《全国“三区三线”划定规则》，完成了“三区三线”划定工作，划定成果符合质检要求，从即日起正式启用，作为建设项目用地用海组卷报批的依据。经调阅“三区三线”划定成果，</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项目不占用永久基本农田、不占用生态保护红线，项目选址位于城镇开发边界范围内，能够符合城镇集中建设区的功能定位。</w:t>
            </w:r>
          </w:p>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1.</w:t>
            </w:r>
            <w:r>
              <w:rPr>
                <w:rFonts w:hint="eastAsia"/>
                <w:b/>
                <w:color w:val="000000" w:themeColor="text1"/>
                <w:sz w:val="30"/>
                <w:szCs w:val="30"/>
                <w:highlight w:val="none"/>
                <w14:textFill>
                  <w14:solidFill>
                    <w14:schemeClr w14:val="tx1"/>
                  </w14:solidFill>
                </w14:textFill>
              </w:rPr>
              <w:t>7</w:t>
            </w:r>
            <w:r>
              <w:rPr>
                <w:b/>
                <w:color w:val="000000" w:themeColor="text1"/>
                <w:sz w:val="30"/>
                <w:szCs w:val="30"/>
                <w:highlight w:val="none"/>
                <w14:textFill>
                  <w14:solidFill>
                    <w14:schemeClr w14:val="tx1"/>
                  </w14:solidFill>
                </w14:textFill>
              </w:rPr>
              <w:t>与挥发性有机物污染防治相关政策符合性分析</w:t>
            </w:r>
          </w:p>
          <w:p>
            <w:pPr>
              <w:spacing w:line="360" w:lineRule="auto"/>
              <w:ind w:firstLine="480"/>
              <w:rPr>
                <w:color w:val="000000" w:themeColor="text1"/>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扩建</w:t>
            </w:r>
            <w:r>
              <w:rPr>
                <w:color w:val="000000" w:themeColor="text1"/>
                <w:sz w:val="24"/>
                <w:szCs w:val="20"/>
                <w:highlight w:val="none"/>
                <w14:textFill>
                  <w14:solidFill>
                    <w14:schemeClr w14:val="tx1"/>
                  </w14:solidFill>
                </w14:textFill>
              </w:rPr>
              <w:t>项目与《“十三五”挥发性有机物污染防治工作方案》、《福建省重点行业挥发性有机物污染防治工作方案》(闽环保大气〔2017〕6号)、《福州市生态环境保护委员会办公室关于印发福州市打好污染防治攻坚战2020年度工作方案的通知》、《挥发性有机物无组织排放控制标准（GB37822—2019）》符合性分析详见1.</w:t>
            </w:r>
            <w:r>
              <w:rPr>
                <w:rFonts w:hint="eastAsia"/>
                <w:color w:val="000000" w:themeColor="text1"/>
                <w:sz w:val="24"/>
                <w:szCs w:val="20"/>
                <w:highlight w:val="none"/>
                <w14:textFill>
                  <w14:solidFill>
                    <w14:schemeClr w14:val="tx1"/>
                  </w14:solidFill>
                </w14:textFill>
              </w:rPr>
              <w:t>7</w:t>
            </w:r>
            <w:r>
              <w:rPr>
                <w:color w:val="000000" w:themeColor="text1"/>
                <w:sz w:val="24"/>
                <w:szCs w:val="20"/>
                <w:highlight w:val="none"/>
                <w14:textFill>
                  <w14:solidFill>
                    <w14:schemeClr w14:val="tx1"/>
                  </w14:solidFill>
                </w14:textFill>
              </w:rPr>
              <w:t>-1。</w:t>
            </w:r>
          </w:p>
        </w:tc>
      </w:tr>
    </w:tbl>
    <w:p>
      <w:pPr>
        <w:spacing w:line="360" w:lineRule="auto"/>
        <w:ind w:firstLine="600"/>
        <w:outlineLvl w:val="0"/>
        <w:rPr>
          <w:rFonts w:eastAsia="黑体"/>
          <w:color w:val="000000" w:themeColor="text1"/>
          <w:sz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88"/>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表1.</w:t>
            </w:r>
            <w:r>
              <w:rPr>
                <w:rFonts w:hint="eastAsia"/>
                <w:color w:val="000000" w:themeColor="text1"/>
                <w:highlight w:val="none"/>
                <w:lang w:val="en-US"/>
                <w14:textFill>
                  <w14:solidFill>
                    <w14:schemeClr w14:val="tx1"/>
                  </w14:solidFill>
                </w14:textFill>
              </w:rPr>
              <w:t>7</w:t>
            </w:r>
            <w:r>
              <w:rPr>
                <w:color w:val="000000" w:themeColor="text1"/>
                <w:highlight w:val="none"/>
                <w14:textFill>
                  <w14:solidFill>
                    <w14:schemeClr w14:val="tx1"/>
                  </w14:solidFill>
                </w14:textFill>
              </w:rPr>
              <w:t>-1 挥发性有机物污染防治政策相关内容</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72"/>
              <w:gridCol w:w="3151"/>
              <w:gridCol w:w="5537"/>
              <w:gridCol w:w="4640"/>
              <w:gridCol w:w="7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07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相关文件名称</w:t>
                  </w:r>
                </w:p>
              </w:tc>
              <w:tc>
                <w:tcPr>
                  <w:tcW w:w="1889"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相关内容</w:t>
                  </w:r>
                </w:p>
              </w:tc>
              <w:tc>
                <w:tcPr>
                  <w:tcW w:w="1583"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项目情况</w:t>
                  </w:r>
                </w:p>
              </w:tc>
              <w:tc>
                <w:tcPr>
                  <w:tcW w:w="2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07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“十三五”挥发性有机物污染防治工作方案</w:t>
                  </w:r>
                </w:p>
              </w:tc>
              <w:tc>
                <w:tcPr>
                  <w:tcW w:w="1889" w:type="pc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（一）加大产业结构调整力度。</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2.严格建设项目环境准入。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提高VOCs排放重点行业环保准入门槛，严格控制新增污染物排放量。……新建涉 VOCs 排放的工业企业要入园区。……新、改、扩建涉VOCs排放项目，应从源头加强控制，使用低（无）VOCs含量的原辅材料，加强废气收集，安装高效治理设施。</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（二）加快实施工业源VOCs污染防治。</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因地制宜推进其他工业行业VOCs综合治理。各地应结合本地产业结构特征和VOCs治理重点，因地制宜选择其他工业行业开展VOCs治理。电子行业应重点加强溶剂清洗、光刻、涂胶、涂装等工序VOCs排放控制；制鞋行业应重点加强鞋面拼接、成型、组底、喷漆、发泡、注塑、印刷、清洗等工序VOCs排放治理；纺织印染行业应重点加强化纤纺丝、热定型、涂层等工序VOCs排放治理；木材加工行业应重点加强干燥、涂胶、热压过程VOCs排放治理。</w:t>
                  </w:r>
                </w:p>
              </w:tc>
              <w:tc>
                <w:tcPr>
                  <w:tcW w:w="1583" w:type="pct"/>
                  <w:vAlign w:val="center"/>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项目涉及新增VOCs 排放，项目位于福清融侨经济技术开发区。</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为进一步增加对VOCs的治理，</w:t>
                  </w:r>
                  <w:r>
                    <w:rPr>
                      <w:rFonts w:hint="eastAsia"/>
                      <w:color w:val="000000" w:themeColor="text1"/>
                      <w:highlight w:val="none"/>
                      <w14:textFill>
                        <w14:solidFill>
                          <w14:schemeClr w14:val="tx1"/>
                        </w14:solidFill>
                      </w14:textFill>
                    </w:rPr>
                    <w:t>设拟置独立的喷漆及烘干区域并配套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07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福建省重点行业挥发性有机物污染防治工作方案</w:t>
                  </w:r>
                </w:p>
              </w:tc>
              <w:tc>
                <w:tcPr>
                  <w:tcW w:w="1889" w:type="pc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（一）严格环境准入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（二）大力推进清洁生产</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……在重点行业大力倡导环境标志产品生产及使用，尤其是水性涂料的生产和使用，从源头控制VOCs排放。</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（三）加快推进重点行业VOCs专项整治</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（4）推进溶剂使用工艺VOCs控制</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纺织印染、皮革加工、制鞋、木材加工、木制品生产等行业，积极推动使用低毒、低挥发性溶剂，食品加工行业必须使用低挥发性溶剂，制鞋行业胶粘剂应符合国家强制性标准《鞋和箱包胶粘剂》的要求；同时开展VOCs收集与净化处理。</w:t>
                  </w:r>
                </w:p>
              </w:tc>
              <w:tc>
                <w:tcPr>
                  <w:tcW w:w="1583" w:type="pct"/>
                  <w:vAlign w:val="center"/>
                </w:tcPr>
                <w:p>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为进一步增加对VOCs的治理，项目</w:t>
                  </w:r>
                  <w:r>
                    <w:rPr>
                      <w:rFonts w:hint="eastAsia"/>
                      <w:color w:val="000000" w:themeColor="text1"/>
                      <w:highlight w:val="none"/>
                      <w14:textFill>
                        <w14:solidFill>
                          <w14:schemeClr w14:val="tx1"/>
                        </w14:solidFill>
                      </w14:textFill>
                    </w:rPr>
                    <w:t>拟设置独立的调漆喷漆及烘干区域并配套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07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《福州市生态环境保护委员会办公室关于印发福州市打好污染防治攻坚战2020年度工作方案的通知》</w:t>
                  </w:r>
                </w:p>
              </w:tc>
              <w:tc>
                <w:tcPr>
                  <w:tcW w:w="1889" w:type="pc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涉VOCs建设项目环境影响评价，VOCs排放实行区域内实施倍量替代。新、改、扩建涉VOCs排放项目，应使用低（无）VOCs的涂料、粘胶剂、油墨。严格控制石化、化工、包装印刷、工业涂装、制鞋等高VOCs排放建设项目，新建设涉VOCs排放重点行业项目必须进入工业园区。</w:t>
                  </w:r>
                </w:p>
              </w:tc>
              <w:tc>
                <w:tcPr>
                  <w:tcW w:w="1583" w:type="pct"/>
                  <w:vAlign w:val="center"/>
                </w:tcPr>
                <w:p>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项目新增排放的VOCs排放实行区域内倍量替代。本项目</w:t>
                  </w:r>
                  <w:r>
                    <w:rPr>
                      <w:rFonts w:hint="eastAsia"/>
                      <w:color w:val="000000" w:themeColor="text1"/>
                      <w:highlight w:val="none"/>
                      <w14:textFill>
                        <w14:solidFill>
                          <w14:schemeClr w14:val="tx1"/>
                        </w14:solidFill>
                      </w14:textFill>
                    </w:rPr>
                    <w:t>为</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选址</w:t>
                  </w:r>
                  <w:r>
                    <w:rPr>
                      <w:color w:val="000000" w:themeColor="text1"/>
                      <w:highlight w:val="none"/>
                      <w14:textFill>
                        <w14:solidFill>
                          <w14:schemeClr w14:val="tx1"/>
                        </w14:solidFill>
                      </w14:textFill>
                    </w:rPr>
                    <w:t>位于福清融侨经济技术开发区。</w:t>
                  </w:r>
                </w:p>
              </w:tc>
              <w:tc>
                <w:tcPr>
                  <w:tcW w:w="2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75" w:hRule="atLeast"/>
                <w:jc w:val="center"/>
              </w:trPr>
              <w:tc>
                <w:tcPr>
                  <w:tcW w:w="19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07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《挥发性有机物无组织排放控制标准（GB37822—2019）》</w:t>
                  </w:r>
                </w:p>
              </w:tc>
              <w:tc>
                <w:tcPr>
                  <w:tcW w:w="1889" w:type="pc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583" w:type="pct"/>
                  <w:vAlign w:val="center"/>
                </w:tcPr>
                <w:p>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项目生产过程</w:t>
                  </w:r>
                  <w:r>
                    <w:rPr>
                      <w:rFonts w:hint="eastAsia"/>
                      <w:color w:val="000000" w:themeColor="text1"/>
                      <w:highlight w:val="none"/>
                      <w14:textFill>
                        <w14:solidFill>
                          <w14:schemeClr w14:val="tx1"/>
                        </w14:solidFill>
                      </w14:textFill>
                    </w:rPr>
                    <w:t>使用水性漆及聚氨酯漆符合</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涂料标准要求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水性漆树脂</w:t>
                  </w:r>
                  <w:r>
                    <w:rPr>
                      <w:color w:val="000000" w:themeColor="text1"/>
                      <w:highlight w:val="none"/>
                      <w14:textFill>
                        <w14:solidFill>
                          <w14:schemeClr w14:val="tx1"/>
                        </w14:solidFill>
                      </w14:textFill>
                    </w:rPr>
                    <w:t>含量</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、聚氨酯漆树脂</w:t>
                  </w:r>
                  <w:r>
                    <w:rPr>
                      <w:color w:val="000000" w:themeColor="text1"/>
                      <w:highlight w:val="none"/>
                      <w14:textFill>
                        <w14:solidFill>
                          <w14:schemeClr w14:val="tx1"/>
                        </w14:solidFill>
                      </w14:textFill>
                    </w:rPr>
                    <w:t>含量</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%，VOCs</w:t>
                  </w:r>
                  <w:r>
                    <w:rPr>
                      <w:rFonts w:hint="eastAsia"/>
                      <w:color w:val="000000" w:themeColor="text1"/>
                      <w:highlight w:val="none"/>
                      <w14:textFill>
                        <w14:solidFill>
                          <w14:schemeClr w14:val="tx1"/>
                        </w14:solidFill>
                      </w14:textFill>
                    </w:rPr>
                    <w:t>质量占比均≥10%；拟设置独立的调漆喷漆及烘干区域并配套</w:t>
                  </w:r>
                  <w:r>
                    <w:rPr>
                      <w:color w:val="000000" w:themeColor="text1"/>
                      <w:highlight w:val="none"/>
                      <w14:textFill>
                        <w14:solidFill>
                          <w14:schemeClr w14:val="tx1"/>
                        </w14:solidFill>
                      </w14:textFill>
                    </w:rPr>
                    <w:t>集气设施收集有机废气。废气净化设施为</w:t>
                  </w:r>
                  <w:r>
                    <w:rPr>
                      <w:rFonts w:hint="eastAsia"/>
                      <w:color w:val="000000" w:themeColor="text1"/>
                      <w:highlight w:val="none"/>
                      <w14:textFill>
                        <w14:solidFill>
                          <w14:schemeClr w14:val="tx1"/>
                        </w14:solidFill>
                      </w14:textFill>
                    </w:rPr>
                    <w:t>“水喷淋+二级活性炭吸附”设备</w:t>
                  </w:r>
                  <w:r>
                    <w:rPr>
                      <w:color w:val="000000" w:themeColor="text1"/>
                      <w:highlight w:val="none"/>
                      <w14:textFill>
                        <w14:solidFill>
                          <w14:schemeClr w14:val="tx1"/>
                        </w14:solidFill>
                      </w14:textFill>
                    </w:rPr>
                    <w:t>，收集的有机废气经处理后</w:t>
                  </w:r>
                  <w:r>
                    <w:rPr>
                      <w:rFonts w:hint="eastAsia"/>
                      <w:color w:val="000000" w:themeColor="text1"/>
                      <w:highlight w:val="none"/>
                      <w14:textFill>
                        <w14:solidFill>
                          <w14:schemeClr w14:val="tx1"/>
                        </w14:solidFill>
                      </w14:textFill>
                    </w:rPr>
                    <w:t>可达标</w:t>
                  </w:r>
                  <w:r>
                    <w:rPr>
                      <w:color w:val="000000" w:themeColor="text1"/>
                      <w:highlight w:val="none"/>
                      <w14:textFill>
                        <w14:solidFill>
                          <w14:schemeClr w14:val="tx1"/>
                        </w14:solidFill>
                      </w14:textFill>
                    </w:rPr>
                    <w:t>排放。</w:t>
                  </w:r>
                </w:p>
              </w:tc>
              <w:tc>
                <w:tcPr>
                  <w:tcW w:w="255"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pPr>
              <w:pStyle w:val="162"/>
              <w:ind w:firstLine="420"/>
              <w:rPr>
                <w:snapToGrid w:val="0"/>
                <w:color w:val="000000" w:themeColor="text1"/>
                <w:highlight w:val="none"/>
                <w14:textFill>
                  <w14:solidFill>
                    <w14:schemeClr w14:val="tx1"/>
                  </w14:solidFill>
                </w14:textFill>
              </w:rPr>
            </w:pPr>
          </w:p>
        </w:tc>
      </w:tr>
    </w:tbl>
    <w:p>
      <w:pPr>
        <w:spacing w:line="360" w:lineRule="auto"/>
        <w:ind w:firstLine="600"/>
        <w:outlineLvl w:val="0"/>
        <w:rPr>
          <w:rFonts w:eastAsia="黑体"/>
          <w:color w:val="000000" w:themeColor="text1"/>
          <w:sz w:val="30"/>
          <w:highlight w:val="none"/>
          <w14:textFill>
            <w14:solidFill>
              <w14:schemeClr w14:val="tx1"/>
            </w14:solidFill>
          </w14:textFill>
        </w:rPr>
        <w:sectPr>
          <w:pgSz w:w="16838" w:h="11906"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pPr>
    </w:p>
    <w:p>
      <w:pPr>
        <w:pStyle w:val="83"/>
        <w:numPr>
          <w:ilvl w:val="0"/>
          <w:numId w:val="1"/>
        </w:numPr>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建设项目工程分析</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7" w:hRule="atLeast"/>
        </w:trPr>
        <w:tc>
          <w:tcPr>
            <w:tcW w:w="473" w:type="dxa"/>
          </w:tcPr>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p>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建设内容</w:t>
            </w:r>
          </w:p>
        </w:tc>
        <w:tc>
          <w:tcPr>
            <w:tcW w:w="8587" w:type="dxa"/>
          </w:tcPr>
          <w:p>
            <w:pPr>
              <w:spacing w:before="120" w:beforeLines="50" w:line="360" w:lineRule="auto"/>
              <w:outlineLvl w:val="1"/>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2.1项目由来</w:t>
            </w:r>
          </w:p>
          <w:p>
            <w:pPr>
              <w:pStyle w:val="332"/>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w:t>
            </w:r>
            <w:r>
              <w:rPr>
                <w:rFonts w:hint="eastAsia"/>
                <w:color w:val="000000" w:themeColor="text1"/>
                <w:highlight w:val="none"/>
                <w:lang w:val="en-US"/>
                <w14:textFill>
                  <w14:solidFill>
                    <w14:schemeClr w14:val="tx1"/>
                  </w14:solidFill>
                </w14:textFill>
              </w:rPr>
              <w:t>成立于2014年，2025年</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val="en-US"/>
                <w14:textFill>
                  <w14:solidFill>
                    <w14:schemeClr w14:val="tx1"/>
                  </w14:solidFill>
                </w14:textFill>
              </w:rPr>
              <w:t>月将经营场所变更至福建省福州市福清市阳下街道新局村福建乐翔服饰制造有限公司内</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en-US"/>
                <w14:textFill>
                  <w14:solidFill>
                    <w14:schemeClr w14:val="tx1"/>
                  </w14:solidFill>
                </w14:textFill>
              </w:rPr>
              <w:t>为了提高公司产品质量，提高公司经营效益，带动企业的持续发展；</w:t>
            </w:r>
            <w:r>
              <w:rPr>
                <w:rFonts w:hint="eastAsia"/>
                <w:color w:val="000000" w:themeColor="text1"/>
                <w:szCs w:val="24"/>
                <w:highlight w:val="none"/>
                <w:lang w:val="en-US"/>
                <w14:textFill>
                  <w14:solidFill>
                    <w14:schemeClr w14:val="tx1"/>
                  </w14:solidFill>
                </w14:textFill>
              </w:rPr>
              <w:t>建设单位</w:t>
            </w:r>
            <w:r>
              <w:rPr>
                <w:rFonts w:hint="eastAsia"/>
                <w:color w:val="000000" w:themeColor="text1"/>
                <w:szCs w:val="24"/>
                <w:highlight w:val="none"/>
                <w:lang w:val="en-US" w:eastAsia="zh-CN"/>
                <w14:textFill>
                  <w14:solidFill>
                    <w14:schemeClr w14:val="tx1"/>
                  </w14:solidFill>
                </w14:textFill>
              </w:rPr>
              <w:t>决定</w:t>
            </w:r>
            <w:r>
              <w:rPr>
                <w:rFonts w:hint="eastAsia"/>
                <w:color w:val="000000" w:themeColor="text1"/>
                <w:szCs w:val="24"/>
                <w:highlight w:val="none"/>
                <w:lang w:val="en-US"/>
                <w14:textFill>
                  <w14:solidFill>
                    <w14:schemeClr w14:val="tx1"/>
                  </w14:solidFill>
                </w14:textFill>
              </w:rPr>
              <w:t>在租赁范围内增设</w:t>
            </w:r>
            <w:r>
              <w:rPr>
                <w:rFonts w:hint="eastAsia"/>
                <w:color w:val="000000" w:themeColor="text1"/>
                <w:szCs w:val="24"/>
                <w:highlight w:val="none"/>
                <w:lang w:val="en-US" w:eastAsia="zh-CN"/>
                <w14:textFill>
                  <w14:solidFill>
                    <w14:schemeClr w14:val="tx1"/>
                  </w14:solidFill>
                </w14:textFill>
              </w:rPr>
              <w:t>封边、</w:t>
            </w:r>
            <w:r>
              <w:rPr>
                <w:rFonts w:hint="eastAsia"/>
                <w:color w:val="000000" w:themeColor="text1"/>
                <w:szCs w:val="24"/>
                <w:highlight w:val="none"/>
                <w:lang w:val="en-US"/>
                <w14:textFill>
                  <w14:solidFill>
                    <w14:schemeClr w14:val="tx1"/>
                  </w14:solidFill>
                </w14:textFill>
              </w:rPr>
              <w:t>喷漆及打磨</w:t>
            </w:r>
            <w:r>
              <w:rPr>
                <w:rFonts w:hint="eastAsia"/>
                <w:color w:val="000000" w:themeColor="text1"/>
                <w:szCs w:val="24"/>
                <w:highlight w:val="none"/>
                <w:lang w:val="en-US" w:eastAsia="zh-CN"/>
                <w14:textFill>
                  <w14:solidFill>
                    <w14:schemeClr w14:val="tx1"/>
                  </w14:solidFill>
                </w14:textFill>
              </w:rPr>
              <w:t>等</w:t>
            </w:r>
            <w:r>
              <w:rPr>
                <w:rFonts w:hint="eastAsia"/>
                <w:color w:val="000000" w:themeColor="text1"/>
                <w:szCs w:val="24"/>
                <w:highlight w:val="none"/>
                <w:lang w:val="en-US"/>
                <w14:textFill>
                  <w14:solidFill>
                    <w14:schemeClr w14:val="tx1"/>
                  </w14:solidFill>
                </w14:textFill>
              </w:rPr>
              <w:t>工艺，对部分木质家具进行补漆、修色；</w:t>
            </w:r>
            <w:r>
              <w:rPr>
                <w:rFonts w:hint="eastAsia"/>
                <w:color w:val="000000" w:themeColor="text1"/>
                <w:szCs w:val="24"/>
                <w:highlight w:val="none"/>
                <w:lang w:val="en-US" w:eastAsia="zh-CN"/>
                <w14:textFill>
                  <w14:solidFill>
                    <w14:schemeClr w14:val="tx1"/>
                  </w14:solidFill>
                </w14:textFill>
              </w:rPr>
              <w:t>同时扩大</w:t>
            </w:r>
            <w:r>
              <w:rPr>
                <w:rFonts w:hint="eastAsia"/>
                <w:color w:val="000000" w:themeColor="text1"/>
                <w:szCs w:val="24"/>
                <w:highlight w:val="none"/>
                <w:lang w:val="en-US"/>
                <w14:textFill>
                  <w14:solidFill>
                    <w14:schemeClr w14:val="tx1"/>
                  </w14:solidFill>
                </w14:textFill>
              </w:rPr>
              <w:t>企业产能，</w:t>
            </w:r>
            <w:r>
              <w:rPr>
                <w:rFonts w:hint="eastAsia"/>
                <w:color w:val="000000" w:themeColor="text1"/>
                <w:szCs w:val="24"/>
                <w:highlight w:val="none"/>
                <w:lang w:val="en-US" w:eastAsia="zh-CN"/>
                <w14:textFill>
                  <w14:solidFill>
                    <w14:schemeClr w14:val="tx1"/>
                  </w14:solidFill>
                </w14:textFill>
              </w:rPr>
              <w:t>扩建后规模为</w:t>
            </w:r>
            <w:r>
              <w:rPr>
                <w:rFonts w:hint="eastAsia"/>
                <w:color w:val="000000" w:themeColor="text1"/>
                <w:szCs w:val="24"/>
                <w:highlight w:val="none"/>
                <w:lang w:val="en-US"/>
                <w14:textFill>
                  <w14:solidFill>
                    <w14:schemeClr w14:val="tx1"/>
                  </w14:solidFill>
                </w14:textFill>
              </w:rPr>
              <w:t>年产</w:t>
            </w:r>
            <w:r>
              <w:rPr>
                <w:rFonts w:hint="eastAsia"/>
                <w:color w:val="000000" w:themeColor="text1"/>
                <w:highlight w:val="none"/>
                <w14:textFill>
                  <w14:solidFill>
                    <w14:schemeClr w14:val="tx1"/>
                  </w14:solidFill>
                </w14:textFill>
              </w:rPr>
              <w:t>木质家具</w:t>
            </w:r>
            <w:r>
              <w:rPr>
                <w:rFonts w:hint="eastAsia"/>
                <w:color w:val="000000" w:themeColor="text1"/>
                <w:highlight w:val="none"/>
                <w:lang w:val="en-US"/>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val="en-US"/>
                <w14:textFill>
                  <w14:solidFill>
                    <w14:schemeClr w14:val="tx1"/>
                  </w14:solidFill>
                </w14:textFill>
              </w:rPr>
              <w:t>万套</w:t>
            </w:r>
            <w:r>
              <w:rPr>
                <w:rFonts w:hint="eastAsia"/>
                <w:color w:val="000000" w:themeColor="text1"/>
                <w:szCs w:val="24"/>
                <w:highlight w:val="none"/>
                <w:lang w:val="en-US"/>
                <w14:textFill>
                  <w14:solidFill>
                    <w14:schemeClr w14:val="tx1"/>
                  </w14:solidFill>
                </w14:textFill>
              </w:rPr>
              <w:t>。</w:t>
            </w:r>
          </w:p>
          <w:p>
            <w:pPr>
              <w:pStyle w:val="33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根据《中华人民共和国环境保护法》(2015年)、《中华人民共和国环境影响评价法》(2018年修正)、《建设项目环境保护管理条例》(2017年)的相关规定，</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增设</w:t>
            </w:r>
            <w:r>
              <w:rPr>
                <w:rFonts w:hint="eastAsia"/>
                <w:color w:val="000000" w:themeColor="text1"/>
                <w:highlight w:val="none"/>
                <w:lang w:eastAsia="zh-CN"/>
                <w14:textFill>
                  <w14:solidFill>
                    <w14:schemeClr w14:val="tx1"/>
                  </w14:solidFill>
                </w14:textFill>
              </w:rPr>
              <w:t>封边、</w:t>
            </w:r>
            <w:r>
              <w:rPr>
                <w:rFonts w:hint="eastAsia"/>
                <w:color w:val="000000" w:themeColor="text1"/>
                <w:highlight w:val="none"/>
                <w14:textFill>
                  <w14:solidFill>
                    <w14:schemeClr w14:val="tx1"/>
                  </w14:solidFill>
                </w14:textFill>
              </w:rPr>
              <w:t>喷漆及打磨工序后</w:t>
            </w:r>
            <w:r>
              <w:rPr>
                <w:color w:val="000000" w:themeColor="text1"/>
                <w:highlight w:val="none"/>
                <w14:textFill>
                  <w14:solidFill>
                    <w14:schemeClr w14:val="tx1"/>
                  </w14:solidFill>
                </w14:textFill>
              </w:rPr>
              <w:t>需要办理环境影响评价手续；根据《建设项目环境影响评价分类管理名录》(2021年版)规定，</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项目属于十八、家具制造业21</w:t>
            </w:r>
            <w:r>
              <w:rPr>
                <w:rFonts w:hint="eastAsia"/>
                <w:color w:val="000000" w:themeColor="text1"/>
                <w:highlight w:val="none"/>
                <w:lang w:val="en-US"/>
                <w14:textFill>
                  <w14:solidFill>
                    <w14:schemeClr w14:val="tx1"/>
                  </w14:solidFill>
                </w14:textFill>
              </w:rPr>
              <w:t>-</w:t>
            </w:r>
            <w:r>
              <w:rPr>
                <w:rFonts w:hint="eastAsia"/>
                <w:color w:val="000000" w:themeColor="text1"/>
                <w:highlight w:val="none"/>
                <w14:textFill>
                  <w14:solidFill>
                    <w14:schemeClr w14:val="tx1"/>
                  </w14:solidFill>
                </w14:textFill>
              </w:rPr>
              <w:t>木质家具制造211*中的其他。</w:t>
            </w:r>
            <w:r>
              <w:rPr>
                <w:color w:val="000000" w:themeColor="text1"/>
                <w:highlight w:val="none"/>
                <w14:textFill>
                  <w14:solidFill>
                    <w14:schemeClr w14:val="tx1"/>
                  </w14:solidFill>
                </w14:textFill>
              </w:rPr>
              <w:t>项目环评类别为环境影响报告表，详见表2</w:t>
            </w:r>
            <w:r>
              <w:rPr>
                <w:rFonts w:hint="eastAsia"/>
                <w:color w:val="000000" w:themeColor="text1"/>
                <w:highlight w:val="none"/>
                <w:lang w:val="en-US"/>
                <w14:textFill>
                  <w14:solidFill>
                    <w14:schemeClr w14:val="tx1"/>
                  </w14:solidFill>
                </w14:textFill>
              </w:rPr>
              <w:t>.1</w:t>
            </w:r>
            <w:r>
              <w:rPr>
                <w:color w:val="000000" w:themeColor="text1"/>
                <w:highlight w:val="none"/>
                <w14:textFill>
                  <w14:solidFill>
                    <w14:schemeClr w14:val="tx1"/>
                  </w14:solidFill>
                </w14:textFill>
              </w:rPr>
              <w:t>-1。</w:t>
            </w:r>
          </w:p>
          <w:p>
            <w:pPr>
              <w:pStyle w:val="8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-1  建设项目环境影响评价分类管理名录(摘录)</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2465"/>
              <w:gridCol w:w="2196"/>
              <w:gridCol w:w="2190"/>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1" w:type="pct"/>
                  <w:gridSpan w:val="2"/>
                  <w:tcBorders>
                    <w:top w:val="single" w:color="auto" w:sz="12" w:space="0"/>
                    <w:left w:val="nil"/>
                    <w:bottom w:val="single" w:color="auto" w:sz="4" w:space="0"/>
                    <w:tl2br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环评类别</w:t>
                  </w:r>
                </w:p>
                <w:p>
                  <w:pPr>
                    <w:pStyle w:val="331"/>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项目类别</w:t>
                  </w:r>
                </w:p>
              </w:tc>
              <w:tc>
                <w:tcPr>
                  <w:tcW w:w="1311" w:type="pct"/>
                  <w:tcBorders>
                    <w:top w:val="single" w:color="auto" w:sz="12" w:space="0"/>
                    <w:bottom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报告书</w:t>
                  </w:r>
                </w:p>
              </w:tc>
              <w:tc>
                <w:tcPr>
                  <w:tcW w:w="1307" w:type="pct"/>
                  <w:tcBorders>
                    <w:top w:val="single" w:color="auto" w:sz="12" w:space="0"/>
                    <w:bottom w:val="single" w:color="auto" w:sz="4" w:space="0"/>
                  </w:tcBorders>
                  <w:shd w:val="pct10" w:color="auto" w:fill="auto"/>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报告表</w:t>
                  </w:r>
                </w:p>
              </w:tc>
              <w:tc>
                <w:tcPr>
                  <w:tcW w:w="599" w:type="pct"/>
                  <w:tcBorders>
                    <w:top w:val="single" w:color="auto" w:sz="12" w:space="0"/>
                    <w:bottom w:val="single" w:color="auto" w:sz="4" w:space="0"/>
                    <w:right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nil"/>
                    <w:right w:val="nil"/>
                  </w:tcBorders>
                  <w:shd w:val="pct10" w:color="auto" w:fill="auto"/>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十八、家具制造业21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 w:type="pct"/>
                  <w:tcBorders>
                    <w:left w:val="nil"/>
                    <w:bottom w:val="single" w:color="auto" w:sz="12"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1471" w:type="pct"/>
                  <w:tcBorders>
                    <w:left w:val="single" w:color="auto" w:sz="4" w:space="0"/>
                    <w:bottom w:val="single" w:color="auto" w:sz="12"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木质家具制造211*；竹、藤家具制造212*；金属家具制造213*；塑料家具制造214*；其他家具制造219*</w:t>
                  </w:r>
                </w:p>
              </w:tc>
              <w:tc>
                <w:tcPr>
                  <w:tcW w:w="1311" w:type="pct"/>
                  <w:tcBorders>
                    <w:bottom w:val="single" w:color="auto" w:sz="12"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有电镀工艺的；年用溶剂型涂料（含稀释剂）10吨及以上的</w:t>
                  </w:r>
                </w:p>
              </w:tc>
              <w:tc>
                <w:tcPr>
                  <w:tcW w:w="1307" w:type="pct"/>
                  <w:tcBorders>
                    <w:bottom w:val="single" w:color="auto" w:sz="12" w:space="0"/>
                  </w:tcBorders>
                  <w:shd w:val="pct10" w:color="auto" w:fill="auto"/>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其他（仅分割、组装的除外；年用非溶剂型低VOCs含量涂料10吨以下的除外）</w:t>
                  </w:r>
                </w:p>
              </w:tc>
              <w:tc>
                <w:tcPr>
                  <w:tcW w:w="599" w:type="pct"/>
                  <w:tcBorders>
                    <w:bottom w:val="single" w:color="auto" w:sz="12" w:space="0"/>
                    <w:right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bl>
          <w:p>
            <w:pPr>
              <w:spacing w:before="120" w:beforeLines="50" w:line="360" w:lineRule="auto"/>
              <w:ind w:firstLine="480" w:firstLineChars="200"/>
              <w:outlineLvl w:val="1"/>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因</w:t>
            </w:r>
            <w:r>
              <w:rPr>
                <w:color w:val="000000" w:themeColor="text1"/>
                <w:sz w:val="24"/>
                <w:szCs w:val="24"/>
                <w:highlight w:val="none"/>
                <w14:textFill>
                  <w14:solidFill>
                    <w14:schemeClr w14:val="tx1"/>
                  </w14:solidFill>
                </w14:textFill>
              </w:rPr>
              <w:t>此，建设单位委托</w:t>
            </w:r>
            <w:r>
              <w:rPr>
                <w:rFonts w:hint="eastAsia"/>
                <w:color w:val="000000" w:themeColor="text1"/>
                <w:sz w:val="24"/>
                <w:szCs w:val="24"/>
                <w:highlight w:val="none"/>
                <w14:textFill>
                  <w14:solidFill>
                    <w14:schemeClr w14:val="tx1"/>
                  </w14:solidFill>
                </w14:textFill>
              </w:rPr>
              <w:t>我单位</w:t>
            </w:r>
            <w:r>
              <w:rPr>
                <w:color w:val="000000" w:themeColor="text1"/>
                <w:sz w:val="24"/>
                <w:szCs w:val="24"/>
                <w:highlight w:val="none"/>
                <w14:textFill>
                  <w14:solidFill>
                    <w14:schemeClr w14:val="tx1"/>
                  </w14:solidFill>
                </w14:textFill>
              </w:rPr>
              <w:t>编制该项目的环境影响报告表(委托书详见附件</w:t>
            </w:r>
            <w:r>
              <w:rPr>
                <w:rFonts w:hint="eastAsia"/>
                <w:color w:val="000000" w:themeColor="text1"/>
                <w:sz w:val="24"/>
                <w:szCs w:val="24"/>
                <w:highlight w:val="none"/>
                <w:lang w:val="en-US"/>
                <w14:textFill>
                  <w14:solidFill>
                    <w14:schemeClr w14:val="tx1"/>
                  </w14:solidFill>
                </w14:textFill>
              </w:rPr>
              <w:t>1</w:t>
            </w:r>
            <w:r>
              <w:rPr>
                <w:color w:val="000000" w:themeColor="text1"/>
                <w:sz w:val="24"/>
                <w:szCs w:val="24"/>
                <w:highlight w:val="none"/>
                <w14:textFill>
                  <w14:solidFill>
                    <w14:schemeClr w14:val="tx1"/>
                  </w14:solidFill>
                </w14:textFill>
              </w:rPr>
              <w:t>)。本环评单位接受委托后，派技术人员踏勘现场和收集有关资料，按照</w:t>
            </w:r>
            <w:r>
              <w:rPr>
                <w:rFonts w:hint="eastAsia"/>
                <w:color w:val="000000" w:themeColor="text1"/>
                <w:sz w:val="24"/>
                <w:szCs w:val="24"/>
                <w:highlight w:val="none"/>
                <w14:textFill>
                  <w14:solidFill>
                    <w14:schemeClr w14:val="tx1"/>
                  </w14:solidFill>
                </w14:textFill>
              </w:rPr>
              <w:t>《建设项目环境影响报告表编制技术指南(污染影响类)》(试行)</w:t>
            </w:r>
            <w:r>
              <w:rPr>
                <w:color w:val="000000" w:themeColor="text1"/>
                <w:sz w:val="24"/>
                <w:szCs w:val="24"/>
                <w:highlight w:val="none"/>
                <w14:textFill>
                  <w14:solidFill>
                    <w14:schemeClr w14:val="tx1"/>
                  </w14:solidFill>
                </w14:textFill>
              </w:rPr>
              <w:t>及相关技术规范要求，编制了本环境影响报告表，供建设单位上报生态环境行政主管部门审批。</w:t>
            </w:r>
          </w:p>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2</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基本情况</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（1）项目名称：</w:t>
            </w:r>
            <w:r>
              <w:rPr>
                <w:rFonts w:hint="eastAsia" w:ascii="Times New Roman" w:hAnsi="Times New Roman" w:eastAsia="宋体" w:cs="Times New Roman"/>
                <w:color w:val="000000" w:themeColor="text1"/>
                <w:sz w:val="24"/>
                <w:lang w:val="en-US" w:eastAsia="zh-CN"/>
                <w14:textFill>
                  <w14:solidFill>
                    <w14:schemeClr w14:val="tx1"/>
                  </w14:solidFill>
                </w14:textFill>
              </w:rPr>
              <w:t>红树林（福州）智能家居有限公司年加工木质家具1.5万套扩建项目</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（2）建设单位：红树林（福州）智能家居有限公司</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（3）建设地点：</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）总投资：</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00万元</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租赁厂房</w:t>
            </w:r>
            <w:r>
              <w:rPr>
                <w:color w:val="000000" w:themeColor="text1"/>
                <w:highlight w:val="none"/>
                <w14:textFill>
                  <w14:solidFill>
                    <w14:schemeClr w14:val="tx1"/>
                  </w14:solidFill>
                </w14:textFill>
              </w:rPr>
              <w:t>占地面积</w:t>
            </w:r>
            <w:r>
              <w:rPr>
                <w:rFonts w:hint="eastAsia"/>
                <w:color w:val="000000" w:themeColor="text1"/>
                <w:highlight w:val="none"/>
                <w14:textFill>
                  <w14:solidFill>
                    <w14:schemeClr w14:val="tx1"/>
                  </w14:solidFill>
                </w14:textFill>
              </w:rPr>
              <w:t>约1670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建筑面积约3338.95</w:t>
            </w:r>
            <w:r>
              <w:rPr>
                <w:color w:val="000000" w:themeColor="text1"/>
                <w:highlight w:val="none"/>
                <w14:textFill>
                  <w14:solidFill>
                    <w14:schemeClr w14:val="tx1"/>
                  </w14:solidFill>
                </w14:textFill>
              </w:rPr>
              <w:t xml:space="preserve"> m</w:t>
            </w:r>
            <w:r>
              <w:rPr>
                <w:color w:val="000000" w:themeColor="text1"/>
                <w:highlight w:val="none"/>
                <w:vertAlign w:val="superscript"/>
                <w14:textFill>
                  <w14:solidFill>
                    <w14:schemeClr w14:val="tx1"/>
                  </w14:solidFill>
                </w14:textFill>
              </w:rPr>
              <w:t>2</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规模：</w:t>
            </w:r>
            <w:r>
              <w:rPr>
                <w:rFonts w:hint="eastAsia"/>
                <w:color w:val="000000" w:themeColor="text1"/>
                <w:highlight w:val="none"/>
                <w14:textFill>
                  <w14:solidFill>
                    <w14:schemeClr w14:val="tx1"/>
                  </w14:solidFill>
                </w14:textFill>
              </w:rPr>
              <w:t>年产木质家具1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万套</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建设</w:t>
            </w:r>
            <w:r>
              <w:rPr>
                <w:color w:val="000000" w:themeColor="text1"/>
                <w:highlight w:val="none"/>
                <w14:textFill>
                  <w14:solidFill>
                    <w14:schemeClr w14:val="tx1"/>
                  </w14:solidFill>
                </w14:textFill>
              </w:rPr>
              <w:t>性质：</w:t>
            </w:r>
            <w:r>
              <w:rPr>
                <w:rFonts w:hint="eastAsia"/>
                <w:color w:val="000000" w:themeColor="text1"/>
                <w:highlight w:val="none"/>
                <w:lang w:eastAsia="zh-CN"/>
                <w14:textFill>
                  <w14:solidFill>
                    <w14:schemeClr w14:val="tx1"/>
                  </w14:solidFill>
                </w14:textFill>
              </w:rPr>
              <w:t>扩</w:t>
            </w:r>
            <w:r>
              <w:rPr>
                <w:rFonts w:hint="eastAsia"/>
                <w:color w:val="000000" w:themeColor="text1"/>
                <w:highlight w:val="none"/>
                <w14:textFill>
                  <w14:solidFill>
                    <w14:schemeClr w14:val="tx1"/>
                  </w14:solidFill>
                </w14:textFill>
              </w:rPr>
              <w:t>建</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职工人数</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职工6人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均不在厂区住宿</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9）工作制度：年生产日</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w:t>
            </w:r>
            <w:r>
              <w:rPr>
                <w:rFonts w:hint="eastAsia"/>
                <w:color w:val="000000" w:themeColor="text1"/>
                <w:highlight w:val="none"/>
                <w14:textFill>
                  <w14:solidFill>
                    <w14:schemeClr w14:val="tx1"/>
                  </w14:solidFill>
                </w14:textFill>
              </w:rPr>
              <w:t>单班</w:t>
            </w:r>
            <w:r>
              <w:rPr>
                <w:color w:val="000000" w:themeColor="text1"/>
                <w:highlight w:val="none"/>
                <w14:textFill>
                  <w14:solidFill>
                    <w14:schemeClr w14:val="tx1"/>
                  </w14:solidFill>
                </w14:textFill>
              </w:rPr>
              <w:t>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每班</w:t>
            </w:r>
            <w:r>
              <w:rPr>
                <w:rFonts w:hint="eastAsia"/>
                <w:color w:val="000000" w:themeColor="text1"/>
                <w:highlight w:val="none"/>
                <w14:textFill>
                  <w14:solidFill>
                    <w14:schemeClr w14:val="tx1"/>
                  </w14:solidFill>
                </w14:textFill>
              </w:rPr>
              <w:t>8个</w:t>
            </w:r>
            <w:r>
              <w:rPr>
                <w:color w:val="000000" w:themeColor="text1"/>
                <w:highlight w:val="none"/>
                <w14:textFill>
                  <w14:solidFill>
                    <w14:schemeClr w14:val="tx1"/>
                  </w14:solidFill>
                </w14:textFill>
              </w:rPr>
              <w:t>小时</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（10）周边概况：</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bookmarkStart w:id="1" w:name="OLE_LINK2"/>
            <w:r>
              <w:rPr>
                <w:rFonts w:hint="eastAsia"/>
                <w:color w:val="000000" w:themeColor="text1"/>
                <w:highlight w:val="none"/>
                <w14:textFill>
                  <w14:solidFill>
                    <w14:schemeClr w14:val="tx1"/>
                  </w14:solidFill>
                </w14:textFill>
              </w:rPr>
              <w:t>租赁</w:t>
            </w:r>
            <w:r>
              <w:rPr>
                <w:rFonts w:hint="eastAsia"/>
                <w:color w:val="000000" w:themeColor="text1"/>
                <w:highlight w:val="none"/>
                <w:lang w:eastAsia="zh-CN"/>
                <w14:textFill>
                  <w14:solidFill>
                    <w14:schemeClr w14:val="tx1"/>
                  </w14:solidFill>
                </w14:textFill>
              </w:rPr>
              <w:t>位于</w:t>
            </w:r>
            <w:r>
              <w:rPr>
                <w:rFonts w:hint="eastAsia"/>
                <w:color w:val="000000" w:themeColor="text1"/>
                <w:highlight w:val="none"/>
                <w14:textFill>
                  <w14:solidFill>
                    <w14:schemeClr w14:val="tx1"/>
                  </w14:solidFill>
                </w14:textFill>
              </w:rPr>
              <w:t>福清市阳下街道新局村福建乐翔服饰制造有限公司内1号厂房</w:t>
            </w:r>
            <w:bookmarkEnd w:id="1"/>
            <w:r>
              <w:rPr>
                <w:rFonts w:hint="eastAsia"/>
                <w:color w:val="000000" w:themeColor="text1"/>
                <w:highlight w:val="none"/>
                <w:lang w:val="en-US" w:eastAsia="zh-CN"/>
                <w14:textFill>
                  <w14:solidFill>
                    <w14:schemeClr w14:val="tx1"/>
                  </w14:solidFill>
                </w14:textFill>
              </w:rPr>
              <w:t>1层及3层</w:t>
            </w:r>
            <w:r>
              <w:rPr>
                <w:rFonts w:hint="eastAsia"/>
                <w:color w:val="000000" w:themeColor="text1"/>
                <w:highlight w:val="none"/>
                <w14:textFill>
                  <w14:solidFill>
                    <w14:schemeClr w14:val="tx1"/>
                  </w14:solidFill>
                </w14:textFill>
              </w:rPr>
              <w:t>作为生产场所</w:t>
            </w:r>
            <w:r>
              <w:rPr>
                <w:rFonts w:hint="eastAsia" w:cs="宋体"/>
                <w:color w:val="000000" w:themeColor="text1"/>
                <w:highlight w:val="none"/>
                <w14:textFill>
                  <w14:solidFill>
                    <w14:schemeClr w14:val="tx1"/>
                  </w14:solidFill>
                </w14:textFill>
              </w:rPr>
              <w:t>。项目厂界东侧</w:t>
            </w:r>
            <w:r>
              <w:rPr>
                <w:rFonts w:hint="eastAsia"/>
                <w:color w:val="000000" w:themeColor="text1"/>
                <w:highlight w:val="none"/>
                <w14:textFill>
                  <w14:solidFill>
                    <w14:schemeClr w14:val="tx1"/>
                  </w14:solidFill>
                </w14:textFill>
              </w:rPr>
              <w:t>福建乐翔服饰制造有限公司厂区6号厂房</w:t>
            </w:r>
            <w:r>
              <w:rPr>
                <w:rFonts w:hint="eastAsia" w:cs="宋体"/>
                <w:color w:val="000000" w:themeColor="text1"/>
                <w:highlight w:val="none"/>
                <w14:textFill>
                  <w14:solidFill>
                    <w14:schemeClr w14:val="tx1"/>
                  </w14:solidFill>
                </w14:textFill>
              </w:rPr>
              <w:t>，南侧为</w:t>
            </w:r>
            <w:r>
              <w:rPr>
                <w:rFonts w:hint="eastAsia"/>
                <w:color w:val="000000" w:themeColor="text1"/>
                <w:highlight w:val="none"/>
                <w14:textFill>
                  <w14:solidFill>
                    <w14:schemeClr w14:val="tx1"/>
                  </w14:solidFill>
                </w14:textFill>
              </w:rPr>
              <w:t>福建乐翔服饰制造有限公司厂区2号及5号厂房</w:t>
            </w:r>
            <w:r>
              <w:rPr>
                <w:rFonts w:hint="eastAsia" w:cs="宋体"/>
                <w:color w:val="000000" w:themeColor="text1"/>
                <w:highlight w:val="none"/>
                <w14:textFill>
                  <w14:solidFill>
                    <w14:schemeClr w14:val="tx1"/>
                  </w14:solidFill>
                </w14:textFill>
              </w:rPr>
              <w:t>，西侧为福清光明塑胶厂区，北侧</w:t>
            </w:r>
            <w:r>
              <w:rPr>
                <w:rFonts w:hint="eastAsia"/>
                <w:color w:val="000000" w:themeColor="text1"/>
                <w:highlight w:val="none"/>
                <w14:textFill>
                  <w14:solidFill>
                    <w14:schemeClr w14:val="tx1"/>
                  </w14:solidFill>
                </w14:textFill>
              </w:rPr>
              <w:t>福建乐翔服饰制造有限公司厂区3号厂房及</w:t>
            </w:r>
            <w:r>
              <w:rPr>
                <w:rFonts w:hint="eastAsia" w:cs="宋体"/>
                <w:color w:val="000000" w:themeColor="text1"/>
                <w:highlight w:val="none"/>
                <w14:textFill>
                  <w14:solidFill>
                    <w14:schemeClr w14:val="tx1"/>
                  </w14:solidFill>
                </w14:textFill>
              </w:rPr>
              <w:t>福清光明塑胶厂区。附近最近敏感目标为</w:t>
            </w:r>
            <w:r>
              <w:rPr>
                <w:rFonts w:hint="eastAsia" w:cs="宋体"/>
                <w:color w:val="000000" w:themeColor="text1"/>
                <w:highlight w:val="none"/>
                <w:lang w:eastAsia="zh-CN"/>
                <w14:textFill>
                  <w14:solidFill>
                    <w14:schemeClr w14:val="tx1"/>
                  </w14:solidFill>
                </w14:textFill>
              </w:rPr>
              <w:t>溪东</w:t>
            </w:r>
            <w:r>
              <w:rPr>
                <w:rFonts w:hint="eastAsia" w:cs="宋体"/>
                <w:color w:val="000000" w:themeColor="text1"/>
                <w:highlight w:val="none"/>
                <w14:textFill>
                  <w14:solidFill>
                    <w14:schemeClr w14:val="tx1"/>
                  </w14:solidFill>
                </w14:textFill>
              </w:rPr>
              <w:t>村，距本项目厂界最近距离约为</w:t>
            </w:r>
            <w:r>
              <w:rPr>
                <w:rFonts w:hint="eastAsia" w:cs="宋体"/>
                <w:color w:val="000000" w:themeColor="text1"/>
                <w:highlight w:val="none"/>
                <w:lang w:val="en-US" w:eastAsia="zh-CN"/>
                <w14:textFill>
                  <w14:solidFill>
                    <w14:schemeClr w14:val="tx1"/>
                  </w14:solidFill>
                </w14:textFill>
              </w:rPr>
              <w:t>102</w:t>
            </w:r>
            <w:r>
              <w:rPr>
                <w:rFonts w:hint="eastAsia" w:cs="宋体"/>
                <w:color w:val="000000" w:themeColor="text1"/>
                <w:highlight w:val="none"/>
                <w14:textFill>
                  <w14:solidFill>
                    <w14:schemeClr w14:val="tx1"/>
                  </w14:solidFill>
                </w14:textFill>
              </w:rPr>
              <w:t>m。项目周边情况示意图见附图3，项目周边环境照片见附图4。</w:t>
            </w:r>
          </w:p>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3</w:t>
            </w:r>
            <w:r>
              <w:rPr>
                <w:b/>
                <w:color w:val="000000" w:themeColor="text1"/>
                <w:sz w:val="30"/>
                <w:szCs w:val="30"/>
                <w:highlight w:val="none"/>
                <w14:textFill>
                  <w14:solidFill>
                    <w14:schemeClr w14:val="tx1"/>
                  </w14:solidFill>
                </w14:textFill>
              </w:rPr>
              <w:t>项目</w:t>
            </w:r>
            <w:r>
              <w:rPr>
                <w:rFonts w:hint="eastAsia"/>
                <w:b/>
                <w:color w:val="000000" w:themeColor="text1"/>
                <w:sz w:val="30"/>
                <w:szCs w:val="30"/>
                <w:highlight w:val="none"/>
                <w14:textFill>
                  <w14:solidFill>
                    <w14:schemeClr w14:val="tx1"/>
                  </w14:solidFill>
                </w14:textFill>
              </w:rPr>
              <w:t>主要工程</w:t>
            </w:r>
            <w:r>
              <w:rPr>
                <w:b/>
                <w:color w:val="000000" w:themeColor="text1"/>
                <w:sz w:val="30"/>
                <w:szCs w:val="30"/>
                <w:highlight w:val="none"/>
                <w14:textFill>
                  <w14:solidFill>
                    <w14:schemeClr w14:val="tx1"/>
                  </w14:solidFill>
                </w14:textFill>
              </w:rPr>
              <w:t>内容</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组成</w:t>
            </w:r>
            <w:r>
              <w:rPr>
                <w:rFonts w:hint="eastAsia"/>
                <w:color w:val="000000" w:themeColor="text1"/>
                <w:highlight w:val="none"/>
                <w14:textFill>
                  <w14:solidFill>
                    <w14:schemeClr w14:val="tx1"/>
                  </w14:solidFill>
                </w14:textFill>
              </w:rPr>
              <w:t>详见</w:t>
            </w: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-1所示。</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hint="eastAsia" w:ascii="Times New Roman" w:hAnsi="Times New Roman"/>
                <w:b/>
                <w:color w:val="000000" w:themeColor="text1"/>
                <w:highlight w:val="none"/>
                <w14:textFill>
                  <w14:solidFill>
                    <w14:schemeClr w14:val="tx1"/>
                  </w14:solidFill>
                </w14:textFill>
              </w:rPr>
              <w:t>表2.3-1</w:t>
            </w:r>
            <w:r>
              <w:rPr>
                <w:rFonts w:ascii="Times New Roman" w:hAnsi="Times New Roman"/>
                <w:b/>
                <w:color w:val="000000" w:themeColor="text1"/>
                <w:highlight w:val="none"/>
                <w14:textFill>
                  <w14:solidFill>
                    <w14:schemeClr w14:val="tx1"/>
                  </w14:solidFill>
                </w14:textFill>
              </w:rPr>
              <w:t xml:space="preserve">  项目</w:t>
            </w:r>
            <w:r>
              <w:rPr>
                <w:rFonts w:hint="eastAsia" w:ascii="Times New Roman" w:hAnsi="Times New Roman"/>
                <w:b/>
                <w:color w:val="000000" w:themeColor="text1"/>
                <w:highlight w:val="none"/>
                <w14:textFill>
                  <w14:solidFill>
                    <w14:schemeClr w14:val="tx1"/>
                  </w14:solidFill>
                </w14:textFill>
              </w:rPr>
              <w:t>工程组成</w:t>
            </w:r>
            <w:r>
              <w:rPr>
                <w:rFonts w:ascii="Times New Roman" w:hAnsi="Times New Roman"/>
                <w:b/>
                <w:color w:val="000000" w:themeColor="text1"/>
                <w:highlight w:val="none"/>
                <w14:textFill>
                  <w14:solidFill>
                    <w14:schemeClr w14:val="tx1"/>
                  </w14:solidFill>
                </w14:textFill>
              </w:rPr>
              <w:t>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239"/>
              <w:gridCol w:w="1137"/>
              <w:gridCol w:w="5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1421" w:type="pct"/>
                  <w:gridSpan w:val="2"/>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项目名称</w:t>
                  </w:r>
                </w:p>
              </w:tc>
              <w:tc>
                <w:tcPr>
                  <w:tcW w:w="3578"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全部建成后工程内容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41" w:type="pct"/>
                  <w:vMerge w:val="restar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主体工程</w:t>
                  </w:r>
                </w:p>
                <w:p>
                  <w:pPr>
                    <w:pStyle w:val="95"/>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（1号厂房）</w:t>
                  </w:r>
                </w:p>
              </w:tc>
              <w:tc>
                <w:tcPr>
                  <w:tcW w:w="68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1楼</w:t>
                  </w:r>
                </w:p>
              </w:tc>
              <w:tc>
                <w:tcPr>
                  <w:tcW w:w="3578" w:type="pct"/>
                  <w:vAlign w:val="center"/>
                </w:tcPr>
                <w:p>
                  <w:pPr>
                    <w:pStyle w:val="98"/>
                    <w:spacing w:line="240" w:lineRule="auto"/>
                    <w:ind w:firstLine="0" w:firstLineChars="0"/>
                    <w:jc w:val="both"/>
                    <w:rPr>
                      <w:rFonts w:hint="eastAsia" w:eastAsia="宋体"/>
                      <w:color w:val="000000" w:themeColor="text1"/>
                      <w:kern w:val="2"/>
                      <w:highlight w:val="none"/>
                      <w:lang w:eastAsia="zh-CN"/>
                      <w14:textFill>
                        <w14:solidFill>
                          <w14:schemeClr w14:val="tx1"/>
                        </w14:solidFill>
                      </w14:textFill>
                    </w:rPr>
                  </w:pPr>
                  <w:r>
                    <w:rPr>
                      <w:rFonts w:hint="eastAsia"/>
                      <w:color w:val="000000" w:themeColor="text1"/>
                      <w:kern w:val="2"/>
                      <w:highlight w:val="none"/>
                      <w14:textFill>
                        <w14:solidFill>
                          <w14:schemeClr w14:val="tx1"/>
                        </w14:solidFill>
                      </w14:textFill>
                    </w:rPr>
                    <w:t>1F主要设智能数控加工区</w:t>
                  </w:r>
                  <w:r>
                    <w:rPr>
                      <w:rFonts w:hint="eastAsia"/>
                      <w:color w:val="000000" w:themeColor="text1"/>
                      <w:kern w:val="2"/>
                      <w:highlight w:val="none"/>
                      <w:lang w:eastAsia="zh-CN"/>
                      <w14:textFill>
                        <w14:solidFill>
                          <w14:schemeClr w14:val="tx1"/>
                        </w14:solidFill>
                      </w14:textFill>
                    </w:rPr>
                    <w:t>、封边区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3楼</w:t>
                  </w:r>
                </w:p>
              </w:tc>
              <w:tc>
                <w:tcPr>
                  <w:tcW w:w="3578" w:type="pct"/>
                  <w:vAlign w:val="center"/>
                </w:tcPr>
                <w:p>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3F主要设打磨区、喷漆区及烘干区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41" w:type="pct"/>
                  <w:vMerge w:val="restart"/>
                  <w:vAlign w:val="center"/>
                </w:tcPr>
                <w:p>
                  <w:pPr>
                    <w:pStyle w:val="95"/>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辅助</w:t>
                  </w:r>
                  <w:r>
                    <w:rPr>
                      <w:rFonts w:eastAsia="宋体"/>
                      <w:color w:val="000000" w:themeColor="text1"/>
                      <w:highlight w:val="none"/>
                      <w14:textFill>
                        <w14:solidFill>
                          <w14:schemeClr w14:val="tx1"/>
                        </w14:solidFill>
                      </w14:textFill>
                    </w:rPr>
                    <w:t>工程</w:t>
                  </w:r>
                </w:p>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公用工程</w:t>
                  </w:r>
                </w:p>
              </w:tc>
              <w:tc>
                <w:tcPr>
                  <w:tcW w:w="68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成品仓库</w:t>
                  </w:r>
                </w:p>
              </w:tc>
              <w:tc>
                <w:tcPr>
                  <w:tcW w:w="3578" w:type="pct"/>
                  <w:vAlign w:val="center"/>
                </w:tcPr>
                <w:p>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位于3F西侧成品区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原料仓库</w:t>
                  </w:r>
                </w:p>
              </w:tc>
              <w:tc>
                <w:tcPr>
                  <w:tcW w:w="3578" w:type="pct"/>
                  <w:vAlign w:val="center"/>
                </w:tcPr>
                <w:p>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位于1F西侧板材备料区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危废仓库</w:t>
                  </w:r>
                </w:p>
              </w:tc>
              <w:tc>
                <w:tcPr>
                  <w:tcW w:w="3578" w:type="pct"/>
                  <w:vAlign w:val="center"/>
                </w:tcPr>
                <w:p>
                  <w:pPr>
                    <w:pStyle w:val="98"/>
                    <w:spacing w:line="240" w:lineRule="auto"/>
                    <w:ind w:firstLine="0" w:firstLineChars="0"/>
                    <w:jc w:val="both"/>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位于1F厂房外西侧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4"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供电系统</w:t>
                  </w:r>
                </w:p>
              </w:tc>
              <w:tc>
                <w:tcPr>
                  <w:tcW w:w="3578" w:type="pct"/>
                  <w:vAlign w:val="center"/>
                </w:tcPr>
                <w:p>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现有供电系统，接市政供电系统</w:t>
                  </w:r>
                  <w:r>
                    <w:rPr>
                      <w:rFonts w:hint="eastAsia"/>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7"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给水系统</w:t>
                  </w:r>
                </w:p>
              </w:tc>
              <w:tc>
                <w:tcPr>
                  <w:tcW w:w="3578" w:type="pct"/>
                  <w:vAlign w:val="center"/>
                </w:tcPr>
                <w:p>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w:t>
                  </w:r>
                  <w:r>
                    <w:rPr>
                      <w:rFonts w:hint="eastAsia"/>
                      <w:color w:val="000000" w:themeColor="text1"/>
                      <w:szCs w:val="21"/>
                      <w:highlight w:val="none"/>
                      <w14:textFill>
                        <w14:solidFill>
                          <w14:schemeClr w14:val="tx1"/>
                        </w14:solidFill>
                      </w14:textFill>
                    </w:rPr>
                    <w:t>给水</w:t>
                  </w:r>
                  <w:r>
                    <w:rPr>
                      <w:color w:val="000000" w:themeColor="text1"/>
                      <w:szCs w:val="21"/>
                      <w:highlight w:val="none"/>
                      <w14:textFill>
                        <w14:solidFill>
                          <w14:schemeClr w14:val="tx1"/>
                        </w14:solidFill>
                      </w14:textFill>
                    </w:rPr>
                    <w:t>系统，市政供水管网统一提供</w:t>
                  </w:r>
                  <w:r>
                    <w:rPr>
                      <w:rFonts w:hint="eastAsia"/>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排水系统</w:t>
                  </w:r>
                </w:p>
              </w:tc>
              <w:tc>
                <w:tcPr>
                  <w:tcW w:w="3578" w:type="pct"/>
                  <w:vAlign w:val="center"/>
                </w:tcPr>
                <w:p>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依托厂区</w:t>
                  </w:r>
                  <w:r>
                    <w:rPr>
                      <w:color w:val="000000" w:themeColor="text1"/>
                      <w:szCs w:val="21"/>
                      <w:highlight w:val="none"/>
                      <w14:textFill>
                        <w14:solidFill>
                          <w14:schemeClr w14:val="tx1"/>
                        </w14:solidFill>
                      </w14:textFill>
                    </w:rPr>
                    <w:t>现有排水系统，</w:t>
                  </w:r>
                  <w:r>
                    <w:rPr>
                      <w:rFonts w:hint="eastAsia"/>
                      <w:color w:val="000000" w:themeColor="text1"/>
                      <w:szCs w:val="21"/>
                      <w:highlight w:val="none"/>
                      <w14:textFill>
                        <w14:solidFill>
                          <w14:schemeClr w14:val="tx1"/>
                        </w14:solidFill>
                      </w14:textFill>
                    </w:rPr>
                    <w:t>采用“雨污分流、清污分流”；</w:t>
                  </w:r>
                  <w:r>
                    <w:rPr>
                      <w:color w:val="000000" w:themeColor="text1"/>
                      <w:highlight w:val="none"/>
                      <w14:textFill>
                        <w14:solidFill>
                          <w14:schemeClr w14:val="tx1"/>
                        </w14:solidFill>
                      </w14:textFill>
                    </w:rPr>
                    <w:t>生活污水经出租方已建的化粪池处理达标后接入市政管网</w:t>
                  </w:r>
                  <w:r>
                    <w:rPr>
                      <w:rFonts w:hint="eastAsia"/>
                      <w:color w:val="000000" w:themeColor="text1"/>
                      <w:highlight w:val="none"/>
                      <w14:textFill>
                        <w14:solidFill>
                          <w14:schemeClr w14:val="tx1"/>
                        </w14:solidFill>
                      </w14:textFill>
                    </w:rPr>
                    <w:t>。最终排入福清市融元</w:t>
                  </w:r>
                  <w:r>
                    <w:rPr>
                      <w:color w:val="000000" w:themeColor="text1"/>
                      <w:highlight w:val="none"/>
                      <w14:textFill>
                        <w14:solidFill>
                          <w14:schemeClr w14:val="tx1"/>
                        </w14:solidFill>
                      </w14:textFill>
                    </w:rPr>
                    <w:t>污水处理厂</w:t>
                  </w:r>
                  <w:r>
                    <w:rPr>
                      <w:rFonts w:hint="eastAsia"/>
                      <w:color w:val="000000" w:themeColor="text1"/>
                      <w:highlight w:val="none"/>
                      <w14:textFill>
                        <w14:solidFill>
                          <w14:schemeClr w14:val="tx1"/>
                        </w14:solidFill>
                      </w14:textFill>
                    </w:rPr>
                    <w:t>处理</w:t>
                  </w:r>
                  <w:r>
                    <w:rPr>
                      <w:rFonts w:hint="eastAsia"/>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741" w:type="pct"/>
                  <w:vMerge w:val="restar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环保工程</w:t>
                  </w: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废水处理</w:t>
                  </w:r>
                </w:p>
              </w:tc>
              <w:tc>
                <w:tcPr>
                  <w:tcW w:w="3578" w:type="pct"/>
                  <w:vAlign w:val="center"/>
                </w:tcPr>
                <w:p>
                  <w:pPr>
                    <w:pStyle w:val="95"/>
                    <w:jc w:val="both"/>
                    <w:rPr>
                      <w:rFonts w:eastAsia="宋体"/>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项目喷漆水帘柜废水、打磨房喷淋废水、喷淋塔废水经项目配套废水处理设施（混凝压滤）处理后循环使用，不外排；</w:t>
                  </w:r>
                  <w:r>
                    <w:rPr>
                      <w:color w:val="000000" w:themeColor="text1"/>
                      <w:highlight w:val="none"/>
                      <w14:textFill>
                        <w14:solidFill>
                          <w14:schemeClr w14:val="tx1"/>
                        </w14:solidFill>
                      </w14:textFill>
                    </w:rPr>
                    <w:t>生活污水经</w:t>
                  </w:r>
                  <w:r>
                    <w:rPr>
                      <w:rFonts w:hint="eastAsia"/>
                      <w:color w:val="000000" w:themeColor="text1"/>
                      <w:highlight w:val="none"/>
                      <w14:textFill>
                        <w14:solidFill>
                          <w14:schemeClr w14:val="tx1"/>
                        </w14:solidFill>
                      </w14:textFill>
                    </w:rPr>
                    <w:t>厂区</w:t>
                  </w:r>
                  <w:r>
                    <w:rPr>
                      <w:color w:val="000000" w:themeColor="text1"/>
                      <w:highlight w:val="none"/>
                      <w14:textFill>
                        <w14:solidFill>
                          <w14:schemeClr w14:val="tx1"/>
                        </w14:solidFill>
                      </w14:textFill>
                    </w:rPr>
                    <w:t>已建的化粪池</w:t>
                  </w:r>
                  <w:r>
                    <w:rPr>
                      <w:rFonts w:hint="eastAsia"/>
                      <w:color w:val="000000" w:themeColor="text1"/>
                      <w:highlight w:val="none"/>
                      <w14:textFill>
                        <w14:solidFill>
                          <w14:schemeClr w14:val="tx1"/>
                        </w14:solidFill>
                      </w14:textFill>
                    </w:rPr>
                    <w:t>预</w:t>
                  </w:r>
                  <w:r>
                    <w:rPr>
                      <w:color w:val="000000" w:themeColor="text1"/>
                      <w:highlight w:val="none"/>
                      <w14:textFill>
                        <w14:solidFill>
                          <w14:schemeClr w14:val="tx1"/>
                        </w14:solidFill>
                      </w14:textFill>
                    </w:rPr>
                    <w:t>处理达标后接入市政管网</w:t>
                  </w:r>
                  <w:r>
                    <w:rPr>
                      <w:rFonts w:hint="eastAsia"/>
                      <w:color w:val="000000" w:themeColor="text1"/>
                      <w:highlight w:val="none"/>
                      <w14:textFill>
                        <w14:solidFill>
                          <w14:schemeClr w14:val="tx1"/>
                        </w14:solidFill>
                      </w14:textFill>
                    </w:rPr>
                    <w:t>，最终排入福清市融元</w:t>
                  </w:r>
                  <w:r>
                    <w:rPr>
                      <w:color w:val="000000" w:themeColor="text1"/>
                      <w:highlight w:val="none"/>
                      <w14:textFill>
                        <w14:solidFill>
                          <w14:schemeClr w14:val="tx1"/>
                        </w14:solidFill>
                      </w14:textFill>
                    </w:rPr>
                    <w:t>污水处理厂</w:t>
                  </w:r>
                  <w:r>
                    <w:rPr>
                      <w:rFonts w:hint="eastAsia"/>
                      <w:color w:val="000000" w:themeColor="text1"/>
                      <w:highlight w:val="none"/>
                      <w14:textFill>
                        <w14:solidFill>
                          <w14:schemeClr w14:val="tx1"/>
                        </w14:solidFill>
                      </w14:textFill>
                    </w:rPr>
                    <w:t>处理</w:t>
                  </w:r>
                  <w:r>
                    <w:rPr>
                      <w:rFonts w:hint="eastAsia" w:eastAsia="宋体"/>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废气处理</w:t>
                  </w:r>
                </w:p>
              </w:tc>
              <w:tc>
                <w:tcPr>
                  <w:tcW w:w="3578" w:type="pct"/>
                  <w:vAlign w:val="center"/>
                </w:tcPr>
                <w:p>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1、木工区废气：</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拟在1F精锯、砂光等产生粉尘颗粒物的设备上方及3F砂光设备上方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集中收集的木工加工废气通过1套中央除尘器（布袋除尘设施）处理后有组织排放，通过1根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p>
                <w:p>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2、调漆喷漆及烘干工序有机废气：项目拟设置相对独立的调漆喷漆及烘干区域，调漆喷漆废气经水帘柜除漆雾后，同烘干工序有机废气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DA002</w:t>
                  </w:r>
                  <w:r>
                    <w:rPr>
                      <w:color w:val="000000" w:themeColor="text1"/>
                      <w:highlight w:val="none"/>
                      <w14:textFill>
                        <w14:solidFill>
                          <w14:schemeClr w14:val="tx1"/>
                        </w14:solidFill>
                      </w14:textFill>
                    </w:rPr>
                    <w:t>）排放</w:t>
                  </w:r>
                  <w:r>
                    <w:rPr>
                      <w:rFonts w:hint="eastAsia"/>
                      <w:color w:val="000000" w:themeColor="text1"/>
                      <w:highlight w:val="none"/>
                      <w14:textFill>
                        <w14:solidFill>
                          <w14:schemeClr w14:val="tx1"/>
                        </w14:solidFill>
                      </w14:textFill>
                    </w:rPr>
                    <w:t>。</w:t>
                  </w:r>
                </w:p>
                <w:p>
                  <w:pPr>
                    <w:pStyle w:val="95"/>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3、打磨区废气：项目拟设置环保喷淋打磨房，打磨粉尘经密闭打磨房内水除尘系统除尘后在密闭空间内无组织排放。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噪声治理</w:t>
                  </w:r>
                </w:p>
              </w:tc>
              <w:tc>
                <w:tcPr>
                  <w:tcW w:w="3578" w:type="pct"/>
                  <w:vAlign w:val="center"/>
                </w:tcPr>
                <w:p>
                  <w:pPr>
                    <w:pStyle w:val="95"/>
                    <w:jc w:val="both"/>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选用低噪声设备，设置减振基础、采取车间隔声等降噪措施</w:t>
                  </w:r>
                  <w:r>
                    <w:rPr>
                      <w:rFonts w:hint="eastAsia" w:eastAsia="宋体"/>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22" w:hRule="atLeast"/>
                <w:jc w:val="center"/>
              </w:trPr>
              <w:tc>
                <w:tcPr>
                  <w:tcW w:w="741" w:type="pct"/>
                  <w:vMerge w:val="continue"/>
                  <w:vAlign w:val="center"/>
                </w:tcPr>
                <w:p>
                  <w:pPr>
                    <w:pStyle w:val="95"/>
                    <w:rPr>
                      <w:rFonts w:eastAsia="宋体"/>
                      <w:color w:val="000000" w:themeColor="text1"/>
                      <w:highlight w:val="none"/>
                      <w14:textFill>
                        <w14:solidFill>
                          <w14:schemeClr w14:val="tx1"/>
                        </w14:solidFill>
                      </w14:textFill>
                    </w:rPr>
                  </w:pPr>
                </w:p>
              </w:tc>
              <w:tc>
                <w:tcPr>
                  <w:tcW w:w="680" w:type="pct"/>
                  <w:vAlign w:val="center"/>
                </w:tcPr>
                <w:p>
                  <w:pPr>
                    <w:pStyle w:val="95"/>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固废处理</w:t>
                  </w:r>
                </w:p>
              </w:tc>
              <w:tc>
                <w:tcPr>
                  <w:tcW w:w="3578" w:type="pct"/>
                  <w:vAlign w:val="center"/>
                </w:tcPr>
                <w:p>
                  <w:pPr>
                    <w:pStyle w:val="95"/>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1</w:t>
                  </w:r>
                  <w:r>
                    <w:rPr>
                      <w:rFonts w:eastAsia="宋体"/>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工业固废：厂内设固废暂存间、危废暂存间，一般固废经收集后外售给相关企业，危废委托有资质的单位进行处置。</w:t>
                  </w:r>
                </w:p>
                <w:p>
                  <w:pPr>
                    <w:pStyle w:val="95"/>
                    <w:jc w:val="both"/>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2</w:t>
                  </w:r>
                  <w:r>
                    <w:rPr>
                      <w:rFonts w:eastAsia="宋体"/>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生活</w:t>
                  </w:r>
                  <w:r>
                    <w:rPr>
                      <w:rFonts w:eastAsia="宋体"/>
                      <w:color w:val="000000" w:themeColor="text1"/>
                      <w:highlight w:val="none"/>
                      <w14:textFill>
                        <w14:solidFill>
                          <w14:schemeClr w14:val="tx1"/>
                        </w14:solidFill>
                      </w14:textFill>
                    </w:rPr>
                    <w:t>垃圾：厂区</w:t>
                  </w:r>
                  <w:r>
                    <w:rPr>
                      <w:rFonts w:hint="eastAsia" w:eastAsia="宋体"/>
                      <w:color w:val="000000" w:themeColor="text1"/>
                      <w:highlight w:val="none"/>
                      <w14:textFill>
                        <w14:solidFill>
                          <w14:schemeClr w14:val="tx1"/>
                        </w14:solidFill>
                      </w14:textFill>
                    </w:rPr>
                    <w:t>内</w:t>
                  </w:r>
                  <w:r>
                    <w:rPr>
                      <w:rFonts w:eastAsia="宋体"/>
                      <w:color w:val="000000" w:themeColor="text1"/>
                      <w:highlight w:val="none"/>
                      <w14:textFill>
                        <w14:solidFill>
                          <w14:schemeClr w14:val="tx1"/>
                        </w14:solidFill>
                      </w14:textFill>
                    </w:rPr>
                    <w:t>设置垃圾收集桶，生活垃圾收集后由环卫部门每日统一清运</w:t>
                  </w:r>
                  <w:r>
                    <w:rPr>
                      <w:rFonts w:hint="eastAsia" w:eastAsia="宋体"/>
                      <w:color w:val="000000" w:themeColor="text1"/>
                      <w:highlight w:val="none"/>
                      <w14:textFill>
                        <w14:solidFill>
                          <w14:schemeClr w14:val="tx1"/>
                        </w14:solidFill>
                      </w14:textFill>
                    </w:rPr>
                    <w:t>、</w:t>
                  </w:r>
                  <w:r>
                    <w:rPr>
                      <w:rFonts w:eastAsia="宋体"/>
                      <w:color w:val="000000" w:themeColor="text1"/>
                      <w:highlight w:val="none"/>
                      <w14:textFill>
                        <w14:solidFill>
                          <w14:schemeClr w14:val="tx1"/>
                        </w14:solidFill>
                      </w14:textFill>
                    </w:rPr>
                    <w:t>处置</w:t>
                  </w:r>
                  <w:r>
                    <w:rPr>
                      <w:rFonts w:hint="eastAsia" w:eastAsia="宋体"/>
                      <w:color w:val="000000" w:themeColor="text1"/>
                      <w:highlight w:val="none"/>
                      <w14:textFill>
                        <w14:solidFill>
                          <w14:schemeClr w14:val="tx1"/>
                        </w14:solidFill>
                      </w14:textFill>
                    </w:rPr>
                    <w:t>。</w:t>
                  </w:r>
                </w:p>
              </w:tc>
            </w:tr>
          </w:tbl>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4项目</w:t>
            </w:r>
            <w:r>
              <w:rPr>
                <w:b/>
                <w:color w:val="000000" w:themeColor="text1"/>
                <w:sz w:val="30"/>
                <w:szCs w:val="30"/>
                <w:highlight w:val="none"/>
                <w14:textFill>
                  <w14:solidFill>
                    <w14:schemeClr w14:val="tx1"/>
                  </w14:solidFill>
                </w14:textFill>
              </w:rPr>
              <w:t>主要原辅材料</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设计规模为年产木质家具1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万套，运营过程中主要原辅材料及能源消耗情况如下：</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（1）主要</w:t>
            </w:r>
            <w:r>
              <w:rPr>
                <w:color w:val="000000" w:themeColor="text1"/>
                <w:highlight w:val="none"/>
                <w14:textFill>
                  <w14:solidFill>
                    <w14:schemeClr w14:val="tx1"/>
                  </w14:solidFill>
                </w14:textFill>
              </w:rPr>
              <w:t>原辅材料及能源消耗</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eastAsia="zh-CN"/>
                <w14:textFill>
                  <w14:solidFill>
                    <w14:schemeClr w14:val="tx1"/>
                  </w14:solidFill>
                </w14:textFill>
              </w:rPr>
              <w:t>项目扩建后</w:t>
            </w:r>
            <w:r>
              <w:rPr>
                <w:color w:val="000000" w:themeColor="text1"/>
                <w:highlight w:val="none"/>
                <w14:textFill>
                  <w14:solidFill>
                    <w14:schemeClr w14:val="tx1"/>
                  </w14:solidFill>
                </w14:textFill>
              </w:rPr>
              <w:t>职工共</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人，</w:t>
            </w:r>
            <w:r>
              <w:rPr>
                <w:rFonts w:hint="eastAsia"/>
                <w:color w:val="000000" w:themeColor="text1"/>
                <w:highlight w:val="none"/>
                <w14:textFill>
                  <w14:solidFill>
                    <w14:schemeClr w14:val="tx1"/>
                  </w14:solidFill>
                </w14:textFill>
              </w:rPr>
              <w:t>均</w:t>
            </w:r>
            <w:r>
              <w:rPr>
                <w:color w:val="000000" w:themeColor="text1"/>
                <w:highlight w:val="none"/>
                <w14:textFill>
                  <w14:solidFill>
                    <w14:schemeClr w14:val="tx1"/>
                  </w14:solidFill>
                </w14:textFill>
              </w:rPr>
              <w:t>不在厂区内</w:t>
            </w:r>
            <w:r>
              <w:rPr>
                <w:rFonts w:hint="eastAsia"/>
                <w:color w:val="000000" w:themeColor="text1"/>
                <w:highlight w:val="none"/>
                <w14:textFill>
                  <w14:solidFill>
                    <w14:schemeClr w14:val="tx1"/>
                  </w14:solidFill>
                </w14:textFill>
              </w:rPr>
              <w:t>住宿</w:t>
            </w:r>
            <w:r>
              <w:rPr>
                <w:color w:val="000000" w:themeColor="text1"/>
                <w:highlight w:val="none"/>
                <w14:textFill>
                  <w14:solidFill>
                    <w14:schemeClr w14:val="tx1"/>
                  </w14:solidFill>
                </w14:textFill>
              </w:rPr>
              <w:t>，根据《室外排水设计规范》（GBJ14-87），不住厂职工生活用水量取50L/d·人，则用水量为</w:t>
            </w:r>
            <w:r>
              <w:rPr>
                <w:rFonts w:hint="eastAsia"/>
                <w:color w:val="000000" w:themeColor="text1"/>
                <w:highlight w:val="none"/>
                <w14:textFill>
                  <w14:solidFill>
                    <w14:schemeClr w14:val="tx1"/>
                  </w14:solidFill>
                </w14:textFill>
              </w:rPr>
              <w:t>0.3</w:t>
            </w:r>
            <w:r>
              <w:rPr>
                <w:color w:val="000000" w:themeColor="text1"/>
                <w:highlight w:val="none"/>
                <w14:textFill>
                  <w14:solidFill>
                    <w14:schemeClr w14:val="tx1"/>
                  </w14:solidFill>
                </w14:textFill>
              </w:rPr>
              <w:t>t/d，年用水量为</w:t>
            </w:r>
            <w:r>
              <w:rPr>
                <w:rFonts w:hint="eastAsia"/>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t>t（按年运营</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天计）。</w:t>
            </w:r>
            <w:r>
              <w:rPr>
                <w:rFonts w:hint="eastAsia"/>
                <w:color w:val="000000" w:themeColor="text1"/>
                <w:highlight w:val="none"/>
                <w14:textFill>
                  <w14:solidFill>
                    <w14:schemeClr w14:val="tx1"/>
                  </w14:solidFill>
                </w14:textFill>
              </w:rPr>
              <w:t>项目喷漆水帘柜废水、打磨房喷淋废水、喷淋塔废水经项目配套废水处理设施（混凝压滤）处理后循环使用，不外排；废水处理设施循环水池有效容积为2m³，补充用水量按储水量的10%计，则生产循环冷却水补充新鲜水量为52t/a（0.2t/d）</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项目水平衡图件图2.4-1。</w:t>
            </w:r>
          </w:p>
          <w:p>
            <w:pPr>
              <w:pStyle w:val="86"/>
              <w:ind w:left="120" w:hanging="120" w:hangingChars="50"/>
              <w:jc w:val="center"/>
              <w:rPr>
                <w:color w:val="000000" w:themeColor="text1"/>
                <w:highlight w:val="none"/>
                <w14:textFill>
                  <w14:solidFill>
                    <w14:schemeClr w14:val="tx1"/>
                  </w14:solidFill>
                </w14:textFill>
              </w:rPr>
            </w:pPr>
          </w:p>
          <w:p>
            <w:pPr>
              <w:pStyle w:val="86"/>
              <w:ind w:left="120" w:hanging="120" w:hangingChars="5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5" o:spt="75" type="#_x0000_t75" style="height:154.3pt;width:337.5pt;" o:ole="t" filled="f" o:preferrelative="t" stroked="f" coordsize="21600,21600">
                  <v:path/>
                  <v:fill on="f" focussize="0,0"/>
                  <v:stroke on="f"/>
                  <v:imagedata r:id="rId13" o:title=""/>
                  <o:lock v:ext="edit" aspectratio="t"/>
                  <w10:wrap type="none"/>
                  <w10:anchorlock/>
                </v:shape>
                <o:OLEObject Type="Embed" ProgID="Visio.Drawing.11" ShapeID="_x0000_i1025" DrawAspect="Content" ObjectID="_1468075725" r:id="rId12">
                  <o:LockedField>false</o:LockedField>
                </o:OLEObject>
              </w:object>
            </w:r>
          </w:p>
          <w:p>
            <w:pPr>
              <w:pStyle w:val="86"/>
              <w:ind w:left="120" w:hanging="120" w:hangingChars="50"/>
              <w:jc w:val="cente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图2.4-1  </w:t>
            </w:r>
            <w:r>
              <w:rPr>
                <w:rFonts w:hint="eastAsia"/>
                <w:b/>
                <w:bCs/>
                <w:color w:val="000000" w:themeColor="text1"/>
                <w:highlight w:val="none"/>
                <w:lang w:eastAsia="zh-CN"/>
                <w14:textFill>
                  <w14:solidFill>
                    <w14:schemeClr w14:val="tx1"/>
                  </w14:solidFill>
                </w14:textFill>
              </w:rPr>
              <w:t>扩建</w:t>
            </w:r>
            <w:r>
              <w:rPr>
                <w:rFonts w:hint="eastAsia"/>
                <w:b/>
                <w:bCs/>
                <w:color w:val="000000" w:themeColor="text1"/>
                <w:highlight w:val="none"/>
                <w14:textFill>
                  <w14:solidFill>
                    <w14:schemeClr w14:val="tx1"/>
                  </w14:solidFill>
                </w14:textFill>
              </w:rPr>
              <w:t>项目水平衡图（单位：t/a）</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项目主要原辅材料及能源消耗详见表</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pPr>
              <w:pStyle w:val="97"/>
              <w:ind w:firstLine="2" w:firstLineChars="1"/>
              <w:jc w:val="center"/>
              <w:rPr>
                <w:rFonts w:hint="eastAsia"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4</w:t>
            </w:r>
            <w:r>
              <w:rPr>
                <w:rFonts w:ascii="Times New Roman" w:hAnsi="Times New Roman"/>
                <w:b/>
                <w:color w:val="000000" w:themeColor="text1"/>
                <w:highlight w:val="none"/>
                <w14:textFill>
                  <w14:solidFill>
                    <w14:schemeClr w14:val="tx1"/>
                  </w14:solidFill>
                </w14:textFill>
              </w:rPr>
              <w:t>-</w:t>
            </w:r>
            <w:r>
              <w:rPr>
                <w:rFonts w:hint="eastAsia" w:ascii="Times New Roman" w:hAnsi="Times New Roman"/>
                <w:b/>
                <w:color w:val="000000" w:themeColor="text1"/>
                <w:highlight w:val="none"/>
                <w:lang w:val="en-US" w:eastAsia="zh-CN"/>
                <w14:textFill>
                  <w14:solidFill>
                    <w14:schemeClr w14:val="tx1"/>
                  </w14:solidFill>
                </w14:textFill>
              </w:rPr>
              <w:t>1 扩建</w:t>
            </w:r>
            <w:r>
              <w:rPr>
                <w:rFonts w:hint="eastAsia" w:ascii="Times New Roman" w:hAnsi="Times New Roman"/>
                <w:b/>
                <w:color w:val="000000" w:themeColor="text1"/>
                <w:highlight w:val="none"/>
                <w14:textFill>
                  <w14:solidFill>
                    <w14:schemeClr w14:val="tx1"/>
                  </w14:solidFill>
                </w14:textFill>
              </w:rPr>
              <w:t>项目主要</w:t>
            </w:r>
            <w:r>
              <w:rPr>
                <w:rFonts w:ascii="Times New Roman" w:hAnsi="Times New Roman"/>
                <w:b/>
                <w:color w:val="000000" w:themeColor="text1"/>
                <w:highlight w:val="none"/>
                <w14:textFill>
                  <w14:solidFill>
                    <w14:schemeClr w14:val="tx1"/>
                  </w14:solidFill>
                </w14:textFill>
              </w:rPr>
              <w:t>原材料</w:t>
            </w:r>
            <w:r>
              <w:rPr>
                <w:rFonts w:hint="eastAsia" w:ascii="Times New Roman" w:hAnsi="Times New Roman"/>
                <w:b/>
                <w:color w:val="000000" w:themeColor="text1"/>
                <w:highlight w:val="none"/>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能源消耗情况</w:t>
            </w:r>
            <w:r>
              <w:rPr>
                <w:rFonts w:hint="eastAsia" w:ascii="Times New Roman" w:hAnsi="Times New Roman"/>
                <w:b/>
                <w:color w:val="000000" w:themeColor="text1"/>
                <w:highlight w:val="none"/>
                <w14:textFill>
                  <w14:solidFill>
                    <w14:schemeClr w14:val="tx1"/>
                  </w14:solidFill>
                </w14:textFill>
              </w:rPr>
              <w:t>一览表</w:t>
            </w:r>
          </w:p>
          <w:tbl>
            <w:tblPr>
              <w:tblStyle w:val="37"/>
              <w:tblW w:w="4998" w:type="pct"/>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85"/>
              <w:gridCol w:w="1517"/>
              <w:gridCol w:w="1497"/>
              <w:gridCol w:w="1497"/>
              <w:gridCol w:w="736"/>
              <w:gridCol w:w="736"/>
              <w:gridCol w:w="118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材料名称</w:t>
                  </w:r>
                </w:p>
              </w:tc>
              <w:tc>
                <w:tcPr>
                  <w:tcW w:w="907"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扩建前用量</w:t>
                  </w:r>
                </w:p>
              </w:tc>
              <w:tc>
                <w:tcPr>
                  <w:tcW w:w="895"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扩建项目新增量</w:t>
                  </w:r>
                </w:p>
              </w:tc>
              <w:tc>
                <w:tcPr>
                  <w:tcW w:w="895"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扩建后总用量</w:t>
                  </w:r>
                </w:p>
              </w:tc>
              <w:tc>
                <w:tcPr>
                  <w:tcW w:w="440"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物料形态</w:t>
                  </w:r>
                </w:p>
              </w:tc>
              <w:tc>
                <w:tcPr>
                  <w:tcW w:w="440"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包装方式</w:t>
                  </w:r>
                </w:p>
              </w:tc>
              <w:tc>
                <w:tcPr>
                  <w:tcW w:w="71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存放</w:t>
                  </w:r>
                </w:p>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位置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多层板</w:t>
                  </w:r>
                </w:p>
              </w:tc>
              <w:tc>
                <w:tcPr>
                  <w:tcW w:w="907"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88" w:type="dxa"/>
                  <w:tcBorders>
                    <w:tl2br w:val="nil"/>
                    <w:tr2bl w:val="nil"/>
                  </w:tcBorders>
                  <w:noWrap w:val="0"/>
                  <w:tcMar>
                    <w:left w:w="0" w:type="dxa"/>
                    <w:right w:w="0" w:type="dxa"/>
                  </w:tcMar>
                  <w:vAlign w:val="center"/>
                </w:tcPr>
                <w:p>
                  <w:pPr>
                    <w:pStyle w:val="95"/>
                    <w:textAlignment w:val="center"/>
                    <w:rPr>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欧松板</w:t>
                  </w:r>
                </w:p>
              </w:tc>
              <w:tc>
                <w:tcPr>
                  <w:tcW w:w="907"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原木板材</w:t>
                  </w:r>
                </w:p>
              </w:tc>
              <w:tc>
                <w:tcPr>
                  <w:tcW w:w="907"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备料区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9" w:hRule="atLeast"/>
              </w:trPr>
              <w:tc>
                <w:tcPr>
                  <w:tcW w:w="709"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封边带</w:t>
                  </w:r>
                </w:p>
              </w:tc>
              <w:tc>
                <w:tcPr>
                  <w:tcW w:w="907"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09"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PUR封边胶</w:t>
                  </w:r>
                </w:p>
              </w:tc>
              <w:tc>
                <w:tcPr>
                  <w:tcW w:w="907"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水性色漆</w:t>
                  </w:r>
                </w:p>
              </w:tc>
              <w:tc>
                <w:tcPr>
                  <w:tcW w:w="907"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w:t>
                  </w:r>
                </w:p>
              </w:tc>
              <w:tc>
                <w:tcPr>
                  <w:tcW w:w="907" w:type="pct"/>
                  <w:tcBorders>
                    <w:tl2br w:val="nil"/>
                    <w:tr2bl w:val="nil"/>
                  </w:tcBorders>
                  <w:noWrap w:val="0"/>
                  <w:tcMar>
                    <w:left w:w="0" w:type="dxa"/>
                    <w:right w:w="0" w:type="dxa"/>
                  </w:tcMar>
                  <w:vAlign w:val="center"/>
                </w:tcPr>
                <w:p>
                  <w:pPr>
                    <w:pStyle w:val="19"/>
                    <w:ind w:firstLine="0" w:firstLineChars="0"/>
                    <w:jc w:val="center"/>
                    <w:rPr>
                      <w:rFonts w:hint="eastAsia" w:ascii="Times New Roman" w:hAnsi="Times New Roman"/>
                      <w:color w:val="000000" w:themeColor="text1"/>
                      <w:szCs w:val="2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ascii="Times New Roman" w:hAnsi="Times New Roman"/>
                      <w:color w:val="000000" w:themeColor="text1"/>
                      <w:szCs w:val="2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color w:val="000000" w:themeColor="text1"/>
                      <w:highlight w:val="none"/>
                      <w14:textFill>
                        <w14:solidFill>
                          <w14:schemeClr w14:val="tx1"/>
                        </w14:solidFill>
                      </w14:textFill>
                    </w:rPr>
                  </w:pPr>
                </w:p>
              </w:tc>
              <w:tc>
                <w:tcPr>
                  <w:tcW w:w="440" w:type="pct"/>
                  <w:tcBorders>
                    <w:tl2br w:val="nil"/>
                    <w:tr2bl w:val="nil"/>
                  </w:tcBorders>
                  <w:shd w:val="clear" w:color="auto" w:fill="auto"/>
                  <w:noWrap w:val="0"/>
                  <w:tcMar>
                    <w:left w:w="0" w:type="dxa"/>
                    <w:right w:w="0" w:type="dxa"/>
                  </w:tcMar>
                  <w:vAlign w:val="center"/>
                </w:tcPr>
                <w:p>
                  <w:pPr>
                    <w:pStyle w:val="331"/>
                    <w:rPr>
                      <w:rFonts w:hint="eastAsia" w:ascii="Times New Roman" w:hAnsi="Times New Roman" w:eastAsia="宋体" w:cs="Times New Roman"/>
                      <w:iCs/>
                      <w:color w:val="000000" w:themeColor="text1"/>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shd w:val="clear" w:color="auto" w:fill="auto"/>
                  <w:noWrap w:val="0"/>
                  <w:tcMar>
                    <w:left w:w="0" w:type="dxa"/>
                    <w:right w:w="0" w:type="dxa"/>
                  </w:tcMar>
                  <w:vAlign w:val="center"/>
                </w:tcPr>
                <w:p>
                  <w:pPr>
                    <w:pStyle w:val="331"/>
                    <w:rPr>
                      <w:rFonts w:hint="eastAsia" w:ascii="Times New Roman" w:hAnsi="Times New Roman" w:eastAsia="宋体" w:cs="Times New Roman"/>
                      <w:iCs/>
                      <w:color w:val="000000" w:themeColor="text1"/>
                      <w:sz w:val="21"/>
                      <w:szCs w:val="24"/>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聚氨酯清漆稀释剂</w:t>
                  </w:r>
                </w:p>
              </w:tc>
              <w:tc>
                <w:tcPr>
                  <w:tcW w:w="907"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聚氨酯清漆固化剂</w:t>
                  </w:r>
                </w:p>
              </w:tc>
              <w:tc>
                <w:tcPr>
                  <w:tcW w:w="907"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19"/>
                    <w:ind w:firstLine="0" w:firstLineChars="0"/>
                    <w:jc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液态</w:t>
                  </w:r>
                </w:p>
              </w:tc>
              <w:tc>
                <w:tcPr>
                  <w:tcW w:w="440" w:type="pct"/>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桶装</w:t>
                  </w:r>
                </w:p>
              </w:tc>
              <w:tc>
                <w:tcPr>
                  <w:tcW w:w="1188" w:type="dxa"/>
                  <w:tcBorders>
                    <w:tl2br w:val="nil"/>
                    <w:tr2bl w:val="nil"/>
                  </w:tcBorders>
                  <w:noWrap w:val="0"/>
                  <w:tcMar>
                    <w:left w:w="0" w:type="dxa"/>
                    <w:right w:w="0" w:type="dxa"/>
                  </w:tcMar>
                  <w:vAlign w:val="center"/>
                </w:tcPr>
                <w:p>
                  <w:pPr>
                    <w:pStyle w:val="95"/>
                    <w:textAlignment w:val="center"/>
                    <w:rPr>
                      <w:rFonts w:hint="eastAsia"/>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原料仓库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水</w:t>
                  </w:r>
                </w:p>
              </w:tc>
              <w:tc>
                <w:tcPr>
                  <w:tcW w:w="907"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95"/>
                    <w:textAlignment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440" w:type="pct"/>
                  <w:tcBorders>
                    <w:tl2br w:val="nil"/>
                    <w:tr2bl w:val="nil"/>
                  </w:tcBorders>
                  <w:noWrap w:val="0"/>
                  <w:tcMar>
                    <w:left w:w="0" w:type="dxa"/>
                    <w:right w:w="0" w:type="dxa"/>
                  </w:tcMar>
                  <w:vAlign w:val="center"/>
                </w:tcPr>
                <w:p>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10" w:type="pct"/>
                  <w:vMerge w:val="restart"/>
                  <w:tcBorders>
                    <w:tl2br w:val="nil"/>
                    <w:tr2bl w:val="nil"/>
                  </w:tcBorders>
                  <w:noWrap w:val="0"/>
                  <w:tcMar>
                    <w:left w:w="0" w:type="dxa"/>
                    <w:right w:w="0" w:type="dxa"/>
                  </w:tcMar>
                  <w:vAlign w:val="center"/>
                </w:tcPr>
                <w:p>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09"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电</w:t>
                  </w:r>
                </w:p>
              </w:tc>
              <w:tc>
                <w:tcPr>
                  <w:tcW w:w="907"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95" w:type="pct"/>
                  <w:tcBorders>
                    <w:tl2br w:val="nil"/>
                    <w:tr2bl w:val="nil"/>
                  </w:tcBorders>
                  <w:noWrap w:val="0"/>
                  <w:tcMar>
                    <w:left w:w="0" w:type="dxa"/>
                    <w:right w:w="0" w:type="dxa"/>
                  </w:tcMar>
                  <w:vAlign w:val="center"/>
                </w:tcPr>
                <w:p>
                  <w:pPr>
                    <w:pStyle w:val="95"/>
                    <w:textAlignment w:val="center"/>
                    <w:rPr>
                      <w:rFonts w:hint="eastAsia" w:ascii="Times New Roman" w:hAnsi="Times New Roman" w:eastAsia="宋体" w:cs="Times New Roman"/>
                      <w:color w:val="000000" w:themeColor="text1"/>
                      <w:highlight w:val="none"/>
                      <w14:textFill>
                        <w14:solidFill>
                          <w14:schemeClr w14:val="tx1"/>
                        </w14:solidFill>
                      </w14:textFill>
                    </w:rPr>
                  </w:pPr>
                </w:p>
              </w:tc>
              <w:tc>
                <w:tcPr>
                  <w:tcW w:w="440" w:type="pct"/>
                  <w:tcBorders>
                    <w:tl2br w:val="nil"/>
                    <w:tr2bl w:val="nil"/>
                  </w:tcBorders>
                  <w:noWrap w:val="0"/>
                  <w:tcMar>
                    <w:left w:w="0" w:type="dxa"/>
                    <w:right w:w="0" w:type="dxa"/>
                  </w:tcMar>
                  <w:vAlign w:val="center"/>
                </w:tcPr>
                <w:p>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440" w:type="pct"/>
                  <w:tcBorders>
                    <w:tl2br w:val="nil"/>
                    <w:tr2bl w:val="nil"/>
                  </w:tcBorders>
                  <w:noWrap w:val="0"/>
                  <w:tcMar>
                    <w:left w:w="0" w:type="dxa"/>
                    <w:right w:w="0" w:type="dxa"/>
                  </w:tcMar>
                  <w:vAlign w:val="center"/>
                </w:tcPr>
                <w:p>
                  <w:pPr>
                    <w:pStyle w:val="331"/>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710" w:type="pct"/>
                  <w:vMerge w:val="continue"/>
                  <w:tcBorders>
                    <w:tl2br w:val="nil"/>
                    <w:tr2bl w:val="nil"/>
                  </w:tcBorders>
                  <w:noWrap w:val="0"/>
                  <w:tcMar>
                    <w:left w:w="0" w:type="dxa"/>
                    <w:right w:w="0" w:type="dxa"/>
                  </w:tcMar>
                  <w:vAlign w:val="center"/>
                </w:tcPr>
                <w:p>
                  <w:pPr>
                    <w:pStyle w:val="331"/>
                    <w:rPr>
                      <w:rFonts w:hint="eastAsia"/>
                      <w:color w:val="000000" w:themeColor="text1"/>
                      <w:highlight w:val="none"/>
                      <w14:textFill>
                        <w14:solidFill>
                          <w14:schemeClr w14:val="tx1"/>
                        </w14:solidFill>
                      </w14:textFill>
                    </w:rPr>
                  </w:pPr>
                </w:p>
              </w:tc>
            </w:tr>
          </w:tbl>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（2）主要</w:t>
            </w:r>
            <w:r>
              <w:rPr>
                <w:color w:val="000000" w:themeColor="text1"/>
                <w:highlight w:val="none"/>
                <w14:textFill>
                  <w14:solidFill>
                    <w14:schemeClr w14:val="tx1"/>
                  </w14:solidFill>
                </w14:textFill>
              </w:rPr>
              <w:t>原辅材料成分及理化性质</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项目使用的原料主要组成成分详见表2.4-</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pPr>
              <w:pStyle w:val="180"/>
              <w:ind w:firstLine="482"/>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表2.4-</w:t>
            </w:r>
            <w:r>
              <w:rPr>
                <w:rFonts w:hint="eastAsia"/>
                <w:b/>
                <w:color w:val="000000" w:themeColor="text1"/>
                <w:highlight w:val="none"/>
                <w:lang w:val="en-US" w:eastAsia="zh-CN"/>
                <w14:textFill>
                  <w14:solidFill>
                    <w14:schemeClr w14:val="tx1"/>
                  </w14:solidFill>
                </w14:textFill>
              </w:rPr>
              <w:t>2</w:t>
            </w:r>
            <w:r>
              <w:rPr>
                <w:rFonts w:hint="eastAsia"/>
                <w:b/>
                <w:color w:val="000000" w:themeColor="text1"/>
                <w:highlight w:val="none"/>
                <w14:textFill>
                  <w14:solidFill>
                    <w14:schemeClr w14:val="tx1"/>
                  </w14:solidFill>
                </w14:textFill>
              </w:rPr>
              <w:t xml:space="preserve">  </w:t>
            </w:r>
            <w:r>
              <w:rPr>
                <w:rFonts w:hint="eastAsia"/>
                <w:b/>
                <w:color w:val="000000" w:themeColor="text1"/>
                <w:highlight w:val="none"/>
                <w:lang w:eastAsia="zh-CN"/>
                <w14:textFill>
                  <w14:solidFill>
                    <w14:schemeClr w14:val="tx1"/>
                  </w14:solidFill>
                </w14:textFill>
              </w:rPr>
              <w:t>扩建项目</w:t>
            </w:r>
            <w:r>
              <w:rPr>
                <w:rFonts w:hint="eastAsia"/>
                <w:b/>
                <w:color w:val="000000" w:themeColor="text1"/>
                <w:highlight w:val="none"/>
                <w14:textFill>
                  <w14:solidFill>
                    <w14:schemeClr w14:val="tx1"/>
                  </w14:solidFill>
                </w14:textFill>
              </w:rPr>
              <w:t>主要原辅材料性质介绍</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1"/>
              <w:gridCol w:w="68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原辅材料名称</w:t>
                  </w:r>
                </w:p>
              </w:tc>
              <w:tc>
                <w:tcPr>
                  <w:tcW w:w="4090"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理化性质及成分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PUR封边胶</w:t>
                  </w:r>
                </w:p>
              </w:tc>
              <w:tc>
                <w:tcPr>
                  <w:tcW w:w="4090" w:type="pct"/>
                  <w:vAlign w:val="center"/>
                </w:tcPr>
                <w:p>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PUR封边胶是一种无任何溶剂/溶液的胶粘剂，不会造成环境污染或者中毒问题。在-40℃至150℃的温度范围内能保持稳定，具有优良的耐水蒸气、耐化学品和耐溶剂性能。</w:t>
                  </w:r>
                </w:p>
                <w:p>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操作简便，PUR封边胶在短时间内即可将两粘接物固定，无需烘干，提高工效，节省时间。粘接强度高，相对于传统热熔胶而言，可以提高数倍，尤其是剥离强度提升明显。PUR封边胶在固化以后，具有相对优异的耐水性。PUR封边是一种高性能的封边技术,广泛应用于家具、橱柜、办公家具等木制品的制造和装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水性色漆</w:t>
                  </w:r>
                </w:p>
              </w:tc>
              <w:tc>
                <w:tcPr>
                  <w:tcW w:w="4090" w:type="pct"/>
                  <w:vAlign w:val="center"/>
                </w:tcPr>
                <w:p>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项目使用的水性色漆</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聚氨酯树脂75</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二丙二醇甲醚2%，二丙二醇丁醚2%，聚醚硅氧烷共聚物2.5%，哑粉2%，蜡3%，去离子水15.5%</w:t>
                  </w:r>
                  <w:r>
                    <w:rPr>
                      <w:color w:val="000000" w:themeColor="text1"/>
                      <w:szCs w:val="21"/>
                      <w:highlight w:val="none"/>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w:t>
                  </w:r>
                </w:p>
              </w:tc>
              <w:tc>
                <w:tcPr>
                  <w:tcW w:w="4090" w:type="pct"/>
                  <w:vAlign w:val="center"/>
                </w:tcPr>
                <w:p>
                  <w:pP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醇酸树脂70</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二甲苯5%，醋酸丁酯10%，PMA8%，添加剂2%，粉类5%</w:t>
                  </w:r>
                  <w:r>
                    <w:rPr>
                      <w:color w:val="000000" w:themeColor="text1"/>
                      <w:szCs w:val="21"/>
                      <w:highlight w:val="none"/>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910"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聚氨酯清漆稀释剂</w:t>
                  </w:r>
                </w:p>
              </w:tc>
              <w:tc>
                <w:tcPr>
                  <w:tcW w:w="4090" w:type="pct"/>
                  <w:vAlign w:val="center"/>
                </w:tcPr>
                <w:p>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项目使用的聚氨酯清漆稀释剂</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二甲苯30%，醋酸丁酯40%，PMA30%</w:t>
                  </w:r>
                  <w:r>
                    <w:rPr>
                      <w:color w:val="000000" w:themeColor="text1"/>
                      <w:szCs w:val="21"/>
                      <w:highlight w:val="none"/>
                      <w14:textFill>
                        <w14:solidFill>
                          <w14:schemeClr w14:val="tx1"/>
                        </w14:solidFill>
                      </w14:textFill>
                    </w:rPr>
                    <w:t>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0"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聚氨酯清漆固化剂</w:t>
                  </w:r>
                </w:p>
              </w:tc>
              <w:tc>
                <w:tcPr>
                  <w:tcW w:w="409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根据涂料供应商提供的MSDS，</w:t>
                  </w:r>
                  <w:r>
                    <w:rPr>
                      <w:rFonts w:hint="eastAsia"/>
                      <w:color w:val="000000" w:themeColor="text1"/>
                      <w:szCs w:val="21"/>
                      <w:highlight w:val="none"/>
                      <w:lang w:eastAsia="zh-CN"/>
                      <w14:textFill>
                        <w14:solidFill>
                          <w14:schemeClr w14:val="tx1"/>
                        </w14:solidFill>
                      </w14:textFill>
                    </w:rPr>
                    <w:t>扩建</w:t>
                  </w:r>
                  <w:r>
                    <w:rPr>
                      <w:rFonts w:hint="eastAsia"/>
                      <w:color w:val="000000" w:themeColor="text1"/>
                      <w:szCs w:val="21"/>
                      <w:highlight w:val="none"/>
                      <w14:textFill>
                        <w14:solidFill>
                          <w14:schemeClr w14:val="tx1"/>
                        </w14:solidFill>
                      </w14:textFill>
                    </w:rPr>
                    <w:t>项目使用的聚氨酯清漆固化剂</w:t>
                  </w:r>
                  <w:r>
                    <w:rPr>
                      <w:color w:val="000000" w:themeColor="text1"/>
                      <w:szCs w:val="21"/>
                      <w:highlight w:val="none"/>
                      <w14:textFill>
                        <w14:solidFill>
                          <w14:schemeClr w14:val="tx1"/>
                        </w14:solidFill>
                      </w14:textFill>
                    </w:rPr>
                    <w:t>主要成分为</w:t>
                  </w:r>
                  <w:r>
                    <w:rPr>
                      <w:rFonts w:hint="eastAsia"/>
                      <w:color w:val="000000" w:themeColor="text1"/>
                      <w:szCs w:val="21"/>
                      <w:highlight w:val="none"/>
                      <w14:textFill>
                        <w14:solidFill>
                          <w14:schemeClr w14:val="tx1"/>
                        </w14:solidFill>
                      </w14:textFill>
                    </w:rPr>
                    <w:t>异氰酸酯预聚物80</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醋酸丁酯20%</w:t>
                  </w:r>
                  <w:r>
                    <w:rPr>
                      <w:color w:val="000000" w:themeColor="text1"/>
                      <w:szCs w:val="21"/>
                      <w:highlight w:val="none"/>
                      <w14:textFill>
                        <w14:solidFill>
                          <w14:schemeClr w14:val="tx1"/>
                        </w14:solidFill>
                      </w14:textFill>
                    </w:rPr>
                    <w:t>组成。</w:t>
                  </w:r>
                </w:p>
              </w:tc>
            </w:tr>
          </w:tbl>
          <w:p>
            <w:pPr>
              <w:rPr>
                <w:color w:val="000000" w:themeColor="text1"/>
                <w:highlight w:val="none"/>
                <w14:textFill>
                  <w14:solidFill>
                    <w14:schemeClr w14:val="tx1"/>
                  </w14:solidFill>
                </w14:textFill>
              </w:rPr>
            </w:pP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水性漆的密度为</w:t>
            </w:r>
            <w:r>
              <w:rPr>
                <w:rFonts w:hint="eastAsia"/>
                <w:color w:val="000000" w:themeColor="text1"/>
                <w:highlight w:val="none"/>
                <w:lang w:val="en-US"/>
                <w14:textFill>
                  <w14:solidFill>
                    <w14:schemeClr w14:val="tx1"/>
                  </w14:solidFill>
                </w14:textFill>
              </w:rPr>
              <w:t>1.08</w:t>
            </w:r>
            <w:r>
              <w:rPr>
                <w:rFonts w:hint="eastAsia"/>
                <w:color w:val="000000" w:themeColor="text1"/>
                <w:highlight w:val="none"/>
                <w14:textFill>
                  <w14:solidFill>
                    <w14:schemeClr w14:val="tx1"/>
                  </w14:solidFill>
                </w14:textFill>
              </w:rPr>
              <w:t>kg/L，即1L的水性漆中挥发性的含量为m=ρ×V×水性漆中挥发性有机物的含量=1.</w:t>
            </w:r>
            <w:r>
              <w:rPr>
                <w:rFonts w:hint="eastAsia"/>
                <w:color w:val="000000" w:themeColor="text1"/>
                <w:highlight w:val="none"/>
                <w:lang w:val="en-US"/>
                <w14:textFill>
                  <w14:solidFill>
                    <w14:schemeClr w14:val="tx1"/>
                  </w14:solidFill>
                </w14:textFill>
              </w:rPr>
              <w:t>08</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6.5</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70.2</w:t>
            </w:r>
            <w:r>
              <w:rPr>
                <w:rFonts w:hint="eastAsia"/>
                <w:color w:val="000000" w:themeColor="text1"/>
                <w:highlight w:val="none"/>
                <w14:textFill>
                  <w14:solidFill>
                    <w14:schemeClr w14:val="tx1"/>
                  </w14:solidFill>
                </w14:textFill>
              </w:rPr>
              <w:t>g/L。符合《低挥发性有机化合物含量涂料产品技术要求》(GB T38597-2020)中表1水性涂料中木器涂料VOCs含量的要求：最小的限值要求≤220g/L。</w:t>
            </w:r>
          </w:p>
          <w:p>
            <w:pPr>
              <w:pStyle w:val="33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聚氨酯清漆、稀释剂及固化剂的密度分别为</w:t>
            </w:r>
            <w:r>
              <w:rPr>
                <w:rFonts w:hint="eastAsia"/>
                <w:color w:val="000000" w:themeColor="text1"/>
                <w:highlight w:val="none"/>
                <w:lang w:val="en-US"/>
                <w14:textFill>
                  <w14:solidFill>
                    <w14:schemeClr w14:val="tx1"/>
                  </w14:solidFill>
                </w14:textFill>
              </w:rPr>
              <w:t>0.978</w:t>
            </w:r>
            <w:r>
              <w:rPr>
                <w:rFonts w:hint="eastAsia"/>
                <w:color w:val="000000" w:themeColor="text1"/>
                <w:highlight w:val="none"/>
                <w14:textFill>
                  <w14:solidFill>
                    <w14:schemeClr w14:val="tx1"/>
                  </w14:solidFill>
                </w14:textFill>
              </w:rPr>
              <w:t>kg/L、</w:t>
            </w:r>
            <w:r>
              <w:rPr>
                <w:rFonts w:hint="eastAsia"/>
                <w:color w:val="000000" w:themeColor="text1"/>
                <w:highlight w:val="none"/>
                <w:lang w:val="en-US"/>
                <w14:textFill>
                  <w14:solidFill>
                    <w14:schemeClr w14:val="tx1"/>
                  </w14:solidFill>
                </w14:textFill>
              </w:rPr>
              <w:t>0.959</w:t>
            </w:r>
            <w:r>
              <w:rPr>
                <w:rFonts w:hint="eastAsia"/>
                <w:color w:val="000000" w:themeColor="text1"/>
                <w:highlight w:val="none"/>
                <w14:textFill>
                  <w14:solidFill>
                    <w14:schemeClr w14:val="tx1"/>
                  </w14:solidFill>
                </w14:textFill>
              </w:rPr>
              <w:t>kg/L、</w:t>
            </w:r>
            <w:r>
              <w:rPr>
                <w:rFonts w:hint="eastAsia"/>
                <w:color w:val="000000" w:themeColor="text1"/>
                <w:highlight w:val="none"/>
                <w:lang w:val="en-US"/>
                <w14:textFill>
                  <w14:solidFill>
                    <w14:schemeClr w14:val="tx1"/>
                  </w14:solidFill>
                </w14:textFill>
              </w:rPr>
              <w:t>0.983</w:t>
            </w:r>
            <w:r>
              <w:rPr>
                <w:rFonts w:hint="eastAsia"/>
                <w:color w:val="000000" w:themeColor="text1"/>
                <w:highlight w:val="none"/>
                <w14:textFill>
                  <w14:solidFill>
                    <w14:schemeClr w14:val="tx1"/>
                  </w14:solidFill>
                </w14:textFill>
              </w:rPr>
              <w:t>kg/L；即1L的聚氨酯清漆中挥发性的含量为m=ρ×V×水性漆中挥发性有机物的含量=</w:t>
            </w:r>
            <w:r>
              <w:rPr>
                <w:rFonts w:hint="eastAsia"/>
                <w:color w:val="000000" w:themeColor="text1"/>
                <w:highlight w:val="none"/>
                <w:lang w:val="en-US"/>
                <w14:textFill>
                  <w14:solidFill>
                    <w14:schemeClr w14:val="tx1"/>
                  </w14:solidFill>
                </w14:textFill>
              </w:rPr>
              <w:t>0.978</w:t>
            </w:r>
            <w:r>
              <w:rPr>
                <w:rFonts w:hint="eastAsia"/>
                <w:color w:val="000000" w:themeColor="text1"/>
                <w:highlight w:val="none"/>
                <w14:textFill>
                  <w14:solidFill>
                    <w14:schemeClr w14:val="tx1"/>
                  </w14:solidFill>
                </w14:textFill>
              </w:rPr>
              <w:t>×1×2</w:t>
            </w:r>
            <w:r>
              <w:rPr>
                <w:rFonts w:hint="eastAsia"/>
                <w:color w:val="000000" w:themeColor="text1"/>
                <w:highlight w:val="none"/>
                <w:lang w:val="en-US"/>
                <w14:textFill>
                  <w14:solidFill>
                    <w14:schemeClr w14:val="tx1"/>
                  </w14:solidFill>
                </w14:textFill>
              </w:rPr>
              <w:t>5</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244.5</w:t>
            </w:r>
            <w:r>
              <w:rPr>
                <w:rFonts w:hint="eastAsia"/>
                <w:color w:val="000000" w:themeColor="text1"/>
                <w:highlight w:val="none"/>
                <w14:textFill>
                  <w14:solidFill>
                    <w14:schemeClr w14:val="tx1"/>
                  </w14:solidFill>
                </w14:textFill>
              </w:rPr>
              <w:t>g/L，1L的聚氨酯清漆稀释剂中挥发性的含量为m=ρ×V×水性漆中挥发性有机物的含量=</w:t>
            </w:r>
            <w:r>
              <w:rPr>
                <w:rFonts w:hint="eastAsia"/>
                <w:color w:val="000000" w:themeColor="text1"/>
                <w:highlight w:val="none"/>
                <w:lang w:val="en-US"/>
                <w14:textFill>
                  <w14:solidFill>
                    <w14:schemeClr w14:val="tx1"/>
                  </w14:solidFill>
                </w14:textFill>
              </w:rPr>
              <w:t>0.959</w:t>
            </w:r>
            <w:r>
              <w:rPr>
                <w:rFonts w:hint="eastAsia"/>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100</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959</w:t>
            </w:r>
            <w:r>
              <w:rPr>
                <w:rFonts w:hint="eastAsia"/>
                <w:color w:val="000000" w:themeColor="text1"/>
                <w:highlight w:val="none"/>
                <w14:textFill>
                  <w14:solidFill>
                    <w14:schemeClr w14:val="tx1"/>
                  </w14:solidFill>
                </w14:textFill>
              </w:rPr>
              <w:t>g/L，1L的聚氨酯清漆固化剂中挥发性的含量为m=ρ×V×水性漆中挥发性有机物的含量=</w:t>
            </w:r>
            <w:r>
              <w:rPr>
                <w:rFonts w:hint="eastAsia"/>
                <w:color w:val="000000" w:themeColor="text1"/>
                <w:highlight w:val="none"/>
                <w:lang w:val="en-US"/>
                <w14:textFill>
                  <w14:solidFill>
                    <w14:schemeClr w14:val="tx1"/>
                  </w14:solidFill>
                </w14:textFill>
              </w:rPr>
              <w:t>0.983</w:t>
            </w:r>
            <w:r>
              <w:rPr>
                <w:rFonts w:hint="eastAsia"/>
                <w:color w:val="000000" w:themeColor="text1"/>
                <w:highlight w:val="none"/>
                <w14:textFill>
                  <w14:solidFill>
                    <w14:schemeClr w14:val="tx1"/>
                  </w14:solidFill>
                </w14:textFill>
              </w:rPr>
              <w:t>×1×2</w:t>
            </w:r>
            <w:r>
              <w:rPr>
                <w:rFonts w:hint="eastAsia"/>
                <w:color w:val="000000" w:themeColor="text1"/>
                <w:highlight w:val="none"/>
                <w:lang w:val="en-US"/>
                <w14:textFill>
                  <w14:solidFill>
                    <w14:schemeClr w14:val="tx1"/>
                  </w14:solidFill>
                </w14:textFill>
              </w:rPr>
              <w:t>0</w:t>
            </w:r>
            <w:r>
              <w:rPr>
                <w:rFonts w:hint="eastAsia"/>
                <w:color w:val="000000" w:themeColor="text1"/>
                <w:highlight w:val="none"/>
                <w14:textFill>
                  <w14:solidFill>
                    <w14:schemeClr w14:val="tx1"/>
                  </w14:solidFill>
                </w14:textFill>
              </w:rPr>
              <w:t>%×1000=</w:t>
            </w:r>
            <w:r>
              <w:rPr>
                <w:rFonts w:hint="eastAsia"/>
                <w:color w:val="000000" w:themeColor="text1"/>
                <w:highlight w:val="none"/>
                <w:lang w:val="en-US"/>
                <w14:textFill>
                  <w14:solidFill>
                    <w14:schemeClr w14:val="tx1"/>
                  </w14:solidFill>
                </w14:textFill>
              </w:rPr>
              <w:t>196.6</w:t>
            </w:r>
            <w:r>
              <w:rPr>
                <w:rFonts w:hint="eastAsia"/>
                <w:color w:val="000000" w:themeColor="text1"/>
                <w:highlight w:val="none"/>
                <w14:textFill>
                  <w14:solidFill>
                    <w14:schemeClr w14:val="tx1"/>
                  </w14:solidFill>
                </w14:textFill>
              </w:rPr>
              <w:t>g/L。由于上述</w:t>
            </w:r>
            <w:r>
              <w:rPr>
                <w:rFonts w:hint="eastAsia"/>
                <w:color w:val="000000" w:themeColor="text1"/>
                <w:highlight w:val="none"/>
                <w:lang w:val="en-US"/>
                <w14:textFill>
                  <w14:solidFill>
                    <w14:schemeClr w14:val="tx1"/>
                  </w14:solidFill>
                </w14:textFill>
              </w:rPr>
              <w:t>3种涂料需按3:2:5比例调配，项目使用的聚氨酯清漆涂料挥发性有机物含量</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244.5</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0.3+959</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0.2+196.6</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0.5</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363.5</w:t>
            </w:r>
            <w:r>
              <w:rPr>
                <w:rFonts w:hint="eastAsia"/>
                <w:color w:val="000000" w:themeColor="text1"/>
                <w:highlight w:val="none"/>
                <w14:textFill>
                  <w14:solidFill>
                    <w14:schemeClr w14:val="tx1"/>
                  </w14:solidFill>
                </w14:textFill>
              </w:rPr>
              <w:t>g/L。符合《低挥发性有机化合物含量涂料产品技术要求》(GB T38597-2020)中表2溶剂型涂料VOCs含量的要求：最小的限值要求≤420g/L。</w:t>
            </w:r>
          </w:p>
          <w:p>
            <w:pPr>
              <w:pStyle w:val="332"/>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eastAsia" w:cs="Times New Roman"/>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项目运营期使用水性漆及溶剂漆物料平衡图详见图2.4-</w:t>
            </w:r>
            <w:r>
              <w:rPr>
                <w:rFonts w:hint="eastAsia"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及2.4-</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332"/>
              <w:numPr>
                <w:ilvl w:val="0"/>
                <w:numId w:val="2"/>
              </w:numP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水性漆物料平衡</w:t>
            </w:r>
          </w:p>
          <w:p>
            <w:pPr>
              <w:numPr>
                <w:ilvl w:val="0"/>
                <w:numId w:val="0"/>
              </w:numPr>
              <w:rPr>
                <w:rFonts w:hint="default"/>
                <w:color w:val="000000" w:themeColor="text1"/>
                <w:lang w:val="en-US" w:eastAsia="zh-CN"/>
                <w14:textFill>
                  <w14:solidFill>
                    <w14:schemeClr w14:val="tx1"/>
                  </w14:solidFill>
                </w14:textFill>
              </w:rPr>
            </w:pPr>
          </w:p>
          <w:p>
            <w:pPr>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6" o:spt="75" type="#_x0000_t75" style="height:218.05pt;width:376.3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pStyle w:val="332"/>
              <w:spacing w:line="360" w:lineRule="auto"/>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图2.4-</w:t>
            </w:r>
            <w:r>
              <w:rPr>
                <w:rFonts w:hint="eastAsia" w:cs="Times New Roman"/>
                <w:b/>
                <w:bCs/>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cs="Times New Roman"/>
                <w:b/>
                <w:bCs/>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项目木质家具生产工艺流程及产污环节示意图</w:t>
            </w:r>
          </w:p>
          <w:p>
            <w:pPr>
              <w:pStyle w:val="332"/>
              <w:spacing w:line="360" w:lineRule="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（2）溶剂漆物料平衡</w:t>
            </w:r>
          </w:p>
          <w:p>
            <w:pPr>
              <w:pStyle w:val="332"/>
              <w:spacing w:line="360" w:lineRule="auto"/>
              <w:ind w:left="0" w:leftChars="0" w:firstLine="0" w:firstLineChars="0"/>
              <w:jc w:val="center"/>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object>
                <v:shape id="_x0000_i1027" o:spt="75" type="#_x0000_t75" style="height:212.7pt;width:421.9pt;" o:ole="t" filled="f" o:preferrelative="t" stroked="f" coordsize="21600,21600">
                  <v:path/>
                  <v:fill on="f" focussize="0,0"/>
                  <v:stroke on="f"/>
                  <v:imagedata r:id="rId17" o:title=""/>
                  <o:lock v:ext="edit" aspectratio="f"/>
                  <w10:wrap type="none"/>
                  <w10:anchorlock/>
                </v:shape>
                <o:OLEObject Type="Embed" ProgID="Visio.Drawing.11" ShapeID="_x0000_i1027" DrawAspect="Content" ObjectID="_1468075727" r:id="rId16">
                  <o:LockedField>false</o:LockedField>
                </o:OLEObject>
              </w:objec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图2.4-</w:t>
            </w:r>
            <w:r>
              <w:rPr>
                <w:rFonts w:hint="eastAsia" w:cs="Times New Roman"/>
                <w:b/>
                <w:bCs/>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eastAsia" w:cs="Times New Roman"/>
                <w:b/>
                <w:bCs/>
                <w:color w:val="000000" w:themeColor="text1"/>
                <w:highlight w:val="none"/>
                <w:lang w:val="en-US" w:eastAsia="zh-CN"/>
                <w14:textFill>
                  <w14:solidFill>
                    <w14:schemeClr w14:val="tx1"/>
                  </w14:solidFill>
                </w14:textFill>
              </w:rPr>
              <w:t>扩建</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项目木质家具生产工艺流程及产污环节示意图</w:t>
            </w:r>
          </w:p>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5主要生产</w:t>
            </w:r>
            <w:r>
              <w:rPr>
                <w:b/>
                <w:color w:val="000000" w:themeColor="text1"/>
                <w:sz w:val="30"/>
                <w:szCs w:val="30"/>
                <w:highlight w:val="none"/>
                <w14:textFill>
                  <w14:solidFill>
                    <w14:schemeClr w14:val="tx1"/>
                  </w14:solidFill>
                </w14:textFill>
              </w:rPr>
              <w:t>设备</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项目建成后主要生产设备见下表2.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5</w:t>
            </w:r>
            <w:r>
              <w:rPr>
                <w:rFonts w:ascii="Times New Roman" w:hAnsi="Times New Roman"/>
                <w:b/>
                <w:color w:val="000000" w:themeColor="text1"/>
                <w:highlight w:val="none"/>
                <w14:textFill>
                  <w14:solidFill>
                    <w14:schemeClr w14:val="tx1"/>
                  </w14:solidFill>
                </w14:textFill>
              </w:rPr>
              <w:t xml:space="preserve">-1  </w:t>
            </w:r>
            <w:r>
              <w:rPr>
                <w:rFonts w:hint="eastAsia" w:ascii="Times New Roman" w:hAnsi="Times New Roman"/>
                <w:b/>
                <w:color w:val="000000" w:themeColor="text1"/>
                <w:highlight w:val="none"/>
                <w:lang w:eastAsia="zh-CN"/>
                <w14:textFill>
                  <w14:solidFill>
                    <w14:schemeClr w14:val="tx1"/>
                  </w14:solidFill>
                </w14:textFill>
              </w:rPr>
              <w:t>扩建项目</w:t>
            </w:r>
            <w:r>
              <w:rPr>
                <w:rFonts w:ascii="Times New Roman" w:hAnsi="Times New Roman"/>
                <w:b/>
                <w:color w:val="000000" w:themeColor="text1"/>
                <w:highlight w:val="none"/>
                <w14:textFill>
                  <w14:solidFill>
                    <w14:schemeClr w14:val="tx1"/>
                  </w14:solidFill>
                </w14:textFill>
              </w:rPr>
              <w:t>主要设备一览表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862"/>
              <w:gridCol w:w="863"/>
              <w:gridCol w:w="1631"/>
              <w:gridCol w:w="1631"/>
              <w:gridCol w:w="16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442" w:type="pct"/>
                  <w:vAlign w:val="center"/>
                </w:tcPr>
                <w:p>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1113" w:type="pct"/>
                  <w:vAlign w:val="center"/>
                </w:tcPr>
                <w:p>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设备名称</w:t>
                  </w:r>
                </w:p>
              </w:tc>
              <w:tc>
                <w:tcPr>
                  <w:tcW w:w="516" w:type="pct"/>
                  <w:vAlign w:val="center"/>
                </w:tcPr>
                <w:p>
                  <w:pPr>
                    <w:pStyle w:val="67"/>
                    <w:adjustRightInd w:val="0"/>
                    <w:snapToGrid w:val="0"/>
                    <w:spacing w:line="360" w:lineRule="exact"/>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型号</w:t>
                  </w:r>
                </w:p>
              </w:tc>
              <w:tc>
                <w:tcPr>
                  <w:tcW w:w="1631" w:type="dxa"/>
                  <w:vAlign w:val="center"/>
                </w:tcPr>
                <w:p>
                  <w:pPr>
                    <w:pStyle w:val="33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扩建前</w:t>
                  </w:r>
                  <w:r>
                    <w:rPr>
                      <w:b/>
                      <w:bCs/>
                      <w:color w:val="000000" w:themeColor="text1"/>
                      <w:highlight w:val="none"/>
                      <w14:textFill>
                        <w14:solidFill>
                          <w14:schemeClr w14:val="tx1"/>
                        </w14:solidFill>
                      </w14:textFill>
                    </w:rPr>
                    <w:t>数量</w:t>
                  </w:r>
                </w:p>
                <w:p>
                  <w:pPr>
                    <w:pStyle w:val="331"/>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c>
                <w:tcPr>
                  <w:tcW w:w="1631" w:type="dxa"/>
                  <w:vAlign w:val="center"/>
                </w:tcPr>
                <w:p>
                  <w:pPr>
                    <w:pStyle w:val="331"/>
                    <w:rPr>
                      <w:b/>
                      <w:bCs/>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扩建项目增减</w:t>
                  </w:r>
                  <w:r>
                    <w:rPr>
                      <w:b/>
                      <w:bCs/>
                      <w:color w:val="000000" w:themeColor="text1"/>
                      <w:highlight w:val="none"/>
                      <w14:textFill>
                        <w14:solidFill>
                          <w14:schemeClr w14:val="tx1"/>
                        </w14:solidFill>
                      </w14:textFill>
                    </w:rPr>
                    <w:t>数量</w:t>
                  </w: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c>
                <w:tcPr>
                  <w:tcW w:w="1631" w:type="dxa"/>
                  <w:vAlign w:val="center"/>
                </w:tcPr>
                <w:p>
                  <w:pPr>
                    <w:pStyle w:val="33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扩建后</w:t>
                  </w:r>
                  <w:r>
                    <w:rPr>
                      <w:b/>
                      <w:bCs/>
                      <w:color w:val="000000" w:themeColor="text1"/>
                      <w:highlight w:val="none"/>
                      <w14:textFill>
                        <w14:solidFill>
                          <w14:schemeClr w14:val="tx1"/>
                        </w14:solidFill>
                      </w14:textFill>
                    </w:rPr>
                    <w:t>数量</w:t>
                  </w:r>
                </w:p>
                <w:p>
                  <w:pPr>
                    <w:pStyle w:val="331"/>
                    <w:rPr>
                      <w:b/>
                      <w:bCs/>
                      <w:color w:val="000000" w:themeColor="text1"/>
                      <w:szCs w:val="21"/>
                      <w:highlight w:val="none"/>
                      <w14:textFill>
                        <w14:solidFill>
                          <w14:schemeClr w14:val="tx1"/>
                        </w14:solidFill>
                      </w14:textFill>
                    </w:rPr>
                  </w:pPr>
                  <w:r>
                    <w:rPr>
                      <w:rFonts w:hint="eastAsia"/>
                      <w:b/>
                      <w:bCs/>
                      <w:color w:val="000000" w:themeColor="text1"/>
                      <w:highlight w:val="none"/>
                      <w:lang w:eastAsia="zh-CN"/>
                      <w14:textFill>
                        <w14:solidFill>
                          <w14:schemeClr w14:val="tx1"/>
                        </w14:solidFill>
                      </w14:textFill>
                    </w:rPr>
                    <w:t>（台</w:t>
                  </w:r>
                  <w:r>
                    <w:rPr>
                      <w:rFonts w:hint="eastAsia"/>
                      <w:b/>
                      <w:bCs/>
                      <w:color w:val="000000" w:themeColor="text1"/>
                      <w:highlight w:val="none"/>
                      <w:lang w:val="en-US" w:eastAsia="zh-CN"/>
                      <w14:textFill>
                        <w14:solidFill>
                          <w14:schemeClr w14:val="tx1"/>
                        </w14:solidFill>
                      </w14:textFill>
                    </w:rPr>
                    <w:t>/套</w:t>
                  </w:r>
                  <w:r>
                    <w:rPr>
                      <w:rFonts w:hint="eastAsia"/>
                      <w:b/>
                      <w:bCs/>
                      <w:color w:val="000000" w:themeColor="text1"/>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113" w:type="pct"/>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数控裁板锯</w:t>
                  </w:r>
                </w:p>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color w:val="000000" w:themeColor="text1"/>
                      <w:szCs w:val="21"/>
                      <w:highlight w:val="none"/>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1113" w:type="pct"/>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数控六面钻孔</w:t>
                  </w:r>
                </w:p>
                <w:p>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数控钻孔中心）</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排钻</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台钻</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color w:val="000000" w:themeColor="text1"/>
                      <w:szCs w:val="21"/>
                      <w:highlight w:val="none"/>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空压机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冷压机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电脑数控雕刻机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精锯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压刨机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平刨机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双面锯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重锯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线条机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带锯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五叠锯</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立铣</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18</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打眼机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19</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侧眼机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地锣</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21</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弧形封边机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倒角机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手持打磨机</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水帘喷漆台</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无尘表干房</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4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27</w:t>
                  </w:r>
                </w:p>
              </w:tc>
              <w:tc>
                <w:tcPr>
                  <w:tcW w:w="1113"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水性漆烤房</w:t>
                  </w:r>
                </w:p>
              </w:tc>
              <w:tc>
                <w:tcPr>
                  <w:tcW w:w="51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975" w:type="pct"/>
                  <w:vAlign w:val="center"/>
                </w:tcPr>
                <w:p>
                  <w:pPr>
                    <w:jc w:val="center"/>
                    <w:rPr>
                      <w:rFonts w:hint="eastAsia" w:eastAsia="宋体"/>
                      <w:color w:val="000000" w:themeColor="text1"/>
                      <w:szCs w:val="21"/>
                      <w:highlight w:val="none"/>
                      <w:lang w:val="en-US" w:eastAsia="zh-CN"/>
                      <w14:textFill>
                        <w14:solidFill>
                          <w14:schemeClr w14:val="tx1"/>
                        </w14:solidFill>
                      </w14:textFill>
                    </w:rPr>
                  </w:pPr>
                </w:p>
              </w:tc>
              <w:tc>
                <w:tcPr>
                  <w:tcW w:w="975" w:type="pct"/>
                  <w:vAlign w:val="center"/>
                </w:tcPr>
                <w:p>
                  <w:pPr>
                    <w:jc w:val="center"/>
                    <w:rPr>
                      <w:rFonts w:hint="default" w:eastAsia="宋体"/>
                      <w:color w:val="000000" w:themeColor="text1"/>
                      <w:szCs w:val="21"/>
                      <w:highlight w:val="none"/>
                      <w:lang w:val="en-US" w:eastAsia="zh-CN"/>
                      <w14:textFill>
                        <w14:solidFill>
                          <w14:schemeClr w14:val="tx1"/>
                        </w14:solidFill>
                      </w14:textFill>
                    </w:rPr>
                  </w:pPr>
                </w:p>
              </w:tc>
              <w:tc>
                <w:tcPr>
                  <w:tcW w:w="1631" w:type="dxa"/>
                  <w:vAlign w:val="center"/>
                </w:tcPr>
                <w:p>
                  <w:pPr>
                    <w:jc w:val="center"/>
                    <w:rPr>
                      <w:rFonts w:hint="eastAsia"/>
                      <w:color w:val="000000" w:themeColor="text1"/>
                      <w:szCs w:val="21"/>
                      <w:highlight w:val="none"/>
                      <w14:textFill>
                        <w14:solidFill>
                          <w14:schemeClr w14:val="tx1"/>
                        </w14:solidFill>
                      </w14:textFill>
                    </w:rPr>
                  </w:pPr>
                </w:p>
              </w:tc>
            </w:tr>
          </w:tbl>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6厂区平面</w:t>
            </w:r>
            <w:r>
              <w:rPr>
                <w:b/>
                <w:color w:val="000000" w:themeColor="text1"/>
                <w:sz w:val="30"/>
                <w:szCs w:val="30"/>
                <w:highlight w:val="none"/>
                <w14:textFill>
                  <w14:solidFill>
                    <w14:schemeClr w14:val="tx1"/>
                  </w14:solidFill>
                </w14:textFill>
              </w:rPr>
              <w:t>布置</w:t>
            </w:r>
          </w:p>
          <w:p>
            <w:pPr>
              <w:pStyle w:val="332"/>
              <w:rPr>
                <w:color w:val="000000" w:themeColor="text1"/>
                <w:highlight w:val="none"/>
                <w14:textFill>
                  <w14:solidFill>
                    <w14:schemeClr w14:val="tx1"/>
                  </w14:solidFill>
                </w14:textFill>
              </w:rPr>
            </w:pPr>
            <w:r>
              <w:rPr>
                <w:rFonts w:hint="eastAsia" w:cs="宋体"/>
                <w:color w:val="000000" w:themeColor="text1"/>
                <w:highlight w:val="none"/>
                <w:lang w:eastAsia="zh-CN"/>
                <w14:textFill>
                  <w14:solidFill>
                    <w14:schemeClr w14:val="tx1"/>
                  </w14:solidFill>
                </w14:textFill>
              </w:rPr>
              <w:t>扩建</w:t>
            </w:r>
            <w:r>
              <w:rPr>
                <w:rFonts w:hint="eastAsia" w:cs="宋体"/>
                <w:color w:val="000000" w:themeColor="text1"/>
                <w:highlight w:val="none"/>
                <w14:textFill>
                  <w14:solidFill>
                    <w14:schemeClr w14:val="tx1"/>
                  </w14:solidFill>
                </w14:textFill>
              </w:rPr>
              <w:t>项目拟建于</w:t>
            </w:r>
            <w:r>
              <w:rPr>
                <w:rFonts w:hint="eastAsia" w:eastAsia="宋体"/>
                <w:color w:val="000000" w:themeColor="text1"/>
                <w:sz w:val="24"/>
                <w:highlight w:val="none"/>
                <w:lang w:val="en-US" w:eastAsia="zh-CN"/>
                <w14:textFill>
                  <w14:solidFill>
                    <w14:schemeClr w14:val="tx1"/>
                  </w14:solidFill>
                </w14:textFill>
              </w:rPr>
              <w:t>福清融侨经济技术开发区</w:t>
            </w:r>
            <w:r>
              <w:rPr>
                <w:rFonts w:hint="eastAsia" w:eastAsia="宋体"/>
                <w:color w:val="000000" w:themeColor="text1"/>
                <w:sz w:val="24"/>
                <w:highlight w:val="none"/>
                <w14:textFill>
                  <w14:solidFill>
                    <w14:schemeClr w14:val="tx1"/>
                  </w14:solidFill>
                </w14:textFill>
              </w:rPr>
              <w:t>（</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eastAsia="宋体"/>
                <w:color w:val="000000" w:themeColor="text1"/>
                <w:sz w:val="24"/>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s="宋体"/>
                <w:color w:val="000000" w:themeColor="text1"/>
                <w:highlight w:val="none"/>
                <w14:textFill>
                  <w14:solidFill>
                    <w14:schemeClr w14:val="tx1"/>
                  </w14:solidFill>
                </w14:textFill>
              </w:rPr>
              <w:t>生产车间内分布有木工区、</w:t>
            </w:r>
            <w:r>
              <w:rPr>
                <w:rFonts w:hint="eastAsia" w:cs="宋体"/>
                <w:color w:val="000000" w:themeColor="text1"/>
                <w:highlight w:val="none"/>
                <w:lang w:eastAsia="zh-CN"/>
                <w14:textFill>
                  <w14:solidFill>
                    <w14:schemeClr w14:val="tx1"/>
                  </w14:solidFill>
                </w14:textFill>
              </w:rPr>
              <w:t>封边区、</w:t>
            </w:r>
            <w:r>
              <w:rPr>
                <w:rFonts w:hint="eastAsia" w:cs="宋体"/>
                <w:color w:val="000000" w:themeColor="text1"/>
                <w:highlight w:val="none"/>
                <w14:textFill>
                  <w14:solidFill>
                    <w14:schemeClr w14:val="tx1"/>
                  </w14:solidFill>
                </w14:textFill>
              </w:rPr>
              <w:t>打磨区、喷漆区等。平面布置紧凑合理，能够满足生产需求。工程在充分考虑生产工艺特点等基础上，本着生产工艺流畅、布置紧凑、人物分流、环境整洁美观、投资最小化，对周边环境影响最小化等因素布置厂区总平面图，从总体上来看是合理的。</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车间设备布置图见附图</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tc>
      </w:tr>
    </w:tbl>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55" w:type="dxa"/>
            <w:vAlign w:val="center"/>
          </w:tcPr>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605" w:type="dxa"/>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w:t>
            </w:r>
            <w:r>
              <w:rPr>
                <w:rFonts w:hint="eastAsia"/>
                <w:b/>
                <w:color w:val="000000" w:themeColor="text1"/>
                <w:sz w:val="30"/>
                <w:szCs w:val="30"/>
                <w:highlight w:val="none"/>
                <w14:textFill>
                  <w14:solidFill>
                    <w14:schemeClr w14:val="tx1"/>
                  </w14:solidFill>
                </w14:textFill>
              </w:rPr>
              <w:t>7生产</w:t>
            </w:r>
            <w:r>
              <w:rPr>
                <w:b/>
                <w:color w:val="000000" w:themeColor="text1"/>
                <w:sz w:val="30"/>
                <w:szCs w:val="30"/>
                <w:highlight w:val="none"/>
                <w14:textFill>
                  <w14:solidFill>
                    <w14:schemeClr w14:val="tx1"/>
                  </w14:solidFill>
                </w14:textFill>
              </w:rPr>
              <w:t>工艺流程</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具体生产工艺流程如下：</w:t>
            </w: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color w:val="000000" w:themeColor="text1"/>
                <w:highlight w:val="none"/>
                <w14:textFill>
                  <w14:solidFill>
                    <w14:schemeClr w14:val="tx1"/>
                  </w14:solidFill>
                </w14:textFill>
              </w:rPr>
            </w:pPr>
          </w:p>
          <w:p>
            <w:pPr>
              <w:pStyle w:val="86"/>
              <w:spacing w:line="240" w:lineRule="auto"/>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图2.</w:t>
            </w:r>
            <w:r>
              <w:rPr>
                <w:rFonts w:hint="eastAsia"/>
                <w:b/>
                <w:color w:val="000000" w:themeColor="text1"/>
                <w:highlight w:val="none"/>
                <w14:textFill>
                  <w14:solidFill>
                    <w14:schemeClr w14:val="tx1"/>
                  </w14:solidFill>
                </w14:textFill>
              </w:rPr>
              <w:t>7</w:t>
            </w:r>
            <w:r>
              <w:rPr>
                <w:b/>
                <w:color w:val="000000" w:themeColor="text1"/>
                <w:highlight w:val="none"/>
                <w14:textFill>
                  <w14:solidFill>
                    <w14:schemeClr w14:val="tx1"/>
                  </w14:solidFill>
                </w14:textFill>
              </w:rPr>
              <w:t xml:space="preserve">-1  </w:t>
            </w:r>
            <w:r>
              <w:rPr>
                <w:rFonts w:hint="eastAsia"/>
                <w:b/>
                <w:color w:val="000000" w:themeColor="text1"/>
                <w:highlight w:val="none"/>
                <w:lang w:eastAsia="zh-CN"/>
                <w14:textFill>
                  <w14:solidFill>
                    <w14:schemeClr w14:val="tx1"/>
                  </w14:solidFill>
                </w14:textFill>
              </w:rPr>
              <w:t>扩建</w:t>
            </w:r>
            <w:r>
              <w:rPr>
                <w:b/>
                <w:color w:val="000000" w:themeColor="text1"/>
                <w:highlight w:val="none"/>
                <w14:textFill>
                  <w14:solidFill>
                    <w14:schemeClr w14:val="tx1"/>
                  </w14:solidFill>
                </w14:textFill>
              </w:rPr>
              <w:t>项目</w:t>
            </w:r>
            <w:r>
              <w:rPr>
                <w:rFonts w:hint="eastAsia"/>
                <w:b/>
                <w:color w:val="000000" w:themeColor="text1"/>
                <w:highlight w:val="none"/>
                <w14:textFill>
                  <w14:solidFill>
                    <w14:schemeClr w14:val="tx1"/>
                  </w14:solidFill>
                </w14:textFill>
              </w:rPr>
              <w:t>木质家具</w:t>
            </w:r>
            <w:r>
              <w:rPr>
                <w:b/>
                <w:color w:val="000000" w:themeColor="text1"/>
                <w:highlight w:val="none"/>
                <w14:textFill>
                  <w14:solidFill>
                    <w14:schemeClr w14:val="tx1"/>
                  </w14:solidFill>
                </w14:textFill>
              </w:rPr>
              <w:t>生产工艺流程及产污环节示意图</w:t>
            </w:r>
          </w:p>
          <w:p>
            <w:pPr>
              <w:pStyle w:val="86"/>
              <w:ind w:firstLine="482"/>
              <w:jc w:val="center"/>
              <w:rPr>
                <w:rFonts w:hint="eastAsia" w:eastAsia="宋体"/>
                <w:b/>
                <w:color w:val="000000" w:themeColor="text1"/>
                <w:highlight w:val="none"/>
                <w:lang w:eastAsia="zh-CN"/>
                <w14:textFill>
                  <w14:solidFill>
                    <w14:schemeClr w14:val="tx1"/>
                  </w14:solidFill>
                </w14:textFill>
              </w:rPr>
            </w:pPr>
            <w:r>
              <w:rPr>
                <w:rFonts w:hint="eastAsia"/>
                <w:b/>
                <w:color w:val="000000" w:themeColor="text1"/>
                <w:highlight w:val="none"/>
                <w:lang w:eastAsia="zh-CN"/>
                <w14:textFill>
                  <w14:solidFill>
                    <w14:schemeClr w14:val="tx1"/>
                  </w14:solidFill>
                </w14:textFill>
              </w:rPr>
              <w:t>（红框为扩建新增工序）</w:t>
            </w:r>
          </w:p>
          <w:p>
            <w:pPr>
              <w:pStyle w:val="86"/>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主要工艺说明</w:t>
            </w:r>
            <w:r>
              <w:rPr>
                <w:rFonts w:hint="eastAsia"/>
                <w:b/>
                <w:color w:val="000000" w:themeColor="text1"/>
                <w:highlight w:val="none"/>
                <w14:textFill>
                  <w14:solidFill>
                    <w14:schemeClr w14:val="tx1"/>
                  </w14:solidFill>
                </w14:textFill>
              </w:rPr>
              <w:t>：</w:t>
            </w:r>
          </w:p>
          <w:p>
            <w:pPr>
              <w:spacing w:line="360" w:lineRule="auto"/>
              <w:ind w:firstLine="480" w:firstLineChars="200"/>
              <w:rPr>
                <w:color w:val="000000" w:themeColor="text1"/>
                <w:sz w:val="24"/>
                <w:szCs w:val="20"/>
                <w:highlight w:val="none"/>
                <w14:textFill>
                  <w14:solidFill>
                    <w14:schemeClr w14:val="tx1"/>
                  </w14:solidFill>
                </w14:textFill>
              </w:rPr>
            </w:pPr>
            <w:r>
              <w:rPr>
                <w:rFonts w:hint="eastAsia"/>
                <w:color w:val="000000" w:themeColor="text1"/>
                <w:sz w:val="24"/>
                <w:szCs w:val="20"/>
                <w:highlight w:val="none"/>
                <w:lang w:eastAsia="zh-CN"/>
                <w14:textFill>
                  <w14:solidFill>
                    <w14:schemeClr w14:val="tx1"/>
                  </w14:solidFill>
                </w14:textFill>
              </w:rPr>
              <w:t>现有工程主要</w:t>
            </w:r>
            <w:r>
              <w:rPr>
                <w:rFonts w:hint="eastAsia"/>
                <w:color w:val="000000" w:themeColor="text1"/>
                <w:sz w:val="24"/>
                <w:szCs w:val="20"/>
                <w:highlight w:val="none"/>
                <w14:textFill>
                  <w14:solidFill>
                    <w14:schemeClr w14:val="tx1"/>
                  </w14:solidFill>
                </w14:textFill>
              </w:rPr>
              <w:t>根据设计图纸要求选择板材等，对板材进行裁板切割；将切割好的板材利用数控钻孔等设备进行钻孔、拉槽、镂铣、圆角等造型；然后</w:t>
            </w:r>
            <w:r>
              <w:rPr>
                <w:rFonts w:hint="eastAsia"/>
                <w:color w:val="000000" w:themeColor="text1"/>
                <w:sz w:val="24"/>
                <w:szCs w:val="20"/>
                <w:highlight w:val="none"/>
                <w:lang w:eastAsia="zh-CN"/>
                <w14:textFill>
                  <w14:solidFill>
                    <w14:schemeClr w14:val="tx1"/>
                  </w14:solidFill>
                </w14:textFill>
              </w:rPr>
              <w:t>组装入库。</w:t>
            </w:r>
            <w:r>
              <w:rPr>
                <w:rFonts w:hint="eastAsia"/>
                <w:color w:val="000000" w:themeColor="text1"/>
                <w:sz w:val="24"/>
                <w:szCs w:val="20"/>
                <w:highlight w:val="none"/>
                <w14:textFill>
                  <w14:solidFill>
                    <w14:schemeClr w14:val="tx1"/>
                  </w14:solidFill>
                </w14:textFill>
              </w:rPr>
              <w:t>根据</w:t>
            </w:r>
            <w:r>
              <w:rPr>
                <w:rFonts w:hint="eastAsia"/>
                <w:color w:val="000000" w:themeColor="text1"/>
                <w:sz w:val="24"/>
                <w:szCs w:val="20"/>
                <w:highlight w:val="none"/>
                <w:lang w:eastAsia="zh-CN"/>
                <w14:textFill>
                  <w14:solidFill>
                    <w14:schemeClr w14:val="tx1"/>
                  </w14:solidFill>
                </w14:textFill>
              </w:rPr>
              <w:t>部分</w:t>
            </w:r>
            <w:r>
              <w:rPr>
                <w:rFonts w:hint="eastAsia"/>
                <w:color w:val="000000" w:themeColor="text1"/>
                <w:sz w:val="24"/>
                <w:szCs w:val="20"/>
                <w:highlight w:val="none"/>
                <w14:textFill>
                  <w14:solidFill>
                    <w14:schemeClr w14:val="tx1"/>
                  </w14:solidFill>
                </w14:textFill>
              </w:rPr>
              <w:t>客户要求，</w:t>
            </w:r>
            <w:r>
              <w:rPr>
                <w:rFonts w:hint="eastAsia"/>
                <w:color w:val="000000" w:themeColor="text1"/>
                <w:sz w:val="24"/>
                <w:szCs w:val="20"/>
                <w:highlight w:val="none"/>
                <w:lang w:eastAsia="zh-CN"/>
                <w14:textFill>
                  <w14:solidFill>
                    <w14:schemeClr w14:val="tx1"/>
                  </w14:solidFill>
                </w14:textFill>
              </w:rPr>
              <w:t>生产线拟新增</w:t>
            </w:r>
            <w:r>
              <w:rPr>
                <w:rFonts w:hint="eastAsia"/>
                <w:color w:val="000000" w:themeColor="text1"/>
                <w:sz w:val="24"/>
                <w:szCs w:val="20"/>
                <w:highlight w:val="none"/>
                <w:lang w:val="en-US" w:eastAsia="zh-CN"/>
                <w14:textFill>
                  <w14:solidFill>
                    <w14:schemeClr w14:val="tx1"/>
                  </w14:solidFill>
                </w14:textFill>
              </w:rPr>
              <w:t>封边、</w:t>
            </w:r>
            <w:r>
              <w:rPr>
                <w:rFonts w:hint="eastAsia"/>
                <w:color w:val="000000" w:themeColor="text1"/>
                <w:sz w:val="24"/>
                <w:szCs w:val="20"/>
                <w:highlight w:val="none"/>
                <w:lang w:val="en-US"/>
                <w14:textFill>
                  <w14:solidFill>
                    <w14:schemeClr w14:val="tx1"/>
                  </w14:solidFill>
                </w14:textFill>
              </w:rPr>
              <w:t>喷漆及打磨</w:t>
            </w:r>
            <w:r>
              <w:rPr>
                <w:rFonts w:hint="eastAsia"/>
                <w:color w:val="000000" w:themeColor="text1"/>
                <w:sz w:val="24"/>
                <w:szCs w:val="20"/>
                <w:highlight w:val="none"/>
                <w:lang w:val="en-US" w:eastAsia="zh-CN"/>
                <w14:textFill>
                  <w14:solidFill>
                    <w14:schemeClr w14:val="tx1"/>
                  </w14:solidFill>
                </w14:textFill>
              </w:rPr>
              <w:t>等</w:t>
            </w:r>
            <w:r>
              <w:rPr>
                <w:rFonts w:hint="eastAsia"/>
                <w:color w:val="000000" w:themeColor="text1"/>
                <w:sz w:val="24"/>
                <w:szCs w:val="20"/>
                <w:highlight w:val="none"/>
                <w:lang w:val="en-US"/>
                <w14:textFill>
                  <w14:solidFill>
                    <w14:schemeClr w14:val="tx1"/>
                  </w14:solidFill>
                </w14:textFill>
              </w:rPr>
              <w:t>工艺</w:t>
            </w:r>
            <w:r>
              <w:rPr>
                <w:rFonts w:hint="eastAsia"/>
                <w:color w:val="000000" w:themeColor="text1"/>
                <w:sz w:val="24"/>
                <w:szCs w:val="20"/>
                <w:highlight w:val="none"/>
                <w:lang w:eastAsia="zh-CN"/>
                <w14:textFill>
                  <w14:solidFill>
                    <w14:schemeClr w14:val="tx1"/>
                  </w14:solidFill>
                </w14:textFill>
              </w:rPr>
              <w:t>及配套设备，</w:t>
            </w:r>
            <w:r>
              <w:rPr>
                <w:rFonts w:hint="eastAsia"/>
                <w:color w:val="000000" w:themeColor="text1"/>
                <w:sz w:val="24"/>
                <w:szCs w:val="20"/>
                <w:highlight w:val="none"/>
                <w14:textFill>
                  <w14:solidFill>
                    <w14:schemeClr w14:val="tx1"/>
                  </w14:solidFill>
                </w14:textFill>
              </w:rPr>
              <w:t>板材用PUR封边胶进行木板封边，并使用冷压机及手工进行半成品取料跟造型设计</w:t>
            </w:r>
            <w:r>
              <w:rPr>
                <w:rFonts w:hint="eastAsia"/>
                <w:color w:val="000000" w:themeColor="text1"/>
                <w:sz w:val="24"/>
                <w:szCs w:val="20"/>
                <w:highlight w:val="none"/>
                <w:lang w:eastAsia="zh-CN"/>
                <w14:textFill>
                  <w14:solidFill>
                    <w14:schemeClr w14:val="tx1"/>
                  </w14:solidFill>
                </w14:textFill>
              </w:rPr>
              <w:t>；有喷漆补色需求的产品，</w:t>
            </w:r>
            <w:r>
              <w:rPr>
                <w:rFonts w:hint="eastAsia"/>
                <w:color w:val="000000" w:themeColor="text1"/>
                <w:sz w:val="24"/>
                <w:szCs w:val="20"/>
                <w:highlight w:val="none"/>
                <w14:textFill>
                  <w14:solidFill>
                    <w14:schemeClr w14:val="tx1"/>
                  </w14:solidFill>
                </w14:textFill>
              </w:rPr>
              <w:t>在环保打磨房内对板材进行平整打磨处理，打磨平整的半成品送至喷漆区</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14:textFill>
                  <w14:solidFill>
                    <w14:schemeClr w14:val="tx1"/>
                  </w14:solidFill>
                </w14:textFill>
              </w:rPr>
              <w:t>根据产品要求分别进行喷漆作业（</w:t>
            </w:r>
            <w:r>
              <w:rPr>
                <w:rFonts w:hint="eastAsia"/>
                <w:color w:val="000000" w:themeColor="text1"/>
                <w:sz w:val="24"/>
                <w:szCs w:val="20"/>
                <w:highlight w:val="none"/>
                <w:lang w:eastAsia="zh-CN"/>
                <w14:textFill>
                  <w14:solidFill>
                    <w14:schemeClr w14:val="tx1"/>
                  </w14:solidFill>
                </w14:textFill>
              </w:rPr>
              <w:t>调漆、</w:t>
            </w:r>
            <w:r>
              <w:rPr>
                <w:rFonts w:hint="eastAsia"/>
                <w:color w:val="000000" w:themeColor="text1"/>
                <w:sz w:val="24"/>
                <w:szCs w:val="20"/>
                <w:highlight w:val="none"/>
                <w14:textFill>
                  <w14:solidFill>
                    <w14:schemeClr w14:val="tx1"/>
                  </w14:solidFill>
                </w14:textFill>
              </w:rPr>
              <w:t>喷底漆、修色、面漆）</w:t>
            </w:r>
            <w:r>
              <w:rPr>
                <w:rFonts w:hint="eastAsia"/>
                <w:color w:val="000000" w:themeColor="text1"/>
                <w:sz w:val="24"/>
                <w:szCs w:val="20"/>
                <w:highlight w:val="none"/>
                <w:lang w:eastAsia="zh-CN"/>
                <w14:textFill>
                  <w14:solidFill>
                    <w14:schemeClr w14:val="tx1"/>
                  </w14:solidFill>
                </w14:textFill>
              </w:rPr>
              <w:t>。</w:t>
            </w:r>
            <w:r>
              <w:rPr>
                <w:rFonts w:hint="eastAsia"/>
                <w:color w:val="000000" w:themeColor="text1"/>
                <w:sz w:val="24"/>
                <w:szCs w:val="20"/>
                <w:highlight w:val="none"/>
                <w14:textFill>
                  <w14:solidFill>
                    <w14:schemeClr w14:val="tx1"/>
                  </w14:solidFill>
                </w14:textFill>
              </w:rPr>
              <w:t>喷漆工序主要使用水性漆，小部分使用聚氨酯漆</w:t>
            </w:r>
            <w:r>
              <w:rPr>
                <w:rFonts w:hint="eastAsia"/>
                <w:color w:val="000000" w:themeColor="text1"/>
                <w:sz w:val="24"/>
                <w:szCs w:val="20"/>
                <w:highlight w:val="none"/>
                <w:lang w:eastAsia="zh-CN"/>
                <w14:textFill>
                  <w14:solidFill>
                    <w14:schemeClr w14:val="tx1"/>
                  </w14:solidFill>
                </w14:textFill>
              </w:rPr>
              <w:t>；项目不设置单独调漆区域，在喷漆工位现调现用</w:t>
            </w:r>
            <w:r>
              <w:rPr>
                <w:rFonts w:hint="eastAsia"/>
                <w:color w:val="000000" w:themeColor="text1"/>
                <w:sz w:val="24"/>
                <w:szCs w:val="20"/>
                <w:highlight w:val="none"/>
                <w14:textFill>
                  <w14:solidFill>
                    <w14:schemeClr w14:val="tx1"/>
                  </w14:solidFill>
                </w14:textFill>
              </w:rPr>
              <w:t>。上漆之后半成品分别进入各种的烘干线</w:t>
            </w:r>
            <w:r>
              <w:rPr>
                <w:rFonts w:hint="eastAsia"/>
                <w:color w:val="000000" w:themeColor="text1"/>
                <w:sz w:val="24"/>
                <w:szCs w:val="20"/>
                <w:highlight w:val="none"/>
                <w:lang w:eastAsia="zh-CN"/>
                <w14:textFill>
                  <w14:solidFill>
                    <w14:schemeClr w14:val="tx1"/>
                  </w14:solidFill>
                </w14:textFill>
              </w:rPr>
              <w:t>（表干房自带电除湿机和电热风机）</w:t>
            </w:r>
            <w:r>
              <w:rPr>
                <w:rFonts w:hint="eastAsia"/>
                <w:color w:val="000000" w:themeColor="text1"/>
                <w:sz w:val="24"/>
                <w:szCs w:val="20"/>
                <w:highlight w:val="none"/>
                <w14:textFill>
                  <w14:solidFill>
                    <w14:schemeClr w14:val="tx1"/>
                  </w14:solidFill>
                </w14:textFill>
              </w:rPr>
              <w:t>进行烘干，烘干后使用珍珠棉、纸箱对成品进行包装，送至成品区暂存，等待交付客户。</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2、根据</w:t>
            </w:r>
            <w:r>
              <w:rPr>
                <w:color w:val="000000" w:themeColor="text1"/>
                <w:highlight w:val="none"/>
                <w14:textFill>
                  <w14:solidFill>
                    <w14:schemeClr w14:val="tx1"/>
                  </w14:solidFill>
                </w14:textFill>
              </w:rPr>
              <w:t>项目生产工艺，项目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运营期生产产污环节汇总见表2.</w:t>
            </w:r>
            <w:r>
              <w:rPr>
                <w:rFonts w:hint="eastAsia"/>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t>。</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表2.</w:t>
            </w:r>
            <w:r>
              <w:rPr>
                <w:rFonts w:hint="eastAsia" w:ascii="Times New Roman" w:hAnsi="Times New Roman"/>
                <w:b/>
                <w:color w:val="000000" w:themeColor="text1"/>
                <w:highlight w:val="none"/>
                <w14:textFill>
                  <w14:solidFill>
                    <w14:schemeClr w14:val="tx1"/>
                  </w14:solidFill>
                </w14:textFill>
              </w:rPr>
              <w:t>7</w:t>
            </w:r>
            <w:r>
              <w:rPr>
                <w:rFonts w:ascii="Times New Roman" w:hAnsi="Times New Roman"/>
                <w:b/>
                <w:color w:val="000000" w:themeColor="text1"/>
                <w:highlight w:val="none"/>
                <w14:textFill>
                  <w14:solidFill>
                    <w14:schemeClr w14:val="tx1"/>
                  </w14:solidFill>
                </w14:textFill>
              </w:rPr>
              <w:t xml:space="preserve">-1 </w:t>
            </w:r>
            <w:r>
              <w:rPr>
                <w:rFonts w:hint="eastAsia" w:ascii="Times New Roman" w:hAnsi="Times New Roman"/>
                <w:b/>
                <w:color w:val="000000" w:themeColor="text1"/>
                <w:highlight w:val="none"/>
                <w:lang w:eastAsia="zh-CN"/>
                <w14:textFill>
                  <w14:solidFill>
                    <w14:schemeClr w14:val="tx1"/>
                  </w14:solidFill>
                </w14:textFill>
              </w:rPr>
              <w:t>扩建</w:t>
            </w:r>
            <w:r>
              <w:rPr>
                <w:rFonts w:ascii="Times New Roman" w:hAnsi="Times New Roman"/>
                <w:b/>
                <w:color w:val="000000" w:themeColor="text1"/>
                <w:highlight w:val="none"/>
                <w14:textFill>
                  <w14:solidFill>
                    <w14:schemeClr w14:val="tx1"/>
                  </w14:solidFill>
                </w14:textFill>
              </w:rPr>
              <w:t>项目运营期生产产污环节汇总表</w:t>
            </w:r>
          </w:p>
          <w:tbl>
            <w:tblPr>
              <w:tblStyle w:val="37"/>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562"/>
              <w:gridCol w:w="1416"/>
              <w:gridCol w:w="1919"/>
              <w:gridCol w:w="1712"/>
              <w:gridCol w:w="2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336" w:type="pct"/>
                  <w:vAlign w:val="center"/>
                </w:tcPr>
                <w:p>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类别</w:t>
                  </w:r>
                </w:p>
              </w:tc>
              <w:tc>
                <w:tcPr>
                  <w:tcW w:w="847" w:type="pct"/>
                  <w:vAlign w:val="center"/>
                </w:tcPr>
                <w:p>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污染源</w:t>
                  </w:r>
                </w:p>
              </w:tc>
              <w:tc>
                <w:tcPr>
                  <w:tcW w:w="1148" w:type="pct"/>
                  <w:vAlign w:val="center"/>
                </w:tcPr>
                <w:p>
                  <w:pPr>
                    <w:adjustRightInd w:val="0"/>
                    <w:spacing w:line="320" w:lineRule="exact"/>
                    <w:jc w:val="center"/>
                    <w:textAlignment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产污环节</w:t>
                  </w:r>
                </w:p>
              </w:tc>
              <w:tc>
                <w:tcPr>
                  <w:tcW w:w="1024" w:type="pct"/>
                  <w:vAlign w:val="center"/>
                </w:tcPr>
                <w:p>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污染物</w:t>
                  </w:r>
                </w:p>
              </w:tc>
              <w:tc>
                <w:tcPr>
                  <w:tcW w:w="1643" w:type="pct"/>
                  <w:vAlign w:val="center"/>
                </w:tcPr>
                <w:p>
                  <w:pPr>
                    <w:adjustRightInd w:val="0"/>
                    <w:spacing w:line="320" w:lineRule="exact"/>
                    <w:jc w:val="center"/>
                    <w:textAlignment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336" w:type="pct"/>
                  <w:vMerge w:val="restar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w:t>
                  </w:r>
                </w:p>
              </w:tc>
              <w:tc>
                <w:tcPr>
                  <w:tcW w:w="1148" w:type="pct"/>
                  <w:vAlign w:val="center"/>
                </w:tcPr>
                <w:p>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生活用水</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pH、COD、BOD</w:t>
                  </w:r>
                  <w:r>
                    <w:rPr>
                      <w:rFonts w:hint="eastAsia"/>
                      <w:color w:val="000000" w:themeColor="text1"/>
                      <w:szCs w:val="21"/>
                      <w:highlight w:val="none"/>
                      <w:vertAlign w:val="subscript"/>
                      <w14:textFill>
                        <w14:solidFill>
                          <w14:schemeClr w14:val="tx1"/>
                        </w14:solidFill>
                      </w14:textFill>
                    </w:rPr>
                    <w:t>5</w:t>
                  </w:r>
                  <w:r>
                    <w:rPr>
                      <w:rFonts w:hint="eastAsia"/>
                      <w:color w:val="000000" w:themeColor="text1"/>
                      <w:szCs w:val="21"/>
                      <w:highlight w:val="none"/>
                      <w14:textFill>
                        <w14:solidFill>
                          <w14:schemeClr w14:val="tx1"/>
                        </w14:solidFill>
                      </w14:textFill>
                    </w:rPr>
                    <w:t>、</w:t>
                  </w:r>
                  <w:bookmarkStart w:id="2" w:name="OLE_LINK19"/>
                  <w:bookmarkStart w:id="3" w:name="OLE_LINK18"/>
                  <w:r>
                    <w:rPr>
                      <w:rFonts w:hint="eastAsia"/>
                      <w:color w:val="000000" w:themeColor="text1"/>
                      <w:szCs w:val="21"/>
                      <w:highlight w:val="none"/>
                      <w14:textFill>
                        <w14:solidFill>
                          <w14:schemeClr w14:val="tx1"/>
                        </w14:solidFill>
                      </w14:textFill>
                    </w:rPr>
                    <w:t>SS、氨氮等</w:t>
                  </w:r>
                  <w:bookmarkEnd w:id="2"/>
                  <w:bookmarkEnd w:id="3"/>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经厂区化粪池预处理后，接入市政污水管网，最终纳入福清市融元污水处理厂处理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68" w:hRule="atLeast"/>
              </w:trPr>
              <w:tc>
                <w:tcPr>
                  <w:tcW w:w="336" w:type="pct"/>
                  <w:vMerge w:val="continue"/>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生产废水</w:t>
                  </w:r>
                </w:p>
              </w:tc>
              <w:tc>
                <w:tcPr>
                  <w:tcW w:w="1148" w:type="pct"/>
                  <w:vAlign w:val="center"/>
                </w:tcPr>
                <w:p>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喷漆水帘柜废水、打磨房喷淋废水、喷淋塔废水</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SS</w:t>
                  </w:r>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经配套废水处理设施（混凝压滤工艺）处理后循环使用，不外排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restar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p>
              </w:tc>
              <w:tc>
                <w:tcPr>
                  <w:tcW w:w="1148"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钻孔、拉槽、镂铣、圆角、砂光等工序</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颗粒物</w:t>
                  </w:r>
                </w:p>
              </w:tc>
              <w:tc>
                <w:tcPr>
                  <w:tcW w:w="1643" w:type="pct"/>
                  <w:vAlign w:val="center"/>
                </w:tcPr>
                <w:p>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调漆喷漆及烘干工序有机废气</w:t>
                  </w:r>
                </w:p>
              </w:tc>
              <w:tc>
                <w:tcPr>
                  <w:tcW w:w="1148"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调漆、静电喷漆及烘干等工序</w:t>
                  </w:r>
                </w:p>
              </w:tc>
              <w:tc>
                <w:tcPr>
                  <w:tcW w:w="1024" w:type="pct"/>
                  <w:vAlign w:val="center"/>
                </w:tcPr>
                <w:p>
                  <w:pPr>
                    <w:adjustRightInd w:val="0"/>
                    <w:spacing w:line="320" w:lineRule="exact"/>
                    <w:jc w:val="center"/>
                    <w:textAlignment w:val="center"/>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非甲烷总烃</w:t>
                  </w:r>
                  <w:r>
                    <w:rPr>
                      <w:rFonts w:hint="eastAsia" w:hAnsi="宋体"/>
                      <w:bCs/>
                      <w:color w:val="000000" w:themeColor="text1"/>
                      <w:szCs w:val="21"/>
                      <w:highlight w:val="none"/>
                      <w14:textFill>
                        <w14:solidFill>
                          <w14:schemeClr w14:val="tx1"/>
                        </w14:solidFill>
                      </w14:textFill>
                    </w:rPr>
                    <w:t>、二甲苯、颗粒物</w:t>
                  </w:r>
                </w:p>
              </w:tc>
              <w:tc>
                <w:tcPr>
                  <w:tcW w:w="1643" w:type="pct"/>
                  <w:vAlign w:val="center"/>
                </w:tcPr>
                <w:p>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DA002</w:t>
                  </w:r>
                  <w:r>
                    <w:rPr>
                      <w:color w:val="000000" w:themeColor="text1"/>
                      <w:highlight w:val="none"/>
                      <w14:textFill>
                        <w14:solidFill>
                          <w14:schemeClr w14:val="tx1"/>
                        </w14:solidFill>
                      </w14:textFill>
                    </w:rPr>
                    <w:t>）排放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打磨区废气</w:t>
                  </w:r>
                </w:p>
              </w:tc>
              <w:tc>
                <w:tcPr>
                  <w:tcW w:w="1148"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打磨工序</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颗粒物</w:t>
                  </w:r>
                </w:p>
              </w:tc>
              <w:tc>
                <w:tcPr>
                  <w:tcW w:w="1643" w:type="pct"/>
                  <w:vAlign w:val="center"/>
                </w:tcPr>
                <w:p>
                  <w:pPr>
                    <w:pStyle w:val="95"/>
                    <w:rPr>
                      <w:color w:val="000000" w:themeColor="text1"/>
                      <w:highlight w:val="none"/>
                      <w:lang w:val="en-GB"/>
                      <w14:textFill>
                        <w14:solidFill>
                          <w14:schemeClr w14:val="tx1"/>
                        </w14:solidFill>
                      </w14:textFill>
                    </w:rPr>
                  </w:pPr>
                  <w:r>
                    <w:rPr>
                      <w:rFonts w:hint="eastAsia"/>
                      <w:color w:val="000000" w:themeColor="text1"/>
                      <w:highlight w:val="none"/>
                      <w14:textFill>
                        <w14:solidFill>
                          <w14:schemeClr w14:val="tx1"/>
                        </w14:solidFill>
                      </w14:textFill>
                    </w:rPr>
                    <w:t>设置环保喷淋打磨房，打磨粉尘经密闭打磨房内水除尘系统除尘后，少量颗粒物在车间内无组织排放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336"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噪声</w:t>
                  </w: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w:t>
                  </w:r>
                  <w:r>
                    <w:rPr>
                      <w:color w:val="000000" w:themeColor="text1"/>
                      <w:szCs w:val="21"/>
                      <w:highlight w:val="none"/>
                      <w14:textFill>
                        <w14:solidFill>
                          <w14:schemeClr w14:val="tx1"/>
                        </w14:solidFill>
                      </w14:textFill>
                    </w:rPr>
                    <w:t>设备</w:t>
                  </w:r>
                </w:p>
              </w:tc>
              <w:tc>
                <w:tcPr>
                  <w:tcW w:w="1148"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设备运行</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Leq</w:t>
                  </w:r>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厂房隔声、设备基础减振等综合降噪措施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restar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固废</w:t>
                  </w:r>
                </w:p>
              </w:tc>
              <w:tc>
                <w:tcPr>
                  <w:tcW w:w="847"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一般固废</w:t>
                  </w:r>
                </w:p>
              </w:tc>
              <w:tc>
                <w:tcPr>
                  <w:tcW w:w="1148" w:type="pct"/>
                  <w:vAlign w:val="center"/>
                </w:tcPr>
                <w:p>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生产过程、废气治理过程</w:t>
                  </w:r>
                </w:p>
              </w:tc>
              <w:tc>
                <w:tcPr>
                  <w:tcW w:w="1024"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废边角料、水性涂料废包装、</w:t>
                  </w:r>
                  <w:r>
                    <w:rPr>
                      <w:color w:val="000000" w:themeColor="text1"/>
                      <w:szCs w:val="21"/>
                      <w:highlight w:val="none"/>
                      <w14:textFill>
                        <w14:solidFill>
                          <w14:schemeClr w14:val="tx1"/>
                        </w14:solidFill>
                      </w14:textFill>
                    </w:rPr>
                    <w:t>布袋除尘收集</w:t>
                  </w:r>
                  <w:r>
                    <w:rPr>
                      <w:rFonts w:hint="eastAsia"/>
                      <w:color w:val="000000" w:themeColor="text1"/>
                      <w:szCs w:val="21"/>
                      <w:highlight w:val="none"/>
                      <w14:textFill>
                        <w14:solidFill>
                          <w14:schemeClr w14:val="tx1"/>
                        </w14:solidFill>
                      </w14:textFill>
                    </w:rPr>
                    <w:t>颗粒物</w:t>
                  </w:r>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w:t>
                  </w:r>
                  <w:r>
                    <w:rPr>
                      <w:color w:val="000000" w:themeColor="text1"/>
                      <w:szCs w:val="21"/>
                      <w:highlight w:val="none"/>
                      <w14:textFill>
                        <w14:solidFill>
                          <w14:schemeClr w14:val="tx1"/>
                        </w14:solidFill>
                      </w14:textFill>
                    </w:rPr>
                    <w:t>收集</w:t>
                  </w:r>
                  <w:r>
                    <w:rPr>
                      <w:rFonts w:hint="eastAsia"/>
                      <w:color w:val="000000" w:themeColor="text1"/>
                      <w:szCs w:val="21"/>
                      <w:highlight w:val="none"/>
                      <w14:textFill>
                        <w14:solidFill>
                          <w14:schemeClr w14:val="tx1"/>
                        </w14:solidFill>
                      </w14:textFill>
                    </w:rPr>
                    <w:t>定期外售给相关企业综合利用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336" w:type="pct"/>
                  <w:vMerge w:val="continue"/>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危险废物</w:t>
                  </w:r>
                </w:p>
              </w:tc>
              <w:tc>
                <w:tcPr>
                  <w:tcW w:w="1148" w:type="pct"/>
                  <w:vAlign w:val="center"/>
                </w:tcPr>
                <w:p>
                  <w:pPr>
                    <w:pStyle w:val="331"/>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生产过程、废气处理设备、废水处理设备</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溶剂型涂料废包装、废吸附介质（废活性炭）、废漆渣、废水处理污泥</w:t>
                  </w:r>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分类收集后储存于危废暂存间，委托具有资质的单位进行处理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38" w:hRule="atLeast"/>
              </w:trPr>
              <w:tc>
                <w:tcPr>
                  <w:tcW w:w="336" w:type="pct"/>
                  <w:vMerge w:val="continue"/>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p>
              </w:tc>
              <w:tc>
                <w:tcPr>
                  <w:tcW w:w="847"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1148" w:type="pct"/>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职工生活</w:t>
                  </w:r>
                </w:p>
              </w:tc>
              <w:tc>
                <w:tcPr>
                  <w:tcW w:w="1024"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生活垃圾等</w:t>
                  </w:r>
                </w:p>
              </w:tc>
              <w:tc>
                <w:tcPr>
                  <w:tcW w:w="1643" w:type="pct"/>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分类收集，定期委托</w:t>
                  </w:r>
                  <w:r>
                    <w:rPr>
                      <w:color w:val="000000" w:themeColor="text1"/>
                      <w:szCs w:val="21"/>
                      <w:highlight w:val="none"/>
                      <w14:textFill>
                        <w14:solidFill>
                          <w14:schemeClr w14:val="tx1"/>
                        </w14:solidFill>
                      </w14:textFill>
                    </w:rPr>
                    <w:t>环卫部门处理</w:t>
                  </w:r>
                </w:p>
              </w:tc>
            </w:tr>
          </w:tbl>
          <w:p>
            <w:pPr>
              <w:spacing w:before="120" w:beforeLines="50" w:line="360" w:lineRule="auto"/>
              <w:outlineLvl w:val="1"/>
              <w:rPr>
                <w:b/>
                <w:color w:val="000000" w:themeColor="text1"/>
                <w:sz w:val="30"/>
                <w:szCs w:val="30"/>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6" w:hRule="atLeast"/>
          <w:jc w:val="center"/>
        </w:trPr>
        <w:tc>
          <w:tcPr>
            <w:tcW w:w="455" w:type="dxa"/>
            <w:vAlign w:val="center"/>
          </w:tcPr>
          <w:p>
            <w:pPr>
              <w:pStyle w:val="24"/>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605" w:type="dxa"/>
            <w:vAlign w:val="center"/>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2.7</w:t>
            </w:r>
            <w:r>
              <w:rPr>
                <w:rFonts w:hint="eastAsia"/>
                <w:b/>
                <w:color w:val="000000" w:themeColor="text1"/>
                <w:sz w:val="30"/>
                <w:szCs w:val="30"/>
                <w:highlight w:val="none"/>
                <w14:textFill>
                  <w14:solidFill>
                    <w14:schemeClr w14:val="tx1"/>
                  </w14:solidFill>
                </w14:textFill>
              </w:rPr>
              <w:t>现有</w:t>
            </w:r>
            <w:r>
              <w:rPr>
                <w:b/>
                <w:color w:val="000000" w:themeColor="text1"/>
                <w:sz w:val="30"/>
                <w:szCs w:val="30"/>
                <w:highlight w:val="none"/>
                <w14:textFill>
                  <w14:solidFill>
                    <w14:schemeClr w14:val="tx1"/>
                  </w14:solidFill>
                </w14:textFill>
              </w:rPr>
              <w:t>工程回顾</w:t>
            </w:r>
          </w:p>
          <w:p>
            <w:pPr>
              <w:pStyle w:val="89"/>
              <w:spacing w:before="120" w:beforeLines="50"/>
              <w:textAlignment w:val="center"/>
              <w:rPr>
                <w:rFonts w:hint="eastAsia" w:eastAsia="宋体"/>
                <w:color w:val="000000" w:themeColor="text1"/>
                <w:sz w:val="28"/>
                <w:szCs w:val="28"/>
                <w:highlight w:val="none"/>
                <w:lang w:eastAsia="zh-CN"/>
                <w14:textFill>
                  <w14:solidFill>
                    <w14:schemeClr w14:val="tx1"/>
                  </w14:solidFill>
                </w14:textFill>
              </w:rPr>
            </w:pPr>
            <w:r>
              <w:rPr>
                <w:rFonts w:hint="eastAsia"/>
                <w:color w:val="000000" w:themeColor="text1"/>
                <w:sz w:val="28"/>
                <w:szCs w:val="28"/>
                <w:highlight w:val="none"/>
                <w14:textFill>
                  <w14:solidFill>
                    <w14:schemeClr w14:val="tx1"/>
                  </w14:solidFill>
                </w14:textFill>
              </w:rPr>
              <w:t>2.7.1现有工程</w:t>
            </w:r>
            <w:r>
              <w:rPr>
                <w:color w:val="000000" w:themeColor="text1"/>
                <w:sz w:val="28"/>
                <w:szCs w:val="28"/>
                <w:highlight w:val="none"/>
                <w14:textFill>
                  <w14:solidFill>
                    <w14:schemeClr w14:val="tx1"/>
                  </w14:solidFill>
                </w14:textFill>
              </w:rPr>
              <w:t>基本概况</w:t>
            </w:r>
            <w:r>
              <w:rPr>
                <w:rFonts w:hint="eastAsia"/>
                <w:color w:val="000000" w:themeColor="text1"/>
                <w:sz w:val="28"/>
                <w:szCs w:val="28"/>
                <w:highlight w:val="none"/>
                <w:lang w:eastAsia="zh-CN"/>
                <w14:textFill>
                  <w14:solidFill>
                    <w14:schemeClr w14:val="tx1"/>
                  </w14:solidFill>
                </w14:textFill>
              </w:rPr>
              <w:t>及环保手续履行情况</w:t>
            </w:r>
          </w:p>
          <w:p>
            <w:pPr>
              <w:pStyle w:val="282"/>
              <w:spacing w:line="360" w:lineRule="auto"/>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w:t>
            </w:r>
            <w:r>
              <w:rPr>
                <w:rFonts w:hint="eastAsia"/>
                <w:color w:val="000000" w:themeColor="text1"/>
                <w:highlight w:val="none"/>
                <w:lang w:val="en-US"/>
                <w14:textFill>
                  <w14:solidFill>
                    <w14:schemeClr w14:val="tx1"/>
                  </w14:solidFill>
                </w14:textFill>
              </w:rPr>
              <w:t>成立于2014年，2025年7月将经营场所变更至福建省福州市福清市阳下街道新局村福建乐翔服饰制造有限公司内</w:t>
            </w:r>
            <w:r>
              <w:rPr>
                <w:rFonts w:hint="eastAsia"/>
                <w:color w:val="000000" w:themeColor="text1"/>
                <w:highlight w:val="none"/>
                <w:lang w:val="en-US" w:eastAsia="zh-CN"/>
                <w14:textFill>
                  <w14:solidFill>
                    <w14:schemeClr w14:val="tx1"/>
                  </w14:solidFill>
                </w14:textFill>
              </w:rPr>
              <w:t>，公司名称变更登记通知书及营业制造详见附件1</w:t>
            </w:r>
            <w:r>
              <w:rPr>
                <w:rFonts w:hint="eastAsia"/>
                <w:color w:val="000000" w:themeColor="text1"/>
                <w:highlight w:val="none"/>
                <w:lang w:val="en-US"/>
                <w14:textFill>
                  <w14:solidFill>
                    <w14:schemeClr w14:val="tx1"/>
                  </w14:solidFill>
                </w14:textFill>
              </w:rPr>
              <w:t>。</w:t>
            </w:r>
          </w:p>
          <w:p>
            <w:pPr>
              <w:pStyle w:val="332"/>
              <w:rPr>
                <w:rFonts w:hint="eastAsia"/>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红树林（福州）智能家居有限公司</w:t>
            </w:r>
            <w:r>
              <w:rPr>
                <w:rFonts w:hint="eastAsia"/>
                <w:color w:val="000000" w:themeColor="text1"/>
                <w:highlight w:val="none"/>
                <w:lang w:val="en-US" w:eastAsia="zh-CN"/>
                <w14:textFill>
                  <w14:solidFill>
                    <w14:schemeClr w14:val="tx1"/>
                  </w14:solidFill>
                </w14:textFill>
              </w:rPr>
              <w:t>（原福清市红树林木业有限公司）原位于福清市阳下街道玉岭村28-1号，主要从事木质家具生产，生产工艺主要为木料切割及家具组装。根据</w:t>
            </w:r>
            <w:r>
              <w:rPr>
                <w:color w:val="000000" w:themeColor="text1"/>
                <w:highlight w:val="none"/>
                <w14:textFill>
                  <w14:solidFill>
                    <w14:schemeClr w14:val="tx1"/>
                  </w14:solidFill>
                </w14:textFill>
              </w:rPr>
              <w:t>《建设项目环境影响评价分类管理名录》(2021年版)规定，</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14:textFill>
                  <w14:solidFill>
                    <w14:schemeClr w14:val="tx1"/>
                  </w14:solidFill>
                </w14:textFill>
              </w:rPr>
              <w:t>属于十八、家具制造业21</w:t>
            </w:r>
            <w:r>
              <w:rPr>
                <w:rFonts w:hint="eastAsia"/>
                <w:color w:val="000000" w:themeColor="text1"/>
                <w:highlight w:val="none"/>
                <w:lang w:val="en-US"/>
                <w14:textFill>
                  <w14:solidFill>
                    <w14:schemeClr w14:val="tx1"/>
                  </w14:solidFill>
                </w14:textFill>
              </w:rPr>
              <w:t>-</w:t>
            </w:r>
            <w:r>
              <w:rPr>
                <w:rFonts w:hint="eastAsia"/>
                <w:color w:val="000000" w:themeColor="text1"/>
                <w:highlight w:val="none"/>
                <w14:textFill>
                  <w14:solidFill>
                    <w14:schemeClr w14:val="tx1"/>
                  </w14:solidFill>
                </w14:textFill>
              </w:rPr>
              <w:t>木质家具制造211*中的</w:t>
            </w:r>
            <w:r>
              <w:rPr>
                <w:rFonts w:hint="eastAsia"/>
                <w:color w:val="000000" w:themeColor="text1"/>
                <w:highlight w:val="none"/>
                <w:lang w:eastAsia="zh-CN"/>
                <w14:textFill>
                  <w14:solidFill>
                    <w14:schemeClr w14:val="tx1"/>
                  </w14:solidFill>
                </w14:textFill>
              </w:rPr>
              <w:t>其他除外类别（仅分割、组装），不需要办理环评审批手续。另</w:t>
            </w:r>
            <w:r>
              <w:rPr>
                <w:color w:val="000000" w:themeColor="text1"/>
                <w:highlight w:val="none"/>
                <w14:textFill>
                  <w14:solidFill>
                    <w14:schemeClr w14:val="tx1"/>
                  </w14:solidFill>
                </w14:textFill>
              </w:rPr>
              <w:t>根据《固定污染源排污许可分类管理名录（2019年版）》，属于</w:t>
            </w:r>
            <w:r>
              <w:rPr>
                <w:rFonts w:hint="eastAsia"/>
                <w:color w:val="000000" w:themeColor="text1"/>
                <w:highlight w:val="none"/>
                <w14:textFill>
                  <w14:solidFill>
                    <w14:schemeClr w14:val="tx1"/>
                  </w14:solidFill>
                </w14:textFill>
              </w:rPr>
              <w:t>木质家具制造211</w:t>
            </w:r>
            <w:r>
              <w:rPr>
                <w:color w:val="000000" w:themeColor="text1"/>
                <w:highlight w:val="none"/>
                <w14:textFill>
                  <w14:solidFill>
                    <w14:schemeClr w14:val="tx1"/>
                  </w14:solidFill>
                </w14:textFill>
              </w:rPr>
              <w:t>的管理行业</w:t>
            </w:r>
            <w:r>
              <w:rPr>
                <w:rFonts w:hint="eastAsia"/>
                <w:color w:val="000000" w:themeColor="text1"/>
                <w:highlight w:val="none"/>
                <w:lang w:eastAsia="zh-CN"/>
                <w14:textFill>
                  <w14:solidFill>
                    <w14:schemeClr w14:val="tx1"/>
                  </w14:solidFill>
                </w14:textFill>
              </w:rPr>
              <w:t>中其他类别</w:t>
            </w:r>
            <w:r>
              <w:rPr>
                <w:color w:val="000000" w:themeColor="text1"/>
                <w:highlight w:val="none"/>
                <w14:textFill>
                  <w14:solidFill>
                    <w14:schemeClr w14:val="tx1"/>
                  </w14:solidFill>
                </w14:textFill>
              </w:rPr>
              <w:t>，排污许可</w:t>
            </w:r>
            <w:r>
              <w:rPr>
                <w:rFonts w:hint="eastAsia"/>
                <w:color w:val="000000" w:themeColor="text1"/>
                <w:highlight w:val="none"/>
                <w:lang w:eastAsia="zh-CN"/>
                <w14:textFill>
                  <w14:solidFill>
                    <w14:schemeClr w14:val="tx1"/>
                  </w14:solidFill>
                </w14:textFill>
              </w:rPr>
              <w:t>管理</w:t>
            </w:r>
            <w:r>
              <w:rPr>
                <w:rFonts w:hint="eastAsia"/>
                <w:color w:val="000000" w:themeColor="text1"/>
                <w:highlight w:val="none"/>
                <w14:textFill>
                  <w14:solidFill>
                    <w14:schemeClr w14:val="tx1"/>
                  </w14:solidFill>
                </w14:textFill>
              </w:rPr>
              <w:t>属于登记管理类别</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lang w:val="en-US"/>
                <w14:textFill>
                  <w14:solidFill>
                    <w14:schemeClr w14:val="tx1"/>
                  </w14:solidFill>
                </w14:textFill>
              </w:rPr>
              <w:t>建设单位已于2</w:t>
            </w:r>
            <w:r>
              <w:rPr>
                <w:rFonts w:hint="eastAsia"/>
                <w:color w:val="000000" w:themeColor="text1"/>
                <w:highlight w:val="none"/>
                <w:lang w:val="en-US" w:eastAsia="zh-CN"/>
                <w14:textFill>
                  <w14:solidFill>
                    <w14:schemeClr w14:val="tx1"/>
                  </w14:solidFill>
                </w14:textFill>
              </w:rPr>
              <w:t>020</w:t>
            </w:r>
            <w:r>
              <w:rPr>
                <w:rFonts w:hint="eastAsia"/>
                <w:color w:val="000000" w:themeColor="text1"/>
                <w:highlight w:val="none"/>
                <w:lang w:val="en-US"/>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en-US"/>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16</w:t>
            </w:r>
            <w:r>
              <w:rPr>
                <w:rFonts w:hint="eastAsia"/>
                <w:color w:val="000000" w:themeColor="text1"/>
                <w:highlight w:val="none"/>
                <w:lang w:val="en-US"/>
                <w14:textFill>
                  <w14:solidFill>
                    <w14:schemeClr w14:val="tx1"/>
                  </w14:solidFill>
                </w14:textFill>
              </w:rPr>
              <w:t>日在全国排污许可证管理信用平台进行固定污染源排污登记，</w:t>
            </w:r>
            <w:r>
              <w:rPr>
                <w:rFonts w:hint="eastAsia"/>
                <w:color w:val="000000" w:themeColor="text1"/>
                <w:highlight w:val="none"/>
                <w:lang w:val="en-US" w:eastAsia="zh-CN"/>
                <w14:textFill>
                  <w14:solidFill>
                    <w14:schemeClr w14:val="tx1"/>
                  </w14:solidFill>
                </w14:textFill>
              </w:rPr>
              <w:t>登记</w:t>
            </w:r>
            <w:r>
              <w:rPr>
                <w:rFonts w:hint="eastAsia"/>
                <w:color w:val="000000" w:themeColor="text1"/>
                <w:highlight w:val="none"/>
                <w:lang w:val="en-US"/>
                <w14:textFill>
                  <w14:solidFill>
                    <w14:schemeClr w14:val="tx1"/>
                  </w14:solidFill>
                </w14:textFill>
              </w:rPr>
              <w:t>编号：</w:t>
            </w:r>
            <w:r>
              <w:rPr>
                <w:color w:val="000000" w:themeColor="text1"/>
                <w:highlight w:val="none"/>
                <w:lang w:val="en-US"/>
                <w14:textFill>
                  <w14:solidFill>
                    <w14:schemeClr w14:val="tx1"/>
                  </w14:solidFill>
                </w14:textFill>
              </w:rPr>
              <w:t>9135018131553930XY00</w:t>
            </w:r>
            <w:r>
              <w:rPr>
                <w:rFonts w:hint="eastAsia"/>
                <w:color w:val="000000" w:themeColor="text1"/>
                <w:highlight w:val="none"/>
                <w:lang w:val="en-US" w:eastAsia="zh-CN"/>
                <w14:textFill>
                  <w14:solidFill>
                    <w14:schemeClr w14:val="tx1"/>
                  </w14:solidFill>
                </w14:textFill>
              </w:rPr>
              <w:t>1</w:t>
            </w:r>
            <w:r>
              <w:rPr>
                <w:color w:val="000000" w:themeColor="text1"/>
                <w:highlight w:val="none"/>
                <w:lang w:val="en-US"/>
                <w14:textFill>
                  <w14:solidFill>
                    <w14:schemeClr w14:val="tx1"/>
                  </w14:solidFill>
                </w14:textFill>
              </w:rPr>
              <w:t>Z</w:t>
            </w:r>
            <w:r>
              <w:rPr>
                <w:rFonts w:hint="eastAsia"/>
                <w:color w:val="000000" w:themeColor="text1"/>
                <w:highlight w:val="none"/>
                <w:lang w:val="en-US"/>
                <w14:textFill>
                  <w14:solidFill>
                    <w14:schemeClr w14:val="tx1"/>
                  </w14:solidFill>
                </w14:textFill>
              </w:rPr>
              <w:t>。</w:t>
            </w:r>
          </w:p>
          <w:p>
            <w:pPr>
              <w:pStyle w:val="332"/>
              <w:rPr>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2025年公司重新选址，</w:t>
            </w:r>
            <w:r>
              <w:rPr>
                <w:rFonts w:hint="eastAsia" w:eastAsia="宋体"/>
                <w:color w:val="000000" w:themeColor="text1"/>
                <w:sz w:val="24"/>
                <w:highlight w:val="none"/>
                <w:lang w:val="en-US" w:eastAsia="zh-CN"/>
                <w14:textFill>
                  <w14:solidFill>
                    <w14:schemeClr w14:val="tx1"/>
                  </w14:solidFill>
                </w14:textFill>
              </w:rPr>
              <w:t>租赁福建乐翔服饰制造有限公司1号厂房1层及3层</w:t>
            </w:r>
            <w:r>
              <w:rPr>
                <w:rFonts w:hint="eastAsia"/>
                <w:color w:val="000000" w:themeColor="text1"/>
                <w:sz w:val="24"/>
                <w:highlight w:val="none"/>
                <w:lang w:val="en-US" w:eastAsia="zh-CN"/>
                <w14:textFill>
                  <w14:solidFill>
                    <w14:schemeClr w14:val="tx1"/>
                  </w14:solidFill>
                </w14:textFill>
              </w:rPr>
              <w:t>，2025年8月，</w:t>
            </w:r>
            <w:r>
              <w:rPr>
                <w:rFonts w:hint="eastAsia"/>
                <w:color w:val="000000" w:themeColor="text1"/>
                <w:highlight w:val="none"/>
                <w:lang w:val="en-US" w:eastAsia="zh-CN"/>
                <w14:textFill>
                  <w14:solidFill>
                    <w14:schemeClr w14:val="tx1"/>
                  </w14:solidFill>
                </w14:textFill>
              </w:rPr>
              <w:t>建设单位将现有项目切割及组装设备搬至新厂区，由于原排污登记表未及时延续已失效，建设单位于2025年9月19日</w:t>
            </w:r>
            <w:r>
              <w:rPr>
                <w:rFonts w:hint="eastAsia"/>
                <w:color w:val="000000" w:themeColor="text1"/>
                <w:highlight w:val="none"/>
                <w:lang w:val="en-US"/>
                <w14:textFill>
                  <w14:solidFill>
                    <w14:schemeClr w14:val="tx1"/>
                  </w14:solidFill>
                </w14:textFill>
              </w:rPr>
              <w:t>进行固定污染源排污登记</w:t>
            </w:r>
            <w:r>
              <w:rPr>
                <w:rFonts w:hint="eastAsia"/>
                <w:color w:val="000000" w:themeColor="text1"/>
                <w:highlight w:val="none"/>
                <w:lang w:val="en-US" w:eastAsia="zh-CN"/>
                <w14:textFill>
                  <w14:solidFill>
                    <w14:schemeClr w14:val="tx1"/>
                  </w14:solidFill>
                </w14:textFill>
              </w:rPr>
              <w:t>重新申请及变更，登记</w:t>
            </w:r>
            <w:r>
              <w:rPr>
                <w:rFonts w:hint="eastAsia"/>
                <w:color w:val="000000" w:themeColor="text1"/>
                <w:highlight w:val="none"/>
                <w:lang w:val="en-US"/>
                <w14:textFill>
                  <w14:solidFill>
                    <w14:schemeClr w14:val="tx1"/>
                  </w14:solidFill>
                </w14:textFill>
              </w:rPr>
              <w:t>编号：</w:t>
            </w:r>
            <w:r>
              <w:rPr>
                <w:color w:val="000000" w:themeColor="text1"/>
                <w:highlight w:val="none"/>
                <w:lang w:val="en-US"/>
                <w14:textFill>
                  <w14:solidFill>
                    <w14:schemeClr w14:val="tx1"/>
                  </w14:solidFill>
                </w14:textFill>
              </w:rPr>
              <w:t>9135018131553930XY002Z</w:t>
            </w:r>
            <w:r>
              <w:rPr>
                <w:rFonts w:hint="eastAsia"/>
                <w:color w:val="000000" w:themeColor="text1"/>
                <w:highlight w:val="none"/>
                <w:lang w:val="en-US"/>
                <w14:textFill>
                  <w14:solidFill>
                    <w14:schemeClr w14:val="tx1"/>
                  </w14:solidFill>
                </w14:textFill>
              </w:rPr>
              <w:t>。</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2.7.</w:t>
            </w:r>
            <w:r>
              <w:rPr>
                <w:rFonts w:hint="eastAsia"/>
                <w:color w:val="000000" w:themeColor="text1"/>
                <w:sz w:val="28"/>
                <w:szCs w:val="28"/>
                <w:highlight w:val="none"/>
                <w:lang w:val="en-US" w:eastAsia="zh-CN"/>
                <w14:textFill>
                  <w14:solidFill>
                    <w14:schemeClr w14:val="tx1"/>
                  </w14:solidFill>
                </w14:textFill>
              </w:rPr>
              <w:t>2</w:t>
            </w:r>
            <w:r>
              <w:rPr>
                <w:color w:val="000000" w:themeColor="text1"/>
                <w:sz w:val="28"/>
                <w:szCs w:val="28"/>
                <w:highlight w:val="none"/>
                <w14:textFill>
                  <w14:solidFill>
                    <w14:schemeClr w14:val="tx1"/>
                  </w14:solidFill>
                </w14:textFill>
              </w:rPr>
              <w:t>现有工程污染物产排情况</w:t>
            </w:r>
          </w:p>
          <w:p>
            <w:pPr>
              <w:pStyle w:val="16"/>
              <w:spacing w:after="0" w:line="360" w:lineRule="auto"/>
              <w:ind w:left="0" w:leftChars="0"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现有工程</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w:t>
            </w:r>
            <w:r>
              <w:rPr>
                <w:rFonts w:hint="eastAsia"/>
                <w:color w:val="000000" w:themeColor="text1"/>
                <w:highlight w:val="none"/>
                <w14:textFill>
                  <w14:solidFill>
                    <w14:schemeClr w14:val="tx1"/>
                  </w14:solidFill>
                </w14:textFill>
              </w:rPr>
              <w:t>木工加工设备会产生一定量的木质颗粒物。</w:t>
            </w:r>
            <w:r>
              <w:rPr>
                <w:rFonts w:hint="eastAsia"/>
                <w:color w:val="000000" w:themeColor="text1"/>
                <w:highlight w:val="none"/>
                <w:lang w:eastAsia="zh-CN"/>
                <w14:textFill>
                  <w14:solidFill>
                    <w14:schemeClr w14:val="tx1"/>
                  </w14:solidFill>
                </w14:textFill>
              </w:rPr>
              <w:t>由于现有工程不需要办理环评手续，未进行现状产排污核算及污染源监测，本评价在扩建项目主要环境影响废气章节根据扩建后生产规模进行污染源强核算。</w:t>
            </w:r>
          </w:p>
          <w:p>
            <w:pPr>
              <w:pStyle w:val="237"/>
              <w:ind w:firstLine="0" w:firstLineChars="0"/>
              <w:rPr>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2.7.</w:t>
            </w:r>
            <w:r>
              <w:rPr>
                <w:rFonts w:hint="eastAsia"/>
                <w:b/>
                <w:color w:val="000000" w:themeColor="text1"/>
                <w:sz w:val="28"/>
                <w:szCs w:val="28"/>
                <w:highlight w:val="none"/>
                <w:lang w:val="en-US" w:eastAsia="zh-CN"/>
                <w14:textFill>
                  <w14:solidFill>
                    <w14:schemeClr w14:val="tx1"/>
                  </w14:solidFill>
                </w14:textFill>
              </w:rPr>
              <w:t>3</w:t>
            </w:r>
            <w:r>
              <w:rPr>
                <w:rFonts w:hint="eastAsia"/>
                <w:b/>
                <w:color w:val="000000" w:themeColor="text1"/>
                <w:sz w:val="28"/>
                <w:szCs w:val="28"/>
                <w:highlight w:val="none"/>
                <w14:textFill>
                  <w14:solidFill>
                    <w14:schemeClr w14:val="tx1"/>
                  </w14:solidFill>
                </w14:textFill>
              </w:rPr>
              <w:t>现有工程环境问题及整改措施</w:t>
            </w:r>
          </w:p>
          <w:p>
            <w:pPr>
              <w:pStyle w:val="16"/>
              <w:spacing w:after="0" w:line="360" w:lineRule="auto"/>
              <w:ind w:left="0" w:leftChars="0" w:firstLine="480" w:firstLineChars="20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现有工程木工区原设置移动式集成设施，由于项</w:t>
            </w:r>
            <w:r>
              <w:rPr>
                <w:rFonts w:hint="eastAsia" w:cs="Times New Roman"/>
                <w:color w:val="000000" w:themeColor="text1"/>
                <w:highlight w:val="none"/>
                <w:lang w:eastAsia="zh-CN"/>
                <w14:textFill>
                  <w14:solidFill>
                    <w14:schemeClr w14:val="tx1"/>
                  </w14:solidFill>
                </w14:textFill>
              </w:rPr>
              <w:t>目扩建</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拟在</w:t>
            </w:r>
            <w:r>
              <w:rPr>
                <w:rFonts w:hint="eastAsia" w:ascii="Times New Roman" w:hAnsi="Times New Roman" w:eastAsia="宋体" w:cs="Times New Roman"/>
                <w:color w:val="000000" w:themeColor="text1"/>
                <w:highlight w:val="none"/>
                <w:lang w:val="en-US"/>
                <w14:textFill>
                  <w14:solidFill>
                    <w14:schemeClr w14:val="tx1"/>
                  </w14:solidFill>
                </w14:textFill>
              </w:rPr>
              <w:t>1F</w:t>
            </w:r>
            <w:r>
              <w:rPr>
                <w:rFonts w:hint="eastAsia" w:ascii="Times New Roman" w:hAnsi="Times New Roman" w:eastAsia="宋体" w:cs="Times New Roman"/>
                <w:color w:val="000000" w:themeColor="text1"/>
                <w:highlight w:val="none"/>
                <w14:textFill>
                  <w14:solidFill>
                    <w14:schemeClr w14:val="tx1"/>
                  </w14:solidFill>
                </w14:textFill>
              </w:rPr>
              <w:t>雕刻机、</w:t>
            </w:r>
            <w:r>
              <w:rPr>
                <w:rFonts w:hint="eastAsia" w:ascii="Times New Roman" w:hAnsi="Times New Roman" w:eastAsia="宋体" w:cs="Times New Roman"/>
                <w:color w:val="000000" w:themeColor="text1"/>
                <w:highlight w:val="none"/>
                <w:lang w:val="en-US"/>
                <w14:textFill>
                  <w14:solidFill>
                    <w14:schemeClr w14:val="tx1"/>
                  </w14:solidFill>
                </w14:textFill>
              </w:rPr>
              <w:t>精锯、砂光等产生粉尘颗粒物的</w:t>
            </w:r>
            <w:r>
              <w:rPr>
                <w:rFonts w:hint="eastAsia" w:ascii="Times New Roman" w:hAnsi="Times New Roman" w:eastAsia="宋体" w:cs="Times New Roman"/>
                <w:color w:val="000000" w:themeColor="text1"/>
                <w:highlight w:val="none"/>
                <w14:textFill>
                  <w14:solidFill>
                    <w14:schemeClr w14:val="tx1"/>
                  </w14:solidFill>
                </w14:textFill>
              </w:rPr>
              <w:t>设备上方及</w:t>
            </w:r>
            <w:r>
              <w:rPr>
                <w:rFonts w:hint="eastAsia" w:ascii="Times New Roman" w:hAnsi="Times New Roman" w:eastAsia="宋体" w:cs="Times New Roman"/>
                <w:color w:val="000000" w:themeColor="text1"/>
                <w:highlight w:val="none"/>
                <w:lang w:val="en-US"/>
                <w14:textFill>
                  <w14:solidFill>
                    <w14:schemeClr w14:val="tx1"/>
                  </w14:solidFill>
                </w14:textFill>
              </w:rPr>
              <w:t>3F砂光设备上方</w:t>
            </w:r>
            <w:r>
              <w:rPr>
                <w:rFonts w:hint="eastAsia" w:cs="Times New Roman"/>
                <w:color w:val="000000" w:themeColor="text1"/>
                <w:highlight w:val="none"/>
                <w:lang w:val="en-US" w:eastAsia="zh-CN"/>
                <w14:textFill>
                  <w14:solidFill>
                    <w14:schemeClr w14:val="tx1"/>
                  </w14:solidFill>
                </w14:textFill>
              </w:rPr>
              <w:t>新增</w:t>
            </w:r>
            <w:r>
              <w:rPr>
                <w:rFonts w:hint="eastAsia" w:ascii="Times New Roman" w:hAnsi="Times New Roman" w:eastAsia="宋体" w:cs="Times New Roman"/>
                <w:color w:val="000000" w:themeColor="text1"/>
                <w:highlight w:val="none"/>
                <w14:textFill>
                  <w14:solidFill>
                    <w14:schemeClr w14:val="tx1"/>
                  </w14:solidFill>
                </w14:textFill>
              </w:rPr>
              <w:t>集气罩，集中收集的木工</w:t>
            </w:r>
            <w:r>
              <w:rPr>
                <w:rFonts w:hint="eastAsia" w:ascii="Times New Roman" w:hAnsi="Times New Roman" w:eastAsia="宋体" w:cs="Times New Roman"/>
                <w:color w:val="000000" w:themeColor="text1"/>
                <w:highlight w:val="none"/>
                <w:lang w:eastAsia="zh-CN"/>
                <w14:textFill>
                  <w14:solidFill>
                    <w14:schemeClr w14:val="tx1"/>
                  </w14:solidFill>
                </w14:textFill>
              </w:rPr>
              <w:t>区</w:t>
            </w:r>
            <w:r>
              <w:rPr>
                <w:rFonts w:hint="eastAsia" w:ascii="Times New Roman" w:hAnsi="Times New Roman" w:eastAsia="宋体" w:cs="Times New Roman"/>
                <w:color w:val="000000" w:themeColor="text1"/>
                <w:highlight w:val="none"/>
                <w14:textFill>
                  <w14:solidFill>
                    <w14:schemeClr w14:val="tx1"/>
                  </w14:solidFill>
                </w14:textFill>
              </w:rPr>
              <w:t>废气通过1套中央除尘器（布袋除尘设施）处理后有组织排放，通过1根15m高排气筒（DA001）排放。</w:t>
            </w:r>
            <w:r>
              <w:rPr>
                <w:rFonts w:hint="eastAsia" w:ascii="Times New Roman" w:hAnsi="Times New Roman" w:eastAsia="宋体" w:cs="Times New Roman"/>
                <w:color w:val="000000" w:themeColor="text1"/>
                <w:highlight w:val="none"/>
                <w:lang w:eastAsia="zh-CN"/>
                <w14:textFill>
                  <w14:solidFill>
                    <w14:schemeClr w14:val="tx1"/>
                  </w14:solidFill>
                </w14:textFill>
              </w:rPr>
              <w:t>粉尘颗粒</w:t>
            </w:r>
            <w:r>
              <w:rPr>
                <w:rFonts w:hint="eastAsia" w:ascii="Times New Roman" w:hAnsi="Times New Roman" w:eastAsia="宋体" w:cs="Times New Roman"/>
                <w:color w:val="000000" w:themeColor="text1"/>
                <w:highlight w:val="none"/>
                <w14:textFill>
                  <w14:solidFill>
                    <w14:schemeClr w14:val="tx1"/>
                  </w14:solidFill>
                </w14:textFill>
              </w:rPr>
              <w:t>。</w:t>
            </w:r>
          </w:p>
          <w:p>
            <w:pPr>
              <w:pStyle w:val="16"/>
              <w:spacing w:after="0" w:line="360" w:lineRule="auto"/>
              <w:ind w:left="0" w:leftChars="0" w:firstLine="480" w:firstLineChars="200"/>
              <w:rPr>
                <w:rFonts w:hint="eastAsia"/>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综上，</w:t>
            </w:r>
            <w:r>
              <w:rPr>
                <w:rFonts w:hint="eastAsia"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lang w:eastAsia="zh-CN"/>
                <w14:textFill>
                  <w14:solidFill>
                    <w14:schemeClr w14:val="tx1"/>
                  </w14:solidFill>
                </w14:textFill>
              </w:rPr>
              <w:t>后现有工程木工区产生的废气将得到有效治理，环境问题改善。</w:t>
            </w:r>
          </w:p>
        </w:tc>
      </w:tr>
    </w:tbl>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71" w:type="dxa"/>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区域</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质量</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现状</w:t>
            </w:r>
          </w:p>
        </w:tc>
        <w:tc>
          <w:tcPr>
            <w:tcW w:w="8816" w:type="dxa"/>
            <w:vAlign w:val="center"/>
          </w:tcPr>
          <w:p>
            <w:pPr>
              <w:spacing w:before="120" w:beforeLines="50" w:line="360" w:lineRule="auto"/>
              <w:outlineLvl w:val="1"/>
              <w:rPr>
                <w:color w:val="000000" w:themeColor="text1"/>
                <w:sz w:val="28"/>
                <w:szCs w:val="28"/>
                <w:highlight w:val="none"/>
                <w14:textFill>
                  <w14:solidFill>
                    <w14:schemeClr w14:val="tx1"/>
                  </w14:solidFill>
                </w14:textFill>
              </w:rPr>
            </w:pPr>
            <w:bookmarkStart w:id="4" w:name="_Toc3802"/>
            <w:bookmarkStart w:id="5" w:name="_Toc66217059"/>
            <w:bookmarkStart w:id="6" w:name="_Toc11698"/>
            <w:r>
              <w:rPr>
                <w:b/>
                <w:color w:val="000000" w:themeColor="text1"/>
                <w:sz w:val="30"/>
                <w:szCs w:val="30"/>
                <w:highlight w:val="none"/>
                <w14:textFill>
                  <w14:solidFill>
                    <w14:schemeClr w14:val="tx1"/>
                  </w14:solidFill>
                </w14:textFill>
              </w:rPr>
              <w:t>3.1环境质量现状</w:t>
            </w:r>
            <w:bookmarkEnd w:id="4"/>
            <w:bookmarkEnd w:id="5"/>
            <w:bookmarkEnd w:id="6"/>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3.1.1地表水环境质量现状</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生产废水经处理后循环使用，</w:t>
            </w:r>
            <w:r>
              <w:rPr>
                <w:color w:val="000000" w:themeColor="text1"/>
                <w:highlight w:val="none"/>
                <w14:textFill>
                  <w14:solidFill>
                    <w14:schemeClr w14:val="tx1"/>
                  </w14:solidFill>
                </w14:textFill>
              </w:rPr>
              <w:t>无生产废水</w:t>
            </w:r>
            <w:r>
              <w:rPr>
                <w:rFonts w:hint="eastAsia"/>
                <w:color w:val="000000" w:themeColor="text1"/>
                <w:highlight w:val="none"/>
                <w14:textFill>
                  <w14:solidFill>
                    <w14:schemeClr w14:val="tx1"/>
                  </w14:solidFill>
                </w14:textFill>
              </w:rPr>
              <w:t>外排</w:t>
            </w:r>
            <w:r>
              <w:rPr>
                <w:color w:val="000000" w:themeColor="text1"/>
                <w:highlight w:val="none"/>
                <w14:textFill>
                  <w14:solidFill>
                    <w14:schemeClr w14:val="tx1"/>
                  </w14:solidFill>
                </w14:textFill>
              </w:rPr>
              <w:t>。生活污水经厂内化粪池处理后，排入市政污水管网接入福清市融元污水处理厂统一处理，污水厂尾水排入龙江。根据福州市水功能区划批复（榕政综[2019]316号）批准的《福州市水功能区划》，该断面水体主要功能为该断面水体主要功能为农业、工业、景观用水，环境功能类别为Ⅴ类。</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为了解项目纳污水域地表水环境质量现状，根据福建省生态环境厅发布的《</w:t>
            </w:r>
            <w:r>
              <w:rPr>
                <w:rFonts w:hint="eastAsia"/>
                <w:color w:val="000000" w:themeColor="text1"/>
                <w:highlight w:val="none"/>
                <w14:textFill>
                  <w14:solidFill>
                    <w14:schemeClr w14:val="tx1"/>
                  </w14:solidFill>
                </w14:textFill>
              </w:rPr>
              <w:t>福建省流域水环境质量状况（2023年1-12月）</w:t>
            </w:r>
            <w:r>
              <w:rPr>
                <w:color w:val="000000" w:themeColor="text1"/>
                <w:highlight w:val="none"/>
                <w14:textFill>
                  <w14:solidFill>
                    <w14:schemeClr w14:val="tx1"/>
                  </w14:solidFill>
                </w14:textFill>
              </w:rPr>
              <w:t>》内容：2023年1―12月，全省主要流域总体水质为优，国控断面Ⅰ～Ⅲ类水质比例99.0％,Ⅰ～Ⅱ类水质比例68.6％；国控及省控断面Ⅰ～Ⅲ类水质比例99.5％，其中Ⅰ～Ⅱ类水质比例65.3％，各类水质比例如下：Ⅰ类占1.9%，Ⅱ类占63.5%，Ⅲ类占34.1%，Ⅳ类占0.5%，无Ⅴ类和劣Ⅴ类水。所有断面水质均达到</w:t>
            </w:r>
            <w:r>
              <w:rPr>
                <w:rFonts w:hint="eastAsia"/>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类</w:t>
            </w:r>
            <w:r>
              <w:rPr>
                <w:rFonts w:hint="eastAsia"/>
                <w:color w:val="000000" w:themeColor="text1"/>
                <w:highlight w:val="none"/>
                <w14:textFill>
                  <w14:solidFill>
                    <w14:schemeClr w14:val="tx1"/>
                  </w14:solidFill>
                </w14:textFill>
              </w:rPr>
              <w:t>及以上</w:t>
            </w:r>
            <w:r>
              <w:rPr>
                <w:color w:val="000000" w:themeColor="text1"/>
                <w:highlight w:val="none"/>
                <w14:textFill>
                  <w14:solidFill>
                    <w14:schemeClr w14:val="tx1"/>
                  </w14:solidFill>
                </w14:textFill>
              </w:rPr>
              <w:t>水质标准。综上，项目所在区域水质状况良好，属于达标区。</w:t>
            </w:r>
            <w:r>
              <w:rPr>
                <w:rFonts w:hint="eastAsia"/>
                <w:color w:val="000000" w:themeColor="text1"/>
                <w:highlight w:val="none"/>
                <w14:textFill>
                  <w14:solidFill>
                    <w14:schemeClr w14:val="tx1"/>
                  </w14:solidFill>
                </w14:textFill>
              </w:rPr>
              <w:drawing>
                <wp:inline distT="0" distB="0" distL="114300" distR="114300">
                  <wp:extent cx="5205095" cy="3469005"/>
                  <wp:effectExtent l="0" t="0" r="14605" b="17145"/>
                  <wp:docPr id="7" name="图片 7" descr="0b2e5f43-e43e-448b-b96d-006b9e8be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b2e5f43-e43e-448b-b96d-006b9e8bee3f"/>
                          <pic:cNvPicPr>
                            <a:picLocks noChangeAspect="1"/>
                          </pic:cNvPicPr>
                        </pic:nvPicPr>
                        <pic:blipFill>
                          <a:blip r:embed="rId18"/>
                          <a:stretch>
                            <a:fillRect/>
                          </a:stretch>
                        </pic:blipFill>
                        <pic:spPr>
                          <a:xfrm>
                            <a:off x="0" y="0"/>
                            <a:ext cx="5205095" cy="3469005"/>
                          </a:xfrm>
                          <a:prstGeom prst="rect">
                            <a:avLst/>
                          </a:prstGeom>
                        </pic:spPr>
                      </pic:pic>
                    </a:graphicData>
                  </a:graphic>
                </wp:inline>
              </w:drawing>
            </w:r>
          </w:p>
          <w:p>
            <w:pPr>
              <w:spacing w:line="360" w:lineRule="auto"/>
              <w:ind w:firstLine="198" w:firstLineChars="8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3.1-1</w:t>
            </w:r>
            <w:r>
              <w:rPr>
                <w:b/>
                <w:bCs/>
                <w:color w:val="000000" w:themeColor="text1"/>
                <w:sz w:val="24"/>
                <w:szCs w:val="32"/>
                <w:highlight w:val="none"/>
                <w14:textFill>
                  <w14:solidFill>
                    <w14:schemeClr w14:val="tx1"/>
                  </w14:solidFill>
                </w14:textFill>
              </w:rPr>
              <w:t>福建省流域水环境质量状况（202</w:t>
            </w:r>
            <w:r>
              <w:rPr>
                <w:rFonts w:hint="eastAsia"/>
                <w:b/>
                <w:bCs/>
                <w:color w:val="000000" w:themeColor="text1"/>
                <w:sz w:val="24"/>
                <w:szCs w:val="32"/>
                <w:highlight w:val="none"/>
                <w14:textFill>
                  <w14:solidFill>
                    <w14:schemeClr w14:val="tx1"/>
                  </w14:solidFill>
                </w14:textFill>
              </w:rPr>
              <w:t>3</w:t>
            </w:r>
            <w:r>
              <w:rPr>
                <w:b/>
                <w:bCs/>
                <w:color w:val="000000" w:themeColor="text1"/>
                <w:sz w:val="24"/>
                <w:szCs w:val="32"/>
                <w:highlight w:val="none"/>
                <w14:textFill>
                  <w14:solidFill>
                    <w14:schemeClr w14:val="tx1"/>
                  </w14:solidFill>
                </w14:textFill>
              </w:rPr>
              <w:t>年1-1</w:t>
            </w:r>
            <w:r>
              <w:rPr>
                <w:rFonts w:hint="eastAsia"/>
                <w:b/>
                <w:bCs/>
                <w:color w:val="000000" w:themeColor="text1"/>
                <w:sz w:val="24"/>
                <w:szCs w:val="32"/>
                <w:highlight w:val="none"/>
                <w14:textFill>
                  <w14:solidFill>
                    <w14:schemeClr w14:val="tx1"/>
                  </w14:solidFill>
                </w14:textFill>
              </w:rPr>
              <w:t>2</w:t>
            </w:r>
            <w:r>
              <w:rPr>
                <w:b/>
                <w:bCs/>
                <w:color w:val="000000" w:themeColor="text1"/>
                <w:sz w:val="24"/>
                <w:szCs w:val="32"/>
                <w:highlight w:val="none"/>
                <w14:textFill>
                  <w14:solidFill>
                    <w14:schemeClr w14:val="tx1"/>
                  </w14:solidFill>
                </w14:textFill>
              </w:rPr>
              <w:t>月）截图</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3.1.2</w:t>
            </w:r>
            <w:r>
              <w:rPr>
                <w:rFonts w:hint="eastAsia"/>
                <w:color w:val="000000" w:themeColor="text1"/>
                <w:sz w:val="28"/>
                <w:szCs w:val="28"/>
                <w:highlight w:val="none"/>
                <w14:textFill>
                  <w14:solidFill>
                    <w14:schemeClr w14:val="tx1"/>
                  </w14:solidFill>
                </w14:textFill>
              </w:rPr>
              <w:t>大气</w:t>
            </w:r>
            <w:r>
              <w:rPr>
                <w:color w:val="000000" w:themeColor="text1"/>
                <w:sz w:val="28"/>
                <w:szCs w:val="28"/>
                <w:highlight w:val="none"/>
                <w14:textFill>
                  <w14:solidFill>
                    <w14:schemeClr w14:val="tx1"/>
                  </w14:solidFill>
                </w14:textFill>
              </w:rPr>
              <w:t>环境质量现状</w:t>
            </w:r>
          </w:p>
          <w:p>
            <w:pPr>
              <w:spacing w:line="360" w:lineRule="auto"/>
              <w:ind w:firstLine="480"/>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区域达标判定</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按《环境影响评价技术导则大气环境》（HJ2.2-2018）要求，城市环境空气质量达标情况评价指标为SO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r>
              <w:rPr>
                <w:color w:val="000000" w:themeColor="text1"/>
                <w:highlight w:val="none"/>
                <w14:textFill>
                  <w14:solidFill>
                    <w14:schemeClr w14:val="tx1"/>
                  </w14:solidFill>
                </w14:textFill>
              </w:rPr>
              <w:t>、CO 和O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，六项污染物全部达标即为城市环境空气质量达标。项目所在区域达标判定，优先采用国家或地方生态环境主管部门公开公布的评价基准年环境质量公告或环境质量报告中的数据或结论。</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根据福清市发布的202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年1月~202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年12月份福清市环境空气质量月报，202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年连续1年的大气常规因子环境空气质量监测数据如下</w:t>
            </w:r>
            <w:r>
              <w:rPr>
                <w:rFonts w:hint="eastAsia"/>
                <w:color w:val="000000" w:themeColor="text1"/>
                <w:highlight w:val="none"/>
                <w14:textFill>
                  <w14:solidFill>
                    <w14:schemeClr w14:val="tx1"/>
                  </w14:solidFill>
                </w14:textFill>
              </w:rPr>
              <w:t>:</w:t>
            </w:r>
          </w:p>
          <w:p>
            <w:pPr>
              <w:pStyle w:val="86"/>
              <w:ind w:firstLine="0" w:firstLineChars="0"/>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表</w:t>
            </w:r>
            <w:r>
              <w:rPr>
                <w:rFonts w:hint="eastAsia"/>
                <w:b/>
                <w:color w:val="000000" w:themeColor="text1"/>
                <w:highlight w:val="none"/>
                <w14:textFill>
                  <w14:solidFill>
                    <w14:schemeClr w14:val="tx1"/>
                  </w14:solidFill>
                </w14:textFill>
              </w:rPr>
              <w:t>3.1-1</w:t>
            </w:r>
            <w:r>
              <w:rPr>
                <w:b/>
                <w:color w:val="000000" w:themeColor="text1"/>
                <w:highlight w:val="none"/>
                <w14:textFill>
                  <w14:solidFill>
                    <w14:schemeClr w14:val="tx1"/>
                  </w14:solidFill>
                </w14:textFill>
              </w:rPr>
              <w:t>福清市202</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年1月份~202</w:t>
            </w:r>
            <w:r>
              <w:rPr>
                <w:rFonts w:hint="eastAsia"/>
                <w:b/>
                <w:color w:val="000000" w:themeColor="text1"/>
                <w:highlight w:val="none"/>
                <w14:textFill>
                  <w14:solidFill>
                    <w14:schemeClr w14:val="tx1"/>
                  </w14:solidFill>
                </w14:textFill>
              </w:rPr>
              <w:t>4</w:t>
            </w:r>
            <w:r>
              <w:rPr>
                <w:b/>
                <w:color w:val="000000" w:themeColor="text1"/>
                <w:highlight w:val="none"/>
                <w14:textFill>
                  <w14:solidFill>
                    <w14:schemeClr w14:val="tx1"/>
                  </w14:solidFill>
                </w14:textFill>
              </w:rPr>
              <w:t>年12月份环境空气质量统计（单位：mg/m³）</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640"/>
              <w:gridCol w:w="1063"/>
              <w:gridCol w:w="1138"/>
              <w:gridCol w:w="1138"/>
              <w:gridCol w:w="1150"/>
              <w:gridCol w:w="1262"/>
              <w:gridCol w:w="1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时间</w:t>
                  </w:r>
                </w:p>
              </w:tc>
              <w:tc>
                <w:tcPr>
                  <w:tcW w:w="620" w:type="pct"/>
                  <w:tcBorders>
                    <w:top w:val="single" w:color="auto" w:sz="12"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SO</w:t>
                  </w:r>
                  <w:r>
                    <w:rPr>
                      <w:color w:val="000000" w:themeColor="text1"/>
                      <w:highlight w:val="none"/>
                      <w:vertAlign w:val="subscript"/>
                      <w14:textFill>
                        <w14:solidFill>
                          <w14:schemeClr w14:val="tx1"/>
                        </w14:solidFill>
                      </w14:textFill>
                    </w:rPr>
                    <w:t>2</w:t>
                  </w:r>
                </w:p>
              </w:tc>
              <w:tc>
                <w:tcPr>
                  <w:tcW w:w="664" w:type="pct"/>
                  <w:tcBorders>
                    <w:top w:val="single" w:color="auto" w:sz="12"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p>
              </w:tc>
              <w:tc>
                <w:tcPr>
                  <w:tcW w:w="664" w:type="pct"/>
                  <w:tcBorders>
                    <w:top w:val="single" w:color="auto" w:sz="12"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10</w:t>
                  </w:r>
                </w:p>
              </w:tc>
              <w:tc>
                <w:tcPr>
                  <w:tcW w:w="671" w:type="pct"/>
                  <w:tcBorders>
                    <w:top w:val="single" w:color="auto" w:sz="12"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PM</w:t>
                  </w:r>
                  <w:r>
                    <w:rPr>
                      <w:color w:val="000000" w:themeColor="text1"/>
                      <w:highlight w:val="none"/>
                      <w:vertAlign w:val="subscript"/>
                      <w14:textFill>
                        <w14:solidFill>
                          <w14:schemeClr w14:val="tx1"/>
                        </w14:solidFill>
                      </w14:textFill>
                    </w:rPr>
                    <w:t>2.5</w:t>
                  </w:r>
                </w:p>
              </w:tc>
              <w:tc>
                <w:tcPr>
                  <w:tcW w:w="736" w:type="pct"/>
                  <w:tcBorders>
                    <w:top w:val="single" w:color="auto" w:sz="12"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w:t>
                  </w:r>
                </w:p>
              </w:tc>
              <w:tc>
                <w:tcPr>
                  <w:tcW w:w="688" w:type="pct"/>
                  <w:tcBorders>
                    <w:top w:val="single" w:color="auto" w:sz="12"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0.048</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0.030</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0.9</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年2月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0.038</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年3月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0.018</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0.050</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年4月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0.003</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0.016</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0.041</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0.8</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年5月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0.011</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0.028</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0.013</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年6月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年7月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0.008</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年8月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0.004</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0.009</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0.032</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0.017</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0.5</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年9月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0.007</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0.020</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0.010</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年10月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0.005</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0.022</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0.013</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年11月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0.008</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0.023</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0.012</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0.4</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年12月</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0.002</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0.014</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0.036</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0.019</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0.6</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平均值</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0.002 </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0.011 </w:t>
                  </w:r>
                </w:p>
              </w:tc>
              <w:tc>
                <w:tcPr>
                  <w:tcW w:w="113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0.032 </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0.017 </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0.650 </w:t>
                  </w:r>
                </w:p>
              </w:tc>
              <w:tc>
                <w:tcPr>
                  <w:tcW w:w="1182"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0.113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国家二级标准</w:t>
                  </w:r>
                </w:p>
              </w:tc>
              <w:tc>
                <w:tcPr>
                  <w:tcW w:w="620"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0.06</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0.04</w:t>
                  </w:r>
                </w:p>
              </w:tc>
              <w:tc>
                <w:tcPr>
                  <w:tcW w:w="664"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0.07</w:t>
                  </w:r>
                </w:p>
              </w:tc>
              <w:tc>
                <w:tcPr>
                  <w:tcW w:w="671"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0.035</w:t>
                  </w:r>
                </w:p>
              </w:tc>
              <w:tc>
                <w:tcPr>
                  <w:tcW w:w="736"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688" w:type="pct"/>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达标情况</w:t>
                  </w:r>
                </w:p>
              </w:tc>
              <w:tc>
                <w:tcPr>
                  <w:tcW w:w="4043" w:type="pct"/>
                  <w:gridSpan w:val="6"/>
                  <w:tcBorders>
                    <w:top w:val="single" w:color="auto" w:sz="4" w:space="0"/>
                    <w:left w:val="single" w:color="auto" w:sz="4" w:space="0"/>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000" w:type="pct"/>
                  <w:gridSpan w:val="7"/>
                  <w:tcBorders>
                    <w:top w:val="single" w:color="auto" w:sz="4" w:space="0"/>
                    <w:left w:val="single" w:color="auto" w:sz="12" w:space="0"/>
                    <w:bottom w:val="single" w:color="auto" w:sz="12" w:space="0"/>
                    <w:right w:val="single" w:color="auto" w:sz="12" w:space="0"/>
                  </w:tcBorders>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注：CO为日均值第95百分位数，O3为日最大8小时值第90百分位数。</w:t>
                  </w:r>
                </w:p>
              </w:tc>
            </w:tr>
          </w:tbl>
          <w:p>
            <w:pPr>
              <w:widowControl w:val="0"/>
              <w:snapToGrid w:val="0"/>
              <w:spacing w:before="120" w:beforeLines="50"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由上表可知，福清市</w:t>
            </w:r>
            <w:r>
              <w:rPr>
                <w:rFonts w:hint="eastAsia"/>
                <w:color w:val="000000" w:themeColor="text1"/>
                <w:sz w:val="24"/>
                <w:highlight w:val="none"/>
                <w14:textFill>
                  <w14:solidFill>
                    <w14:schemeClr w14:val="tx1"/>
                  </w14:solidFill>
                </w14:textFill>
              </w:rPr>
              <w:t>2024</w:t>
            </w:r>
            <w:r>
              <w:rPr>
                <w:color w:val="000000" w:themeColor="text1"/>
                <w:sz w:val="24"/>
                <w:highlight w:val="none"/>
                <w14:textFill>
                  <w14:solidFill>
                    <w14:schemeClr w14:val="tx1"/>
                  </w14:solidFill>
                </w14:textFill>
              </w:rPr>
              <w:t>年1月~</w:t>
            </w:r>
            <w:r>
              <w:rPr>
                <w:rFonts w:hint="eastAsia"/>
                <w:color w:val="000000" w:themeColor="text1"/>
                <w:sz w:val="24"/>
                <w:highlight w:val="none"/>
                <w14:textFill>
                  <w14:solidFill>
                    <w14:schemeClr w14:val="tx1"/>
                  </w14:solidFill>
                </w14:textFill>
              </w:rPr>
              <w:t>2024</w:t>
            </w:r>
            <w:r>
              <w:rPr>
                <w:color w:val="000000" w:themeColor="text1"/>
                <w:sz w:val="24"/>
                <w:highlight w:val="none"/>
                <w14:textFill>
                  <w14:solidFill>
                    <w14:schemeClr w14:val="tx1"/>
                  </w14:solidFill>
                </w14:textFill>
              </w:rPr>
              <w:t>年12月份，空气环境中SO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和PM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均未超过国家二级标准，CO日均值第95百分数和O</w:t>
            </w:r>
            <w:r>
              <w:rPr>
                <w:color w:val="000000" w:themeColor="text1"/>
                <w:sz w:val="24"/>
                <w:highlight w:val="none"/>
                <w:vertAlign w:val="subscript"/>
                <w14:textFill>
                  <w14:solidFill>
                    <w14:schemeClr w14:val="tx1"/>
                  </w14:solidFill>
                </w14:textFill>
              </w:rPr>
              <w:t>3</w:t>
            </w:r>
            <w:r>
              <w:rPr>
                <w:color w:val="000000" w:themeColor="text1"/>
                <w:sz w:val="24"/>
                <w:highlight w:val="none"/>
                <w14:textFill>
                  <w14:solidFill>
                    <w14:schemeClr w14:val="tx1"/>
                  </w14:solidFill>
                </w14:textFill>
              </w:rPr>
              <w:t>最大8小时值第90百分数未超过国家二级标准；因此福清市环境空气质量属于达标区。</w:t>
            </w:r>
          </w:p>
          <w:p>
            <w:pPr>
              <w:widowControl w:val="0"/>
              <w:snapToGrid w:val="0"/>
              <w:spacing w:before="120" w:beforeLines="50"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（2）监测情况</w:t>
            </w:r>
          </w:p>
          <w:p>
            <w:pPr>
              <w:pStyle w:val="86"/>
              <w:ind w:firstLine="480"/>
              <w:rPr>
                <w:rFonts w:hint="eastAsia"/>
                <w:color w:val="000000" w:themeColor="text1"/>
                <w:szCs w:val="24"/>
                <w:highlight w:val="none"/>
                <w14:textFill>
                  <w14:solidFill>
                    <w14:schemeClr w14:val="tx1"/>
                  </w14:solidFill>
                </w14:textFill>
              </w:rPr>
            </w:pPr>
            <w:r>
              <w:rPr>
                <w:rFonts w:hint="eastAsia"/>
                <w:color w:val="000000" w:themeColor="text1"/>
                <w:szCs w:val="24"/>
                <w:highlight w:val="none"/>
                <w:lang w:eastAsia="zh-CN"/>
                <w14:textFill>
                  <w14:solidFill>
                    <w14:schemeClr w14:val="tx1"/>
                  </w14:solidFill>
                </w14:textFill>
              </w:rPr>
              <w:t>扩建</w:t>
            </w:r>
            <w:r>
              <w:rPr>
                <w:rFonts w:hint="eastAsia"/>
                <w:color w:val="000000" w:themeColor="text1"/>
                <w:szCs w:val="24"/>
                <w:highlight w:val="none"/>
                <w14:textFill>
                  <w14:solidFill>
                    <w14:schemeClr w14:val="tx1"/>
                  </w14:solidFill>
                </w14:textFill>
              </w:rPr>
              <w:t>项目特征因子为</w:t>
            </w:r>
            <w:r>
              <w:rPr>
                <w:rFonts w:hint="eastAsia"/>
                <w:color w:val="000000" w:themeColor="text1"/>
                <w:szCs w:val="24"/>
                <w:highlight w:val="none"/>
                <w:lang w:eastAsia="zh-CN"/>
                <w14:textFill>
                  <w14:solidFill>
                    <w14:schemeClr w14:val="tx1"/>
                  </w14:solidFill>
                </w14:textFill>
              </w:rPr>
              <w:t>颗粒物，</w:t>
            </w:r>
            <w:r>
              <w:rPr>
                <w:rFonts w:hint="eastAsia"/>
                <w:color w:val="000000" w:themeColor="text1"/>
                <w:szCs w:val="24"/>
                <w:highlight w:val="none"/>
                <w14:textFill>
                  <w14:solidFill>
                    <w14:schemeClr w14:val="tx1"/>
                  </w14:solidFill>
                </w14:textFill>
              </w:rPr>
              <w:t>非甲烷总烃</w:t>
            </w:r>
            <w:r>
              <w:rPr>
                <w:rFonts w:hint="eastAsia"/>
                <w:color w:val="000000" w:themeColor="text1"/>
                <w:szCs w:val="24"/>
                <w:highlight w:val="none"/>
                <w:lang w:eastAsia="zh-CN"/>
                <w14:textFill>
                  <w14:solidFill>
                    <w14:schemeClr w14:val="tx1"/>
                  </w14:solidFill>
                </w14:textFill>
              </w:rPr>
              <w:t>及二甲苯</w:t>
            </w:r>
            <w:r>
              <w:rPr>
                <w:rFonts w:hint="eastAsia"/>
                <w:color w:val="000000" w:themeColor="text1"/>
                <w:szCs w:val="24"/>
                <w:highlight w:val="none"/>
                <w14:textFill>
                  <w14:solidFill>
                    <w14:schemeClr w14:val="tx1"/>
                  </w14:solidFill>
                </w14:textFill>
              </w:rPr>
              <w:t>，</w:t>
            </w:r>
            <w:r>
              <w:rPr>
                <w:rFonts w:hint="eastAsia"/>
                <w:color w:val="000000" w:themeColor="text1"/>
                <w:szCs w:val="24"/>
                <w:highlight w:val="none"/>
                <w:lang w:eastAsia="zh-CN"/>
                <w14:textFill>
                  <w14:solidFill>
                    <w14:schemeClr w14:val="tx1"/>
                  </w14:solidFill>
                </w14:textFill>
              </w:rPr>
              <w:t>其中非甲烷总烃及二甲苯</w:t>
            </w:r>
            <w:r>
              <w:rPr>
                <w:rFonts w:hint="eastAsia"/>
                <w:color w:val="000000" w:themeColor="text1"/>
                <w:szCs w:val="24"/>
                <w:highlight w:val="none"/>
                <w14:textFill>
                  <w14:solidFill>
                    <w14:schemeClr w14:val="tx1"/>
                  </w14:solidFill>
                </w14:textFill>
              </w:rPr>
              <w:t>不属于国家、地方环境空气质量标准中有标准限值的特征污染物，无需开展现状补充监测。</w:t>
            </w:r>
          </w:p>
          <w:p>
            <w:pPr>
              <w:pStyle w:val="86"/>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为进一步了解项目周边大气环境现状，建设单位委托福建益准检测技术有限公司于2025年9月1日至9月</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日对项目周边环境空气中TSP进行了环境现状监测，监测期间气象参数见表</w:t>
            </w:r>
            <w:r>
              <w:rPr>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，监测结果见表</w:t>
            </w:r>
            <w:r>
              <w:rPr>
                <w:color w:val="000000" w:themeColor="text1"/>
                <w:highlight w:val="none"/>
                <w14:textFill>
                  <w14:solidFill>
                    <w14:schemeClr w14:val="tx1"/>
                  </w14:solidFill>
                </w14:textFill>
              </w:rPr>
              <w:t>3.1-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监测点位图见图</w:t>
            </w:r>
            <w:r>
              <w:rPr>
                <w:rFonts w:hint="eastAsia"/>
                <w:color w:val="000000" w:themeColor="text1"/>
                <w:highlight w:val="none"/>
                <w:lang w:val="en-US" w:eastAsia="zh-CN"/>
                <w14:textFill>
                  <w14:solidFill>
                    <w14:schemeClr w14:val="tx1"/>
                  </w14:solidFill>
                </w14:textFill>
              </w:rPr>
              <w:t>3.1-2。</w:t>
            </w:r>
          </w:p>
          <w:p>
            <w:pPr>
              <w:pStyle w:val="63"/>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表</w:t>
            </w:r>
            <w:r>
              <w:rPr>
                <w:color w:val="000000" w:themeColor="text1"/>
                <w:kern w:val="2"/>
                <w:highlight w:val="none"/>
                <w14:textFill>
                  <w14:solidFill>
                    <w14:schemeClr w14:val="tx1"/>
                  </w14:solidFill>
                </w14:textFill>
              </w:rPr>
              <w:t>3.1-</w:t>
            </w:r>
            <w:r>
              <w:rPr>
                <w:rFonts w:hint="eastAsia"/>
                <w:color w:val="000000" w:themeColor="text1"/>
                <w:kern w:val="2"/>
                <w:highlight w:val="none"/>
                <w:lang w:val="en-US" w:eastAsia="zh-CN"/>
                <w14:textFill>
                  <w14:solidFill>
                    <w14:schemeClr w14:val="tx1"/>
                  </w14:solidFill>
                </w14:textFill>
              </w:rPr>
              <w:t>2</w:t>
            </w:r>
            <w:r>
              <w:rPr>
                <w:rFonts w:hint="eastAsia"/>
                <w:color w:val="000000" w:themeColor="text1"/>
                <w:kern w:val="2"/>
                <w:highlight w:val="none"/>
                <w14:textFill>
                  <w14:solidFill>
                    <w14:schemeClr w14:val="tx1"/>
                  </w14:solidFill>
                </w14:textFill>
              </w:rPr>
              <w:t xml:space="preserve"> 监测期间气象参数</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898"/>
              <w:gridCol w:w="1884"/>
              <w:gridCol w:w="1892"/>
              <w:gridCol w:w="18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pPr>
                    <w:spacing w:line="0" w:lineRule="atLeast"/>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采样日期</w:t>
                  </w:r>
                </w:p>
              </w:tc>
              <w:tc>
                <w:tcPr>
                  <w:tcW w:w="1886" w:type="dxa"/>
                  <w:tcBorders>
                    <w:tl2br w:val="nil"/>
                    <w:tr2bl w:val="nil"/>
                  </w:tcBorders>
                  <w:vAlign w:val="center"/>
                </w:tcPr>
                <w:p>
                  <w:pPr>
                    <w:spacing w:line="0" w:lineRule="atLeast"/>
                    <w:jc w:val="center"/>
                    <w:rPr>
                      <w:b/>
                      <w:bCs/>
                      <w:snapToGrid w:val="0"/>
                      <w:color w:val="000000" w:themeColor="text1"/>
                      <w:kern w:val="18"/>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气温</w:t>
                  </w:r>
                  <w:r>
                    <w:rPr>
                      <w:b/>
                      <w:bCs/>
                      <w:color w:val="000000" w:themeColor="text1"/>
                      <w:szCs w:val="21"/>
                      <w:highlight w:val="none"/>
                      <w14:textFill>
                        <w14:solidFill>
                          <w14:schemeClr w14:val="tx1"/>
                        </w14:solidFill>
                      </w14:textFill>
                    </w:rPr>
                    <w:t>℃</w:t>
                  </w:r>
                </w:p>
              </w:tc>
              <w:tc>
                <w:tcPr>
                  <w:tcW w:w="1894" w:type="dxa"/>
                  <w:tcBorders>
                    <w:tl2br w:val="nil"/>
                    <w:tr2bl w:val="nil"/>
                  </w:tcBorders>
                  <w:vAlign w:val="center"/>
                </w:tcPr>
                <w:p>
                  <w:pPr>
                    <w:spacing w:line="0" w:lineRule="atLeast"/>
                    <w:jc w:val="center"/>
                    <w:rPr>
                      <w:b/>
                      <w:bCs/>
                      <w:snapToGrid w:val="0"/>
                      <w:color w:val="000000" w:themeColor="text1"/>
                      <w:kern w:val="18"/>
                      <w:highlight w:val="none"/>
                      <w14:textFill>
                        <w14:solidFill>
                          <w14:schemeClr w14:val="tx1"/>
                        </w14:solidFill>
                      </w14:textFill>
                    </w:rPr>
                  </w:pPr>
                  <w:r>
                    <w:rPr>
                      <w:b/>
                      <w:bCs/>
                      <w:color w:val="000000" w:themeColor="text1"/>
                      <w:szCs w:val="21"/>
                      <w:highlight w:val="none"/>
                      <w14:textFill>
                        <w14:solidFill>
                          <w14:schemeClr w14:val="tx1"/>
                        </w14:solidFill>
                      </w14:textFill>
                    </w:rPr>
                    <w:t>气压kPa</w:t>
                  </w:r>
                </w:p>
              </w:tc>
              <w:tc>
                <w:tcPr>
                  <w:tcW w:w="1895" w:type="dxa"/>
                  <w:tcBorders>
                    <w:tl2br w:val="nil"/>
                    <w:tr2bl w:val="nil"/>
                  </w:tcBorders>
                  <w:vAlign w:val="center"/>
                </w:tcPr>
                <w:p>
                  <w:pPr>
                    <w:spacing w:line="0" w:lineRule="atLeast"/>
                    <w:ind w:left="-105" w:leftChars="-50" w:right="-105" w:rightChars="-50"/>
                    <w:jc w:val="center"/>
                    <w:rPr>
                      <w:b/>
                      <w:bCs/>
                      <w:snapToGrid w:val="0"/>
                      <w:color w:val="000000" w:themeColor="text1"/>
                      <w:kern w:val="18"/>
                      <w:highlight w:val="none"/>
                      <w14:textFill>
                        <w14:solidFill>
                          <w14:schemeClr w14:val="tx1"/>
                        </w14:solidFill>
                      </w14:textFill>
                    </w:rPr>
                  </w:pPr>
                  <w:r>
                    <w:rPr>
                      <w:b/>
                      <w:bCs/>
                      <w:color w:val="000000" w:themeColor="text1"/>
                      <w:szCs w:val="21"/>
                      <w:highlight w:val="none"/>
                      <w14:textFill>
                        <w14:solidFill>
                          <w14:schemeClr w14:val="tx1"/>
                        </w14:solidFill>
                      </w14:textFill>
                    </w:rPr>
                    <w:t>相对湿度%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691" w:type="pct"/>
                  <w:tcBorders>
                    <w:tl2br w:val="nil"/>
                    <w:tr2bl w:val="nil"/>
                  </w:tcBorders>
                  <w:vAlign w:val="center"/>
                </w:tcPr>
                <w:p>
                  <w:pPr>
                    <w:ind w:left="-105" w:leftChars="-50" w:right="-105" w:rightChars="-50"/>
                    <w:jc w:val="center"/>
                    <w:textAlignment w:val="center"/>
                    <w:rPr>
                      <w:snapToGrid w:val="0"/>
                      <w:color w:val="000000" w:themeColor="text1"/>
                      <w:kern w:val="18"/>
                      <w:highlight w:val="none"/>
                      <w14:textFill>
                        <w14:solidFill>
                          <w14:schemeClr w14:val="tx1"/>
                        </w14:solidFill>
                      </w14:textFill>
                    </w:rPr>
                  </w:pPr>
                </w:p>
              </w:tc>
              <w:tc>
                <w:tcPr>
                  <w:tcW w:w="1886"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4"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c>
                <w:tcPr>
                  <w:tcW w:w="1895" w:type="dxa"/>
                  <w:tcBorders>
                    <w:tl2br w:val="nil"/>
                    <w:tr2bl w:val="nil"/>
                  </w:tcBorders>
                  <w:vAlign w:val="center"/>
                </w:tcPr>
                <w:p>
                  <w:pPr>
                    <w:spacing w:line="0" w:lineRule="atLeast"/>
                    <w:jc w:val="center"/>
                    <w:rPr>
                      <w:snapToGrid w:val="0"/>
                      <w:color w:val="000000" w:themeColor="text1"/>
                      <w:kern w:val="18"/>
                      <w:highlight w:val="none"/>
                      <w14:textFill>
                        <w14:solidFill>
                          <w14:schemeClr w14:val="tx1"/>
                        </w14:solidFill>
                      </w14:textFill>
                    </w:rPr>
                  </w:pPr>
                </w:p>
              </w:tc>
            </w:tr>
          </w:tbl>
          <w:p>
            <w:pPr>
              <w:pStyle w:val="63"/>
              <w:rPr>
                <w:color w:val="000000" w:themeColor="text1"/>
                <w:kern w:val="2"/>
                <w:highlight w:val="none"/>
                <w14:textFill>
                  <w14:solidFill>
                    <w14:schemeClr w14:val="tx1"/>
                  </w14:solidFill>
                </w14:textFill>
              </w:rPr>
            </w:pPr>
            <w:r>
              <w:rPr>
                <w:rFonts w:hint="eastAsia"/>
                <w:color w:val="000000" w:themeColor="text1"/>
                <w:kern w:val="2"/>
                <w:highlight w:val="none"/>
                <w14:textFill>
                  <w14:solidFill>
                    <w14:schemeClr w14:val="tx1"/>
                  </w14:solidFill>
                </w14:textFill>
              </w:rPr>
              <w:t>表</w:t>
            </w:r>
            <w:r>
              <w:rPr>
                <w:color w:val="000000" w:themeColor="text1"/>
                <w:kern w:val="2"/>
                <w:highlight w:val="none"/>
                <w14:textFill>
                  <w14:solidFill>
                    <w14:schemeClr w14:val="tx1"/>
                  </w14:solidFill>
                </w14:textFill>
              </w:rPr>
              <w:t>3.1-</w:t>
            </w:r>
            <w:r>
              <w:rPr>
                <w:rFonts w:hint="eastAsia"/>
                <w:color w:val="000000" w:themeColor="text1"/>
                <w:kern w:val="2"/>
                <w:highlight w:val="none"/>
                <w:lang w:val="en-US" w:eastAsia="zh-CN"/>
                <w14:textFill>
                  <w14:solidFill>
                    <w14:schemeClr w14:val="tx1"/>
                  </w14:solidFill>
                </w14:textFill>
              </w:rPr>
              <w:t>3</w:t>
            </w:r>
            <w:r>
              <w:rPr>
                <w:color w:val="000000" w:themeColor="text1"/>
                <w:kern w:val="2"/>
                <w:highlight w:val="none"/>
                <w14:textFill>
                  <w14:solidFill>
                    <w14:schemeClr w14:val="tx1"/>
                  </w14:solidFill>
                </w14:textFill>
              </w:rPr>
              <w:t xml:space="preserve"> </w:t>
            </w:r>
            <w:r>
              <w:rPr>
                <w:rFonts w:hint="eastAsia"/>
                <w:color w:val="000000" w:themeColor="text1"/>
                <w:kern w:val="2"/>
                <w:highlight w:val="none"/>
                <w14:textFill>
                  <w14:solidFill>
                    <w14:schemeClr w14:val="tx1"/>
                  </w14:solidFill>
                </w14:textFill>
              </w:rPr>
              <w:t>环境空气检测结果</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autofit"/>
              <w:tblCellMar>
                <w:top w:w="0" w:type="dxa"/>
                <w:left w:w="108" w:type="dxa"/>
                <w:bottom w:w="0" w:type="dxa"/>
                <w:right w:w="108" w:type="dxa"/>
              </w:tblCellMar>
            </w:tblPr>
            <w:tblGrid>
              <w:gridCol w:w="2308"/>
              <w:gridCol w:w="1634"/>
              <w:gridCol w:w="1702"/>
              <w:gridCol w:w="2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vMerge w:val="restart"/>
                  <w:tcBorders>
                    <w:tl2br w:val="nil"/>
                    <w:tr2bl w:val="nil"/>
                  </w:tcBorders>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采样日期</w:t>
                  </w:r>
                </w:p>
              </w:tc>
              <w:tc>
                <w:tcPr>
                  <w:tcW w:w="953" w:type="pct"/>
                  <w:vMerge w:val="restart"/>
                  <w:tcBorders>
                    <w:tl2br w:val="nil"/>
                    <w:tr2bl w:val="nil"/>
                  </w:tcBorders>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采样点位</w:t>
                  </w:r>
                </w:p>
              </w:tc>
              <w:tc>
                <w:tcPr>
                  <w:tcW w:w="992" w:type="pct"/>
                  <w:vMerge w:val="restart"/>
                  <w:tcBorders>
                    <w:tl2br w:val="nil"/>
                    <w:tr2bl w:val="nil"/>
                  </w:tcBorders>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采样频次</w:t>
                  </w:r>
                </w:p>
              </w:tc>
              <w:tc>
                <w:tcPr>
                  <w:tcW w:w="1707" w:type="pct"/>
                  <w:tcBorders>
                    <w:tl2br w:val="nil"/>
                    <w:tr2bl w:val="nil"/>
                  </w:tcBorders>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检测结果</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vMerge w:val="continue"/>
                  <w:tcBorders>
                    <w:tl2br w:val="nil"/>
                    <w:tr2bl w:val="nil"/>
                  </w:tcBorders>
                  <w:vAlign w:val="center"/>
                </w:tcPr>
                <w:p>
                  <w:pPr>
                    <w:pStyle w:val="67"/>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pPr>
                    <w:pStyle w:val="67"/>
                    <w:rPr>
                      <w:color w:val="000000" w:themeColor="text1"/>
                      <w:highlight w:val="none"/>
                      <w14:textFill>
                        <w14:solidFill>
                          <w14:schemeClr w14:val="tx1"/>
                        </w14:solidFill>
                      </w14:textFill>
                    </w:rPr>
                  </w:pPr>
                </w:p>
              </w:tc>
              <w:tc>
                <w:tcPr>
                  <w:tcW w:w="992" w:type="pct"/>
                  <w:vMerge w:val="continue"/>
                  <w:tcBorders>
                    <w:tl2br w:val="nil"/>
                    <w:tr2bl w:val="nil"/>
                  </w:tcBorders>
                  <w:vAlign w:val="center"/>
                </w:tcPr>
                <w:p>
                  <w:pPr>
                    <w:pStyle w:val="67"/>
                    <w:rPr>
                      <w:color w:val="000000" w:themeColor="text1"/>
                      <w:highlight w:val="none"/>
                      <w14:textFill>
                        <w14:solidFill>
                          <w14:schemeClr w14:val="tx1"/>
                        </w14:solidFill>
                      </w14:textFill>
                    </w:rPr>
                  </w:pPr>
                </w:p>
              </w:tc>
              <w:tc>
                <w:tcPr>
                  <w:tcW w:w="1707" w:type="pct"/>
                  <w:tcBorders>
                    <w:tl2br w:val="nil"/>
                    <w:tr2bl w:val="nil"/>
                  </w:tcBorders>
                  <w:vAlign w:val="center"/>
                </w:tcPr>
                <w:p>
                  <w:pPr>
                    <w:pStyle w:val="67"/>
                    <w:rPr>
                      <w:rFonts w:hint="eastAsia"/>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总悬浮颗粒物</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TSP</w:t>
                  </w:r>
                  <w:r>
                    <w:rPr>
                      <w:rFonts w:hint="eastAsia"/>
                      <w:color w:val="000000" w:themeColor="text1"/>
                      <w:szCs w:val="21"/>
                      <w:highlight w:val="none"/>
                      <w:lang w:eastAsia="zh-CN"/>
                      <w14:textFill>
                        <w14:solidFill>
                          <w14:schemeClr w14:val="tx1"/>
                        </w14:solidFill>
                      </w14:textFill>
                    </w:rPr>
                    <w:t>）</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μ</w:t>
                  </w:r>
                  <w:r>
                    <w:rPr>
                      <w:rFonts w:hint="eastAsia"/>
                      <w:color w:val="000000" w:themeColor="text1"/>
                      <w:highlight w:val="none"/>
                      <w:lang w:val="en-US" w:eastAsia="zh-CN"/>
                      <w14:textFill>
                        <w14:solidFill>
                          <w14:schemeClr w14:val="tx1"/>
                        </w14:solidFill>
                      </w14:textFill>
                    </w:rPr>
                    <w:t>g</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1346" w:type="pct"/>
                  <w:tcBorders>
                    <w:tl2br w:val="nil"/>
                    <w:tr2bl w:val="nil"/>
                  </w:tcBorders>
                  <w:vAlign w:val="center"/>
                </w:tcPr>
                <w:p>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restart"/>
                  <w:tcBorders>
                    <w:tl2br w:val="nil"/>
                    <w:tr2bl w:val="nil"/>
                  </w:tcBorders>
                  <w:vAlign w:val="center"/>
                </w:tcPr>
                <w:p>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pPr>
                    <w:ind w:left="-105" w:leftChars="-50" w:right="-105" w:rightChars="-50"/>
                    <w:jc w:val="center"/>
                    <w:textAlignment w:val="center"/>
                    <w:rPr>
                      <w:color w:val="000000" w:themeColor="text1"/>
                      <w:highlight w:val="none"/>
                      <w14:textFill>
                        <w14:solidFill>
                          <w14:schemeClr w14:val="tx1"/>
                        </w14:solidFill>
                      </w14:textFill>
                    </w:rPr>
                  </w:pPr>
                </w:p>
              </w:tc>
              <w:tc>
                <w:tcPr>
                  <w:tcW w:w="953" w:type="pct"/>
                  <w:vMerge w:val="continue"/>
                  <w:tcBorders>
                    <w:tl2br w:val="nil"/>
                    <w:tr2bl w:val="nil"/>
                  </w:tcBorders>
                  <w:vAlign w:val="center"/>
                </w:tcPr>
                <w:p>
                  <w:pPr>
                    <w:pStyle w:val="67"/>
                    <w:rPr>
                      <w:color w:val="000000" w:themeColor="text1"/>
                      <w:highlight w:val="none"/>
                      <w14:textFill>
                        <w14:solidFill>
                          <w14:schemeClr w14:val="tx1"/>
                        </w14:solidFill>
                      </w14:textFill>
                    </w:rPr>
                  </w:pPr>
                </w:p>
              </w:tc>
              <w:tc>
                <w:tcPr>
                  <w:tcW w:w="992" w:type="pct"/>
                  <w:tcBorders>
                    <w:tl2br w:val="nil"/>
                    <w:tr2bl w:val="nil"/>
                  </w:tcBorders>
                  <w:vAlign w:val="center"/>
                </w:tcPr>
                <w:p>
                  <w:pPr>
                    <w:pStyle w:val="67"/>
                    <w:rPr>
                      <w:rFonts w:hint="eastAsia" w:eastAsia="宋体"/>
                      <w:color w:val="000000" w:themeColor="text1"/>
                      <w:highlight w:val="none"/>
                      <w:lang w:eastAsia="zh-CN"/>
                      <w14:textFill>
                        <w14:solidFill>
                          <w14:schemeClr w14:val="tx1"/>
                        </w14:solidFill>
                      </w14:textFill>
                    </w:rPr>
                  </w:pPr>
                </w:p>
              </w:tc>
              <w:tc>
                <w:tcPr>
                  <w:tcW w:w="1707" w:type="pct"/>
                  <w:tcBorders>
                    <w:tl2br w:val="nil"/>
                    <w:tr2bl w:val="nil"/>
                  </w:tcBorders>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3292" w:type="pct"/>
                  <w:gridSpan w:val="3"/>
                  <w:tcBorders>
                    <w:tl2br w:val="nil"/>
                    <w:tr2bl w:val="nil"/>
                  </w:tcBorders>
                  <w:vAlign w:val="center"/>
                </w:tcPr>
                <w:p>
                  <w:pPr>
                    <w:pStyle w:val="67"/>
                    <w:rPr>
                      <w:rFonts w:hint="default"/>
                      <w:color w:val="000000" w:themeColor="text1"/>
                      <w:highlight w:val="none"/>
                      <w:lang w:val="en-US" w:eastAsia="zh-CN"/>
                      <w14:textFill>
                        <w14:solidFill>
                          <w14:schemeClr w14:val="tx1"/>
                        </w14:solidFill>
                      </w14:textFill>
                    </w:rPr>
                  </w:pPr>
                </w:p>
              </w:tc>
              <w:tc>
                <w:tcPr>
                  <w:tcW w:w="1707" w:type="pct"/>
                  <w:tcBorders>
                    <w:tl2br w:val="nil"/>
                    <w:tr2bl w:val="nil"/>
                  </w:tcBorders>
                  <w:vAlign w:val="center"/>
                </w:tcPr>
                <w:p>
                  <w:pPr>
                    <w:pStyle w:val="67"/>
                    <w:rPr>
                      <w:rFonts w:hint="default" w:eastAsia="宋体"/>
                      <w:color w:val="000000" w:themeColor="text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3292" w:type="pct"/>
                  <w:gridSpan w:val="3"/>
                  <w:tcBorders>
                    <w:tl2br w:val="nil"/>
                    <w:tr2bl w:val="nil"/>
                  </w:tcBorders>
                  <w:vAlign w:val="center"/>
                </w:tcPr>
                <w:p>
                  <w:pPr>
                    <w:pStyle w:val="67"/>
                    <w:rPr>
                      <w:rFonts w:hint="eastAsia"/>
                      <w:color w:val="000000" w:themeColor="text1"/>
                      <w:highlight w:val="none"/>
                      <w:lang w:eastAsia="zh-CN"/>
                      <w14:textFill>
                        <w14:solidFill>
                          <w14:schemeClr w14:val="tx1"/>
                        </w14:solidFill>
                      </w14:textFill>
                    </w:rPr>
                  </w:pPr>
                </w:p>
              </w:tc>
              <w:tc>
                <w:tcPr>
                  <w:tcW w:w="1707" w:type="pct"/>
                  <w:tcBorders>
                    <w:tl2br w:val="nil"/>
                    <w:tr2bl w:val="nil"/>
                  </w:tcBorders>
                  <w:vAlign w:val="center"/>
                </w:tcPr>
                <w:p>
                  <w:pPr>
                    <w:pStyle w:val="67"/>
                    <w:rPr>
                      <w:rFonts w:hint="eastAsia" w:eastAsia="宋体"/>
                      <w:color w:val="000000" w:themeColor="text1"/>
                      <w:highlight w:val="none"/>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283" w:hRule="atLeast"/>
                <w:jc w:val="center"/>
              </w:trPr>
              <w:tc>
                <w:tcPr>
                  <w:tcW w:w="1346" w:type="pct"/>
                  <w:tcBorders>
                    <w:tl2br w:val="nil"/>
                    <w:tr2bl w:val="nil"/>
                  </w:tcBorders>
                  <w:vAlign w:val="center"/>
                </w:tcPr>
                <w:p>
                  <w:pPr>
                    <w:pStyle w:val="67"/>
                    <w:rPr>
                      <w:color w:val="000000" w:themeColor="text1"/>
                      <w:highlight w:val="none"/>
                      <w14:textFill>
                        <w14:solidFill>
                          <w14:schemeClr w14:val="tx1"/>
                        </w14:solidFill>
                      </w14:textFill>
                    </w:rPr>
                  </w:pPr>
                </w:p>
              </w:tc>
              <w:tc>
                <w:tcPr>
                  <w:tcW w:w="3653" w:type="pct"/>
                  <w:gridSpan w:val="3"/>
                  <w:tcBorders>
                    <w:tl2br w:val="nil"/>
                    <w:tr2bl w:val="nil"/>
                  </w:tcBorders>
                  <w:vAlign w:val="center"/>
                </w:tcPr>
                <w:p>
                  <w:pPr>
                    <w:pStyle w:val="67"/>
                    <w:jc w:val="left"/>
                    <w:rPr>
                      <w:color w:val="000000" w:themeColor="text1"/>
                      <w:highlight w:val="none"/>
                      <w14:textFill>
                        <w14:solidFill>
                          <w14:schemeClr w14:val="tx1"/>
                        </w14:solidFill>
                      </w14:textFill>
                    </w:rPr>
                  </w:pPr>
                </w:p>
              </w:tc>
            </w:tr>
          </w:tbl>
          <w:p>
            <w:pPr>
              <w:spacing w:line="360" w:lineRule="auto"/>
              <w:ind w:firstLine="198" w:firstLineChars="82"/>
              <w:jc w:val="center"/>
              <w:rPr>
                <w:b/>
                <w:color w:val="000000" w:themeColor="text1"/>
                <w:sz w:val="24"/>
                <w:highlight w:val="none"/>
                <w14:textFill>
                  <w14:solidFill>
                    <w14:schemeClr w14:val="tx1"/>
                  </w14:solidFill>
                </w14:textFill>
              </w:rPr>
            </w:pPr>
          </w:p>
          <w:p>
            <w:pPr>
              <w:spacing w:line="360" w:lineRule="auto"/>
              <w:ind w:firstLine="198" w:firstLineChars="82"/>
              <w:jc w:val="center"/>
              <w:rPr>
                <w:rFonts w:hint="default" w:eastAsia="宋体"/>
                <w:b/>
                <w:color w:val="000000" w:themeColor="text1"/>
                <w:sz w:val="24"/>
                <w:highlight w:val="none"/>
                <w:lang w:val="en-US" w:eastAsia="zh-CN"/>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w:t>
            </w:r>
          </w:p>
          <w:p>
            <w:pPr>
              <w:spacing w:line="360" w:lineRule="auto"/>
              <w:ind w:firstLine="198" w:firstLineChars="8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图</w:t>
            </w:r>
            <w:r>
              <w:rPr>
                <w:rFonts w:hint="eastAsia"/>
                <w:b/>
                <w:color w:val="000000" w:themeColor="text1"/>
                <w:sz w:val="24"/>
                <w:highlight w:val="none"/>
                <w14:textFill>
                  <w14:solidFill>
                    <w14:schemeClr w14:val="tx1"/>
                  </w14:solidFill>
                </w14:textFill>
              </w:rPr>
              <w:t>3.1-</w:t>
            </w:r>
            <w:r>
              <w:rPr>
                <w:rFonts w:hint="eastAsia"/>
                <w:b/>
                <w:color w:val="000000" w:themeColor="text1"/>
                <w:sz w:val="24"/>
                <w:highlight w:val="none"/>
                <w:lang w:val="en-US" w:eastAsia="zh-CN"/>
                <w14:textFill>
                  <w14:solidFill>
                    <w14:schemeClr w14:val="tx1"/>
                  </w14:solidFill>
                </w14:textFill>
              </w:rPr>
              <w:t>2</w:t>
            </w:r>
            <w:r>
              <w:rPr>
                <w:rFonts w:hint="eastAsia"/>
                <w:b/>
                <w:bCs/>
                <w:color w:val="000000" w:themeColor="text1"/>
                <w:sz w:val="24"/>
                <w:szCs w:val="32"/>
                <w:highlight w:val="none"/>
                <w:lang w:eastAsia="zh-CN"/>
                <w14:textFill>
                  <w14:solidFill>
                    <w14:schemeClr w14:val="tx1"/>
                  </w14:solidFill>
                </w14:textFill>
              </w:rPr>
              <w:t>补充监测点位</w:t>
            </w:r>
            <w:r>
              <w:rPr>
                <w:b/>
                <w:bCs/>
                <w:color w:val="000000" w:themeColor="text1"/>
                <w:sz w:val="24"/>
                <w:szCs w:val="32"/>
                <w:highlight w:val="none"/>
                <w14:textFill>
                  <w14:solidFill>
                    <w14:schemeClr w14:val="tx1"/>
                  </w14:solidFill>
                </w14:textFill>
              </w:rPr>
              <w:t>图</w:t>
            </w:r>
          </w:p>
          <w:p>
            <w:pPr>
              <w:pStyle w:val="86"/>
              <w:ind w:firstLine="480"/>
              <w:rPr>
                <w:rFonts w:hint="eastAsia"/>
                <w:color w:val="000000" w:themeColor="text1"/>
                <w:sz w:val="24"/>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由</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3.1-2</w:t>
            </w:r>
            <w:r>
              <w:rPr>
                <w:rFonts w:hint="eastAsia"/>
                <w:color w:val="000000" w:themeColor="text1"/>
                <w:highlight w:val="none"/>
                <w14:textFill>
                  <w14:solidFill>
                    <w14:schemeClr w14:val="tx1"/>
                  </w14:solidFill>
                </w14:textFill>
              </w:rPr>
              <w:t>可知，监测点位</w:t>
            </w:r>
            <w:r>
              <w:rPr>
                <w:rFonts w:hint="eastAsia"/>
                <w:color w:val="000000" w:themeColor="text1"/>
                <w:highlight w:val="none"/>
                <w:lang w:val="en-US" w:eastAsia="zh-CN"/>
                <w14:textFill>
                  <w14:solidFill>
                    <w14:schemeClr w14:val="tx1"/>
                  </w14:solidFill>
                </w14:textFill>
              </w:rPr>
              <w:t>TSP</w:t>
            </w:r>
            <w:r>
              <w:rPr>
                <w:rFonts w:hint="eastAsia"/>
                <w:color w:val="000000" w:themeColor="text1"/>
                <w:highlight w:val="none"/>
                <w14:textFill>
                  <w14:solidFill>
                    <w14:schemeClr w14:val="tx1"/>
                  </w14:solidFill>
                </w14:textFill>
              </w:rPr>
              <w:t>可满足</w:t>
            </w:r>
            <w:r>
              <w:rPr>
                <w:color w:val="000000" w:themeColor="text1"/>
                <w:highlight w:val="none"/>
                <w14:textFill>
                  <w14:solidFill>
                    <w14:schemeClr w14:val="tx1"/>
                  </w14:solidFill>
                </w14:textFill>
              </w:rPr>
              <w:t>《环境空气质量标准》（GB3095-2012）中的二级浓度限值要求</w:t>
            </w:r>
            <w:r>
              <w:rPr>
                <w:rFonts w:hint="eastAsia"/>
                <w:color w:val="000000" w:themeColor="text1"/>
                <w:highlight w:val="none"/>
                <w14:textFill>
                  <w14:solidFill>
                    <w14:schemeClr w14:val="tx1"/>
                  </w14:solidFill>
                </w14:textFill>
              </w:rPr>
              <w:t>，大气环境质量现状好。</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3.1.3</w:t>
            </w:r>
            <w:r>
              <w:rPr>
                <w:rFonts w:hint="eastAsia"/>
                <w:color w:val="000000" w:themeColor="text1"/>
                <w:sz w:val="28"/>
                <w:szCs w:val="28"/>
                <w:highlight w:val="none"/>
                <w14:textFill>
                  <w14:solidFill>
                    <w14:schemeClr w14:val="tx1"/>
                  </w14:solidFill>
                </w14:textFill>
              </w:rPr>
              <w:t>声</w:t>
            </w:r>
            <w:r>
              <w:rPr>
                <w:color w:val="000000" w:themeColor="text1"/>
                <w:sz w:val="28"/>
                <w:szCs w:val="28"/>
                <w:highlight w:val="none"/>
                <w14:textFill>
                  <w14:solidFill>
                    <w14:schemeClr w14:val="tx1"/>
                  </w14:solidFill>
                </w14:textFill>
              </w:rPr>
              <w:t>环境质量现状</w:t>
            </w:r>
          </w:p>
          <w:p>
            <w:pPr>
              <w:pStyle w:val="186"/>
              <w:ind w:firstLine="480"/>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根据生态环境部环境工程评估中心</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《建设项目环境影响报告表》内容、格式及编制技术指南常见问题解答</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厂界外周边50米范围内存在声环境保护目标的建设项目，应监测声环境质量现状，监测点位为声环境保护目标处。厂界外周边50米范围内无声环境保护目标的建设项目，不再要求提供声环境质量现状监测数据。</w:t>
            </w:r>
            <w:r>
              <w:rPr>
                <w:rFonts w:hint="eastAsia"/>
                <w:color w:val="000000" w:themeColor="text1"/>
                <w:szCs w:val="24"/>
                <w:highlight w:val="none"/>
                <w14:textFill>
                  <w14:solidFill>
                    <w14:schemeClr w14:val="tx1"/>
                  </w14:solidFill>
                </w14:textFill>
              </w:rPr>
              <w:t>”</w:t>
            </w:r>
          </w:p>
          <w:p>
            <w:pPr>
              <w:pStyle w:val="186"/>
              <w:ind w:firstLine="480"/>
              <w:rPr>
                <w:color w:val="000000" w:themeColor="text1"/>
                <w:highlight w:val="none"/>
                <w14:textFill>
                  <w14:solidFill>
                    <w14:schemeClr w14:val="tx1"/>
                  </w14:solidFill>
                </w14:textFill>
              </w:rPr>
            </w:pPr>
            <w:r>
              <w:rPr>
                <w:color w:val="000000" w:themeColor="text1"/>
                <w:szCs w:val="24"/>
                <w:highlight w:val="none"/>
                <w14:textFill>
                  <w14:solidFill>
                    <w14:schemeClr w14:val="tx1"/>
                  </w14:solidFill>
                </w14:textFill>
              </w:rPr>
              <w:t>根据现场踏勘可知，项目周边50米范围内无声环境保护目标，可不进行声环境质量现状的监测。</w:t>
            </w:r>
          </w:p>
          <w:p>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3.1.4地下水、土壤现状</w:t>
            </w:r>
            <w:r>
              <w:rPr>
                <w:color w:val="000000" w:themeColor="text1"/>
                <w:sz w:val="28"/>
                <w:szCs w:val="28"/>
                <w:highlight w:val="none"/>
                <w14:textFill>
                  <w14:solidFill>
                    <w14:schemeClr w14:val="tx1"/>
                  </w14:solidFill>
                </w14:textFill>
              </w:rPr>
              <w:t>评价说明</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（1）地下水环境影响分析</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对照《环境影响评价技术导则 地下水环境》（HJ610-2016）附录A中</w:t>
            </w:r>
            <w:r>
              <w:rPr>
                <w:rFonts w:hint="eastAsia"/>
                <w:color w:val="000000" w:themeColor="text1"/>
                <w:highlight w:val="none"/>
                <w14:textFill>
                  <w14:solidFill>
                    <w14:schemeClr w14:val="tx1"/>
                  </w14:solidFill>
                </w14:textFill>
              </w:rPr>
              <w:t>“109、锯材、木片加工、家具制造—其他”</w:t>
            </w:r>
            <w:r>
              <w:rPr>
                <w:color w:val="000000" w:themeColor="text1"/>
                <w:highlight w:val="none"/>
                <w14:textFill>
                  <w14:solidFill>
                    <w14:schemeClr w14:val="tx1"/>
                  </w14:solidFill>
                </w14:textFill>
              </w:rPr>
              <w:t>，报告表类别属于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IV类项目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，可不进行地下水环境影响评价</w:t>
            </w:r>
            <w:r>
              <w:rPr>
                <w:rFonts w:hint="eastAsia"/>
                <w:color w:val="000000" w:themeColor="text1"/>
                <w:highlight w:val="none"/>
                <w14:textFill>
                  <w14:solidFill>
                    <w14:schemeClr w14:val="tx1"/>
                  </w14:solidFill>
                </w14:textFill>
              </w:rPr>
              <w:t>。</w:t>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（2）土壤环境影响分析</w:t>
            </w:r>
          </w:p>
          <w:p>
            <w:pPr>
              <w:pStyle w:val="189"/>
              <w:ind w:firstLine="480"/>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土壤环境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试行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HJ964-2018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附录A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土壤环境影响评价项目类别表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项目土壤环境影响评价类别属于</w:t>
            </w:r>
            <w:r>
              <w:rPr>
                <w:rFonts w:hint="eastAsia"/>
                <w:color w:val="000000" w:themeColor="text1"/>
                <w:highlight w:val="none"/>
                <w14:textFill>
                  <w14:solidFill>
                    <w14:schemeClr w14:val="tx1"/>
                  </w14:solidFill>
                </w14:textFill>
              </w:rPr>
              <w:t>“其他行</w:t>
            </w:r>
            <w:r>
              <w:rPr>
                <w:color w:val="000000" w:themeColor="text1"/>
                <w:highlight w:val="none"/>
                <w14:textFill>
                  <w14:solidFill>
                    <w14:schemeClr w14:val="tx1"/>
                  </w14:solidFill>
                </w14:textFill>
              </w:rPr>
              <w:t>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项目属于IV类建设项目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根据导则项目不开展土壤环境影响评价，不进行土壤环境现状调查。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1" w:type="dxa"/>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环境</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保护</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目标</w:t>
            </w:r>
          </w:p>
        </w:tc>
        <w:tc>
          <w:tcPr>
            <w:tcW w:w="8816" w:type="dxa"/>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3.2</w:t>
            </w:r>
            <w:r>
              <w:rPr>
                <w:rFonts w:hint="eastAsia"/>
                <w:b/>
                <w:color w:val="000000" w:themeColor="text1"/>
                <w:sz w:val="30"/>
                <w:szCs w:val="30"/>
                <w:highlight w:val="none"/>
                <w14:textFill>
                  <w14:solidFill>
                    <w14:schemeClr w14:val="tx1"/>
                  </w14:solidFill>
                </w14:textFill>
              </w:rPr>
              <w:t>环境保护</w:t>
            </w:r>
            <w:r>
              <w:rPr>
                <w:b/>
                <w:color w:val="000000" w:themeColor="text1"/>
                <w:sz w:val="30"/>
                <w:szCs w:val="30"/>
                <w:highlight w:val="none"/>
                <w14:textFill>
                  <w14:solidFill>
                    <w14:schemeClr w14:val="tx1"/>
                  </w14:solidFill>
                </w14:textFill>
              </w:rPr>
              <w:t>目标</w:t>
            </w:r>
          </w:p>
          <w:p>
            <w:pPr>
              <w:pStyle w:val="18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环境保护目标详见表</w:t>
            </w:r>
            <w:r>
              <w:rPr>
                <w:rFonts w:hint="eastAsia"/>
                <w:color w:val="000000" w:themeColor="text1"/>
                <w:highlight w:val="none"/>
                <w14:textFill>
                  <w14:solidFill>
                    <w14:schemeClr w14:val="tx1"/>
                  </w14:solidFill>
                </w14:textFill>
              </w:rPr>
              <w:t>3.2-1</w:t>
            </w:r>
            <w:r>
              <w:rPr>
                <w:color w:val="000000" w:themeColor="text1"/>
                <w:highlight w:val="none"/>
                <w14:textFill>
                  <w14:solidFill>
                    <w14:schemeClr w14:val="tx1"/>
                  </w14:solidFill>
                </w14:textFill>
              </w:rPr>
              <w:t>。</w:t>
            </w:r>
          </w:p>
          <w:p>
            <w:pPr>
              <w:pStyle w:val="180"/>
              <w:ind w:firstLine="482"/>
              <w:rPr>
                <w:rFonts w:eastAsia="宋体"/>
                <w:b/>
                <w:color w:val="000000" w:themeColor="text1"/>
                <w:kern w:val="2"/>
                <w:highlight w:val="none"/>
                <w14:textFill>
                  <w14:solidFill>
                    <w14:schemeClr w14:val="tx1"/>
                  </w14:solidFill>
                </w14:textFill>
              </w:rPr>
            </w:pPr>
            <w:r>
              <w:rPr>
                <w:rFonts w:eastAsia="宋体"/>
                <w:b/>
                <w:color w:val="000000" w:themeColor="text1"/>
                <w:kern w:val="2"/>
                <w:highlight w:val="none"/>
                <w14:textFill>
                  <w14:solidFill>
                    <w14:schemeClr w14:val="tx1"/>
                  </w14:solidFill>
                </w14:textFill>
              </w:rPr>
              <w:t>表3.2-1 项目环境保护目标</w:t>
            </w:r>
          </w:p>
          <w:tbl>
            <w:tblPr>
              <w:tblStyle w:val="37"/>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1304"/>
              <w:gridCol w:w="1072"/>
              <w:gridCol w:w="1347"/>
              <w:gridCol w:w="1141"/>
              <w:gridCol w:w="243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6" w:type="pct"/>
                  <w:vMerge w:val="restart"/>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污染因素</w:t>
                  </w:r>
                </w:p>
              </w:tc>
              <w:tc>
                <w:tcPr>
                  <w:tcW w:w="758" w:type="pct"/>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w:t>
                  </w:r>
                </w:p>
              </w:tc>
              <w:tc>
                <w:tcPr>
                  <w:tcW w:w="623" w:type="pct"/>
                  <w:vMerge w:val="restart"/>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相对方位</w:t>
                  </w:r>
                </w:p>
              </w:tc>
              <w:tc>
                <w:tcPr>
                  <w:tcW w:w="783" w:type="pct"/>
                  <w:vMerge w:val="restart"/>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与项目场界距离（m）</w:t>
                  </w:r>
                </w:p>
              </w:tc>
              <w:tc>
                <w:tcPr>
                  <w:tcW w:w="663" w:type="pct"/>
                  <w:vMerge w:val="restart"/>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受影响规模/人</w:t>
                  </w:r>
                </w:p>
              </w:tc>
              <w:tc>
                <w:tcPr>
                  <w:tcW w:w="1415" w:type="pct"/>
                  <w:vMerge w:val="restart"/>
                  <w:tcBorders>
                    <w:top w:val="single" w:color="auto" w:sz="12" w:space="0"/>
                    <w:left w:val="nil"/>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环境功能及保护要求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0" w:type="auto"/>
                  <w:vMerge w:val="continue"/>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行政村</w:t>
                  </w:r>
                </w:p>
              </w:tc>
              <w:tc>
                <w:tcPr>
                  <w:tcW w:w="623" w:type="pct"/>
                  <w:vMerge w:val="continue"/>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p>
              </w:tc>
              <w:tc>
                <w:tcPr>
                  <w:tcW w:w="0" w:type="auto"/>
                  <w:vMerge w:val="continue"/>
                  <w:tcBorders>
                    <w:top w:val="single" w:color="auto" w:sz="12" w:space="0"/>
                    <w:left w:val="nil"/>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tcBorders>
                    <w:top w:val="nil"/>
                    <w:left w:val="single" w:color="auto" w:sz="12"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w:t>
                  </w:r>
                </w:p>
              </w:tc>
              <w:tc>
                <w:tcPr>
                  <w:tcW w:w="758"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溪头村</w:t>
                  </w:r>
                </w:p>
              </w:tc>
              <w:tc>
                <w:tcPr>
                  <w:tcW w:w="62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w:t>
                  </w:r>
                </w:p>
              </w:tc>
              <w:tc>
                <w:tcPr>
                  <w:tcW w:w="78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323m</w:t>
                  </w:r>
                </w:p>
              </w:tc>
              <w:tc>
                <w:tcPr>
                  <w:tcW w:w="66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2600</w:t>
                  </w:r>
                  <w:r>
                    <w:rPr>
                      <w:color w:val="000000" w:themeColor="text1"/>
                      <w:highlight w:val="none"/>
                      <w14:textFill>
                        <w14:solidFill>
                          <w14:schemeClr w14:val="tx1"/>
                        </w14:solidFill>
                      </w14:textFill>
                    </w:rPr>
                    <w:t>人</w:t>
                  </w:r>
                </w:p>
              </w:tc>
              <w:tc>
                <w:tcPr>
                  <w:tcW w:w="1415" w:type="pct"/>
                  <w:vMerge w:val="restart"/>
                  <w:tcBorders>
                    <w:top w:val="nil"/>
                    <w:left w:val="nil"/>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《环境空气质量标准》(GB3095-2012)二级标准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right w:val="single" w:color="auto" w:sz="4" w:space="0"/>
                  </w:tcBorders>
                  <w:vAlign w:val="center"/>
                </w:tcPr>
                <w:p>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溪东</w:t>
                  </w:r>
                  <w:r>
                    <w:rPr>
                      <w:color w:val="000000" w:themeColor="text1"/>
                      <w:highlight w:val="none"/>
                      <w14:textFill>
                        <w14:solidFill>
                          <w14:schemeClr w14:val="tx1"/>
                        </w14:solidFill>
                      </w14:textFill>
                    </w:rPr>
                    <w:t>村</w:t>
                  </w:r>
                </w:p>
              </w:tc>
              <w:tc>
                <w:tcPr>
                  <w:tcW w:w="62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t>
                  </w:r>
                </w:p>
              </w:tc>
              <w:tc>
                <w:tcPr>
                  <w:tcW w:w="78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102m</w:t>
                  </w:r>
                </w:p>
              </w:tc>
              <w:tc>
                <w:tcPr>
                  <w:tcW w:w="66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850</w:t>
                  </w:r>
                  <w:r>
                    <w:rPr>
                      <w:color w:val="000000" w:themeColor="text1"/>
                      <w:highlight w:val="none"/>
                      <w14:textFill>
                        <w14:solidFill>
                          <w14:schemeClr w14:val="tx1"/>
                        </w14:solidFill>
                      </w14:textFill>
                    </w:rPr>
                    <w:t>人</w:t>
                  </w:r>
                </w:p>
              </w:tc>
              <w:tc>
                <w:tcPr>
                  <w:tcW w:w="1415" w:type="pct"/>
                  <w:vMerge w:val="continue"/>
                  <w:tcBorders>
                    <w:left w:val="nil"/>
                    <w:right w:val="single" w:color="auto" w:sz="12" w:space="0"/>
                  </w:tcBorders>
                  <w:vAlign w:val="center"/>
                </w:tcPr>
                <w:p>
                  <w:pPr>
                    <w:jc w:val="center"/>
                    <w:rPr>
                      <w:color w:val="000000" w:themeColor="text1"/>
                      <w:highlight w:val="none"/>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right w:val="single" w:color="auto" w:sz="4" w:space="0"/>
                  </w:tcBorders>
                  <w:vAlign w:val="center"/>
                </w:tcPr>
                <w:p>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溪西村</w:t>
                  </w:r>
                </w:p>
              </w:tc>
              <w:tc>
                <w:tcPr>
                  <w:tcW w:w="62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WS</w:t>
                  </w:r>
                </w:p>
              </w:tc>
              <w:tc>
                <w:tcPr>
                  <w:tcW w:w="78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427m</w:t>
                  </w:r>
                </w:p>
              </w:tc>
              <w:tc>
                <w:tcPr>
                  <w:tcW w:w="66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800</w:t>
                  </w:r>
                  <w:r>
                    <w:rPr>
                      <w:color w:val="000000" w:themeColor="text1"/>
                      <w:highlight w:val="none"/>
                      <w14:textFill>
                        <w14:solidFill>
                          <w14:schemeClr w14:val="tx1"/>
                        </w14:solidFill>
                      </w14:textFill>
                    </w:rPr>
                    <w:t>人</w:t>
                  </w:r>
                </w:p>
              </w:tc>
              <w:tc>
                <w:tcPr>
                  <w:tcW w:w="1415" w:type="pct"/>
                  <w:vMerge w:val="continue"/>
                  <w:tcBorders>
                    <w:left w:val="nil"/>
                    <w:right w:val="single" w:color="auto" w:sz="12" w:space="0"/>
                  </w:tcBorders>
                  <w:vAlign w:val="center"/>
                </w:tcPr>
                <w:p>
                  <w:pPr>
                    <w:jc w:val="center"/>
                    <w:rPr>
                      <w:color w:val="000000" w:themeColor="text1"/>
                      <w:highlight w:val="none"/>
                      <w14:textFill>
                        <w14:solidFill>
                          <w14:schemeClr w14:val="tx1"/>
                        </w14:solidFill>
                      </w14:textFill>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restart"/>
                  <w:tcBorders>
                    <w:left w:val="single" w:color="auto" w:sz="12"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w:t>
                  </w:r>
                </w:p>
              </w:tc>
              <w:tc>
                <w:tcPr>
                  <w:tcW w:w="758"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大北溪</w:t>
                  </w:r>
                </w:p>
              </w:tc>
              <w:tc>
                <w:tcPr>
                  <w:tcW w:w="62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w:t>
                  </w:r>
                </w:p>
              </w:tc>
              <w:tc>
                <w:tcPr>
                  <w:tcW w:w="78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675m</w:t>
                  </w:r>
                </w:p>
              </w:tc>
              <w:tc>
                <w:tcPr>
                  <w:tcW w:w="66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一般景观用水</w:t>
                  </w:r>
                </w:p>
              </w:tc>
              <w:tc>
                <w:tcPr>
                  <w:tcW w:w="1415" w:type="pct"/>
                  <w:tcBorders>
                    <w:left w:val="nil"/>
                    <w:right w:val="single" w:color="auto" w:sz="12"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《地表水环境质量标准》(GB3838-2002)Ⅳ类标准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vMerge w:val="continue"/>
                  <w:tcBorders>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p>
              </w:tc>
              <w:tc>
                <w:tcPr>
                  <w:tcW w:w="758"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阳下新局调节水库</w:t>
                  </w:r>
                </w:p>
              </w:tc>
              <w:tc>
                <w:tcPr>
                  <w:tcW w:w="62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NW</w:t>
                  </w:r>
                </w:p>
              </w:tc>
              <w:tc>
                <w:tcPr>
                  <w:tcW w:w="78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562m</w:t>
                  </w:r>
                </w:p>
              </w:tc>
              <w:tc>
                <w:tcPr>
                  <w:tcW w:w="663" w:type="pct"/>
                  <w:tcBorders>
                    <w:top w:val="single" w:color="auto" w:sz="4" w:space="0"/>
                    <w:left w:val="nil"/>
                    <w:bottom w:val="single" w:color="auto" w:sz="4" w:space="0"/>
                    <w:right w:val="single" w:color="auto" w:sz="4" w:space="0"/>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饮用水源地</w:t>
                  </w:r>
                </w:p>
              </w:tc>
              <w:tc>
                <w:tcPr>
                  <w:tcW w:w="1415" w:type="pct"/>
                  <w:tcBorders>
                    <w:left w:val="nil"/>
                    <w:bottom w:val="single" w:color="auto" w:sz="4" w:space="0"/>
                    <w:right w:val="single" w:color="auto" w:sz="12" w:space="0"/>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《地表水环境质量标准》(GB3838-2002)Ⅱ类标准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w:t>
                  </w:r>
                </w:p>
              </w:tc>
              <w:tc>
                <w:tcPr>
                  <w:tcW w:w="4243" w:type="pct"/>
                  <w:gridSpan w:val="5"/>
                  <w:tcBorders>
                    <w:top w:val="single" w:color="auto" w:sz="4" w:space="0"/>
                    <w:left w:val="nil"/>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项目厂界外</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m范围内无声环境保护目标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12" w:space="0"/>
                    <w:bottom w:val="single" w:color="auto" w:sz="4"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w:t>
                  </w:r>
                </w:p>
              </w:tc>
              <w:tc>
                <w:tcPr>
                  <w:tcW w:w="4243" w:type="pct"/>
                  <w:gridSpan w:val="5"/>
                  <w:tcBorders>
                    <w:top w:val="single" w:color="auto" w:sz="4" w:space="0"/>
                    <w:left w:val="nil"/>
                    <w:bottom w:val="single" w:color="auto" w:sz="4"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场界外500米范围内无地下水集中式饮用水水源和热水、矿泉水、泉水等特殊地下水资源。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tcBorders>
                    <w:top w:val="single" w:color="auto" w:sz="4" w:space="0"/>
                    <w:left w:val="single" w:color="auto" w:sz="12" w:space="0"/>
                    <w:bottom w:val="single" w:color="auto" w:sz="12" w:space="0"/>
                    <w:right w:val="single" w:color="auto" w:sz="4"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生态环境</w:t>
                  </w:r>
                </w:p>
              </w:tc>
              <w:tc>
                <w:tcPr>
                  <w:tcW w:w="4243" w:type="pct"/>
                  <w:gridSpan w:val="5"/>
                  <w:tcBorders>
                    <w:top w:val="single" w:color="auto" w:sz="4" w:space="0"/>
                    <w:left w:val="nil"/>
                    <w:bottom w:val="single" w:color="auto" w:sz="12" w:space="0"/>
                    <w:right w:val="single" w:color="auto" w:sz="12" w:space="0"/>
                  </w:tcBorders>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项目不新增用地，无生态环境保护目标</w:t>
                  </w:r>
                </w:p>
              </w:tc>
            </w:tr>
          </w:tbl>
          <w:p>
            <w:pPr>
              <w:pStyle w:val="86"/>
              <w:ind w:firstLine="480"/>
              <w:rPr>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71" w:type="dxa"/>
            <w:tcMar>
              <w:left w:w="28" w:type="dxa"/>
              <w:right w:w="28" w:type="dxa"/>
            </w:tcMar>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物排</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放控</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制标</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准</w:t>
            </w:r>
          </w:p>
        </w:tc>
        <w:tc>
          <w:tcPr>
            <w:tcW w:w="8816" w:type="dxa"/>
            <w:vAlign w:val="center"/>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3.3</w:t>
            </w:r>
            <w:r>
              <w:rPr>
                <w:rFonts w:hint="eastAsia"/>
                <w:b/>
                <w:color w:val="000000" w:themeColor="text1"/>
                <w:sz w:val="30"/>
                <w:szCs w:val="30"/>
                <w:highlight w:val="none"/>
                <w14:textFill>
                  <w14:solidFill>
                    <w14:schemeClr w14:val="tx1"/>
                  </w14:solidFill>
                </w14:textFill>
              </w:rPr>
              <w:t>污染物排放</w:t>
            </w:r>
            <w:r>
              <w:rPr>
                <w:b/>
                <w:color w:val="000000" w:themeColor="text1"/>
                <w:sz w:val="30"/>
                <w:szCs w:val="30"/>
                <w:highlight w:val="none"/>
                <w14:textFill>
                  <w14:solidFill>
                    <w14:schemeClr w14:val="tx1"/>
                  </w14:solidFill>
                </w14:textFill>
              </w:rPr>
              <w:t>控制</w:t>
            </w:r>
            <w:r>
              <w:rPr>
                <w:rFonts w:hint="eastAsia"/>
                <w:b/>
                <w:color w:val="000000" w:themeColor="text1"/>
                <w:sz w:val="30"/>
                <w:szCs w:val="30"/>
                <w:highlight w:val="none"/>
                <w14:textFill>
                  <w14:solidFill>
                    <w14:schemeClr w14:val="tx1"/>
                  </w14:solidFill>
                </w14:textFill>
              </w:rPr>
              <w:t>标准</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3.3.1</w:t>
            </w:r>
            <w:r>
              <w:rPr>
                <w:rFonts w:hint="eastAsia"/>
                <w:color w:val="000000" w:themeColor="text1"/>
                <w:sz w:val="28"/>
                <w:szCs w:val="28"/>
                <w:highlight w:val="none"/>
                <w14:textFill>
                  <w14:solidFill>
                    <w14:schemeClr w14:val="tx1"/>
                  </w14:solidFill>
                </w14:textFill>
              </w:rPr>
              <w:t>废水</w:t>
            </w:r>
          </w:p>
          <w:p>
            <w:pPr>
              <w:pStyle w:val="36"/>
              <w:spacing w:after="0"/>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项目生产废水为喷漆水帘柜废水、打磨房喷淋废水、喷淋塔废水，经过项目配套废水处理设施（混凝压滤）处理后循环使用，不外排。</w:t>
            </w:r>
            <w:r>
              <w:rPr>
                <w:color w:val="000000" w:themeColor="text1"/>
                <w:highlight w:val="none"/>
                <w14:textFill>
                  <w14:solidFill>
                    <w14:schemeClr w14:val="tx1"/>
                  </w14:solidFill>
                </w14:textFill>
              </w:rPr>
              <w:t>生活污水经</w:t>
            </w:r>
            <w:r>
              <w:rPr>
                <w:rFonts w:hint="eastAsia"/>
                <w:color w:val="000000" w:themeColor="text1"/>
                <w:highlight w:val="none"/>
                <w14:textFill>
                  <w14:solidFill>
                    <w14:schemeClr w14:val="tx1"/>
                  </w14:solidFill>
                </w14:textFill>
              </w:rPr>
              <w:t>出租方化粪池</w:t>
            </w:r>
            <w:r>
              <w:rPr>
                <w:color w:val="000000" w:themeColor="text1"/>
                <w:highlight w:val="none"/>
                <w14:textFill>
                  <w14:solidFill>
                    <w14:schemeClr w14:val="tx1"/>
                  </w14:solidFill>
                </w14:textFill>
              </w:rPr>
              <w:t>处理后</w:t>
            </w:r>
            <w:r>
              <w:rPr>
                <w:rFonts w:hint="eastAsia"/>
                <w:color w:val="000000" w:themeColor="text1"/>
                <w:highlight w:val="none"/>
                <w14:textFill>
                  <w14:solidFill>
                    <w14:schemeClr w14:val="tx1"/>
                  </w14:solidFill>
                </w14:textFill>
              </w:rPr>
              <w:t>达到</w:t>
            </w:r>
            <w:r>
              <w:rPr>
                <w:color w:val="000000" w:themeColor="text1"/>
                <w:highlight w:val="none"/>
                <w14:textFill>
                  <w14:solidFill>
                    <w14:schemeClr w14:val="tx1"/>
                  </w14:solidFill>
                </w14:textFill>
              </w:rPr>
              <w:t>《污水综合排放标准》（GB8978-1996）表4中三级标准要求（其中氨氮参照《污水排入城市下水道水质标准》(</w:t>
            </w:r>
            <w:r>
              <w:rPr>
                <w:rFonts w:eastAsia="TimesNewRomanPSMT"/>
                <w:color w:val="000000" w:themeColor="text1"/>
                <w:highlight w:val="none"/>
                <w14:textFill>
                  <w14:solidFill>
                    <w14:schemeClr w14:val="tx1"/>
                  </w14:solidFill>
                </w14:textFill>
              </w:rPr>
              <w:t>GB/T31962-2015</w:t>
            </w:r>
            <w:r>
              <w:rPr>
                <w:color w:val="000000" w:themeColor="text1"/>
                <w:highlight w:val="none"/>
                <w14:textFill>
                  <w14:solidFill>
                    <w14:schemeClr w14:val="tx1"/>
                  </w14:solidFill>
                </w14:textFill>
              </w:rPr>
              <w:t>)B级标准执行）要求</w:t>
            </w:r>
            <w:r>
              <w:rPr>
                <w:rFonts w:hint="eastAsia"/>
                <w:color w:val="000000" w:themeColor="text1"/>
                <w:highlight w:val="none"/>
                <w14:textFill>
                  <w14:solidFill>
                    <w14:schemeClr w14:val="tx1"/>
                  </w14:solidFill>
                </w14:textFill>
              </w:rPr>
              <w:t>，通过市政污水管网纳入福清市融元污水处理厂</w:t>
            </w:r>
            <w:r>
              <w:rPr>
                <w:color w:val="000000" w:themeColor="text1"/>
                <w:highlight w:val="none"/>
                <w14:textFill>
                  <w14:solidFill>
                    <w14:schemeClr w14:val="tx1"/>
                  </w14:solidFill>
                </w14:textFill>
              </w:rPr>
              <w:t>集中</w:t>
            </w:r>
            <w:r>
              <w:rPr>
                <w:color w:val="000000" w:themeColor="text1"/>
                <w:szCs w:val="24"/>
                <w:highlight w:val="none"/>
                <w14:textFill>
                  <w14:solidFill>
                    <w14:schemeClr w14:val="tx1"/>
                  </w14:solidFill>
                </w14:textFill>
              </w:rPr>
              <w:t>处理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废水排放标准值详见表3.3-1。</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1项目</w:t>
            </w:r>
            <w:r>
              <w:rPr>
                <w:rFonts w:ascii="Times New Roman" w:hAnsi="Times New Roman"/>
                <w:b/>
                <w:color w:val="000000" w:themeColor="text1"/>
                <w:highlight w:val="none"/>
                <w14:textFill>
                  <w14:solidFill>
                    <w14:schemeClr w14:val="tx1"/>
                  </w14:solidFill>
                </w14:textFill>
              </w:rPr>
              <w:t>污水排放</w:t>
            </w:r>
            <w:r>
              <w:rPr>
                <w:rFonts w:hint="eastAsia" w:ascii="Times New Roman" w:hAnsi="Times New Roman"/>
                <w:b/>
                <w:color w:val="000000" w:themeColor="text1"/>
                <w:highlight w:val="none"/>
                <w14:textFill>
                  <w14:solidFill>
                    <w14:schemeClr w14:val="tx1"/>
                  </w14:solidFill>
                </w14:textFill>
              </w:rPr>
              <w:t>执行</w:t>
            </w:r>
            <w:r>
              <w:rPr>
                <w:rFonts w:ascii="Times New Roman" w:hAnsi="Times New Roman"/>
                <w:b/>
                <w:color w:val="000000" w:themeColor="text1"/>
                <w:highlight w:val="none"/>
                <w14:textFill>
                  <w14:solidFill>
                    <w14:schemeClr w14:val="tx1"/>
                  </w14:solidFill>
                </w14:textFill>
              </w:rPr>
              <w:t>标准</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4"/>
              <w:gridCol w:w="2607"/>
              <w:gridCol w:w="1304"/>
              <w:gridCol w:w="3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污染物名称</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三级标准</w:t>
                  </w:r>
                </w:p>
              </w:tc>
              <w:tc>
                <w:tcPr>
                  <w:tcW w:w="2278"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pH（无量纲）</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c>
                <w:tcPr>
                  <w:tcW w:w="2278" w:type="pct"/>
                  <w:vMerge w:val="restar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《污水综合排放标准》(GB8978-1996)</w:t>
                  </w:r>
                </w:p>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中表4三级标准（其中NH3-N参照执行）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悬浮物（SS）</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≤400mg/L</w:t>
                  </w:r>
                </w:p>
              </w:tc>
              <w:tc>
                <w:tcPr>
                  <w:tcW w:w="2278" w:type="pct"/>
                  <w:vMerge w:val="continue"/>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五日生化需氧量（BOD5）</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≤300mg/L</w:t>
                  </w:r>
                </w:p>
              </w:tc>
              <w:tc>
                <w:tcPr>
                  <w:tcW w:w="2278" w:type="pct"/>
                  <w:vMerge w:val="continue"/>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化学需氧量（COD）</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≤500mg/L</w:t>
                  </w:r>
                </w:p>
              </w:tc>
              <w:tc>
                <w:tcPr>
                  <w:tcW w:w="2278" w:type="pct"/>
                  <w:vMerge w:val="continue"/>
                  <w:vAlign w:val="center"/>
                </w:tcPr>
                <w:p>
                  <w:pPr>
                    <w:jc w:val="center"/>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440"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52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氨氮（NH3-N）*</w:t>
                  </w:r>
                </w:p>
              </w:tc>
              <w:tc>
                <w:tcPr>
                  <w:tcW w:w="761"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≤45mg/L</w:t>
                  </w:r>
                </w:p>
              </w:tc>
              <w:tc>
                <w:tcPr>
                  <w:tcW w:w="2278" w:type="pct"/>
                  <w:vAlign w:val="center"/>
                </w:tcPr>
                <w:p>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《污水排入城镇下水道水质标准》（GB/T 31962-2015）表1中的B级标准</w:t>
                  </w:r>
                </w:p>
              </w:tc>
            </w:tr>
          </w:tbl>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3.3.2</w:t>
            </w:r>
            <w:r>
              <w:rPr>
                <w:rFonts w:hint="eastAsia"/>
                <w:color w:val="000000" w:themeColor="text1"/>
                <w:sz w:val="28"/>
                <w:szCs w:val="28"/>
                <w:highlight w:val="none"/>
                <w14:textFill>
                  <w14:solidFill>
                    <w14:schemeClr w14:val="tx1"/>
                  </w14:solidFill>
                </w14:textFill>
              </w:rPr>
              <w:t>废气</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（1）颗粒物</w:t>
            </w:r>
          </w:p>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项目漆雾(颗粒物)、打磨</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颗粒物和木工区颗粒物执行《大气污染物综合排放标准》（GB16297-1996）二级排放相关排放浓度限值，根据现场调查，项目周边</w:t>
            </w:r>
            <w:r>
              <w:rPr>
                <w:rFonts w:hint="eastAsia"/>
                <w:color w:val="000000" w:themeColor="text1"/>
                <w:highlight w:val="none"/>
                <w:lang w:val="en-US"/>
                <w14:textFill>
                  <w14:solidFill>
                    <w14:schemeClr w14:val="tx1"/>
                  </w14:solidFill>
                </w14:textFill>
              </w:rPr>
              <w:t>200m内最高的建筑物为24m，</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lang w:val="en-US"/>
                <w14:textFill>
                  <w14:solidFill>
                    <w14:schemeClr w14:val="tx1"/>
                  </w14:solidFill>
                </w14:textFill>
              </w:rPr>
              <w:t>项目排气筒未高出周围200米半径范围的建筑5米以上，排放速率标准值严格50%执行。</w:t>
            </w:r>
            <w:r>
              <w:rPr>
                <w:color w:val="000000" w:themeColor="text1"/>
                <w:highlight w:val="none"/>
                <w14:textFill>
                  <w14:solidFill>
                    <w14:schemeClr w14:val="tx1"/>
                  </w14:solidFill>
                </w14:textFill>
              </w:rPr>
              <w:t>详见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14:textFill>
                  <w14:solidFill>
                    <w14:schemeClr w14:val="tx1"/>
                  </w14:solidFill>
                </w14:textFill>
              </w:rPr>
              <w:t>3.3-2</w:t>
            </w:r>
            <w:r>
              <w:rPr>
                <w:color w:val="000000" w:themeColor="text1"/>
                <w:highlight w:val="none"/>
                <w14:textFill>
                  <w14:solidFill>
                    <w14:schemeClr w14:val="tx1"/>
                  </w14:solidFill>
                </w14:textFill>
              </w:rPr>
              <w:t>。</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（2）挥发性有机物</w:t>
            </w:r>
          </w:p>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项目调漆喷漆及烘干过程产生的废气污染物主要是非甲烷总烃、二甲苯，非甲烷总烃、二甲苯排放执行《工业涂装工序挥发性有机物排放标准》(DB35/1783-2018)表1及表4中家具制造行业标准；</w:t>
            </w:r>
            <w:r>
              <w:rPr>
                <w:rFonts w:hint="eastAsia" w:hAnsi="宋体"/>
                <w:color w:val="000000" w:themeColor="text1"/>
                <w:highlight w:val="none"/>
                <w14:textFill>
                  <w14:solidFill>
                    <w14:schemeClr w14:val="tx1"/>
                  </w14:solidFill>
                </w14:textFill>
              </w:rPr>
              <w:t>厂区内非甲烷总烃无组织排放执行《挥发性有机物无组织排放控制标准》（GB37822-2019）附录A的表A.1中特别排放限值</w:t>
            </w:r>
            <w:r>
              <w:rPr>
                <w:rFonts w:hint="eastAsia"/>
                <w:color w:val="000000" w:themeColor="text1"/>
                <w:highlight w:val="none"/>
                <w14:textFill>
                  <w14:solidFill>
                    <w14:schemeClr w14:val="tx1"/>
                  </w14:solidFill>
                </w14:textFill>
              </w:rPr>
              <w:t>。具体</w:t>
            </w:r>
            <w:r>
              <w:rPr>
                <w:color w:val="000000" w:themeColor="text1"/>
                <w:highlight w:val="none"/>
                <w14:textFill>
                  <w14:solidFill>
                    <w14:schemeClr w14:val="tx1"/>
                  </w14:solidFill>
                </w14:textFill>
              </w:rPr>
              <w:t>详见</w:t>
            </w:r>
            <w:r>
              <w:rPr>
                <w:rFonts w:hint="eastAsia"/>
                <w:color w:val="000000" w:themeColor="text1"/>
                <w:highlight w:val="none"/>
                <w14:textFill>
                  <w14:solidFill>
                    <w14:schemeClr w14:val="tx1"/>
                  </w14:solidFill>
                </w14:textFill>
              </w:rPr>
              <w:t>表</w:t>
            </w:r>
            <w:r>
              <w:rPr>
                <w:rFonts w:hint="eastAsia"/>
                <w:color w:val="000000" w:themeColor="text1"/>
                <w:highlight w:val="none"/>
                <w:lang w:val="en-US"/>
                <w14:textFill>
                  <w14:solidFill>
                    <w14:schemeClr w14:val="tx1"/>
                  </w14:solidFill>
                </w14:textFill>
              </w:rPr>
              <w:t>3.3-2</w:t>
            </w:r>
            <w:r>
              <w:rPr>
                <w:color w:val="000000" w:themeColor="text1"/>
                <w:highlight w:val="none"/>
                <w14:textFill>
                  <w14:solidFill>
                    <w14:schemeClr w14:val="tx1"/>
                  </w14:solidFill>
                </w14:textFill>
              </w:rPr>
              <w:t>。</w:t>
            </w:r>
          </w:p>
          <w:p>
            <w:pPr>
              <w:pStyle w:val="92"/>
              <w:ind w:firstLine="482"/>
              <w:jc w:val="center"/>
              <w:rPr>
                <w:b/>
                <w:bCs/>
                <w:color w:val="000000" w:themeColor="text1"/>
                <w:highlight w:val="none"/>
                <w14:textFill>
                  <w14:solidFill>
                    <w14:schemeClr w14:val="tx1"/>
                  </w14:solidFill>
                </w14:textFill>
              </w:rPr>
            </w:pPr>
          </w:p>
          <w:p>
            <w:pPr>
              <w:pStyle w:val="92"/>
              <w:ind w:firstLine="48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w:t>
            </w:r>
            <w:r>
              <w:rPr>
                <w:rFonts w:hint="eastAsia"/>
                <w:b/>
                <w:bCs/>
                <w:color w:val="000000" w:themeColor="text1"/>
                <w:highlight w:val="none"/>
                <w14:textFill>
                  <w14:solidFill>
                    <w14:schemeClr w14:val="tx1"/>
                  </w14:solidFill>
                </w14:textFill>
              </w:rPr>
              <w:t>3.3</w:t>
            </w:r>
            <w:r>
              <w:rPr>
                <w:b/>
                <w:bCs/>
                <w:color w:val="000000" w:themeColor="text1"/>
                <w:highlight w:val="none"/>
                <w14:textFill>
                  <w14:solidFill>
                    <w14:schemeClr w14:val="tx1"/>
                  </w14:solidFill>
                </w14:textFill>
              </w:rPr>
              <w:t xml:space="preserve">-2  </w:t>
            </w:r>
            <w:r>
              <w:rPr>
                <w:rFonts w:hint="eastAsia"/>
                <w:b/>
                <w:bCs/>
                <w:color w:val="000000" w:themeColor="text1"/>
                <w:highlight w:val="none"/>
                <w14:textFill>
                  <w14:solidFill>
                    <w14:schemeClr w14:val="tx1"/>
                  </w14:solidFill>
                </w14:textFill>
              </w:rPr>
              <w:t>废气排放指标一览表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429"/>
              <w:gridCol w:w="1316"/>
              <w:gridCol w:w="1625"/>
              <w:gridCol w:w="1628"/>
              <w:gridCol w:w="2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44" w:type="pct"/>
                  <w:gridSpan w:val="3"/>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1898"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标准值</w:t>
                  </w:r>
                </w:p>
              </w:tc>
              <w:tc>
                <w:tcPr>
                  <w:tcW w:w="1357"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调漆喷漆及烘干废气</w:t>
                  </w:r>
                </w:p>
              </w:tc>
              <w:tc>
                <w:tcPr>
                  <w:tcW w:w="250"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有组织</w:t>
                  </w: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p>
              </w:tc>
              <w:tc>
                <w:tcPr>
                  <w:tcW w:w="94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浓度(</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949"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速率(kg/h)</w:t>
                  </w:r>
                </w:p>
              </w:tc>
              <w:tc>
                <w:tcPr>
                  <w:tcW w:w="1357"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4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949"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2.9</w:t>
                  </w:r>
                </w:p>
              </w:tc>
              <w:tc>
                <w:tcPr>
                  <w:tcW w:w="1357" w:type="pct"/>
                  <w:vMerge w:val="restart"/>
                  <w:vAlign w:val="center"/>
                </w:tcPr>
                <w:p>
                  <w:pPr>
                    <w:adjustRightInd w:val="0"/>
                    <w:snapToGrid w:val="0"/>
                    <w:jc w:val="center"/>
                    <w:rPr>
                      <w:bCs/>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《工业涂装工序挥发性有机物排放标准》(DB35/1783-2018)表1中</w:t>
                  </w:r>
                  <w:r>
                    <w:rPr>
                      <w:bCs/>
                      <w:color w:val="000000" w:themeColor="text1"/>
                      <w:szCs w:val="20"/>
                      <w:highlight w:val="none"/>
                      <w14:textFill>
                        <w14:solidFill>
                          <w14:schemeClr w14:val="tx1"/>
                        </w14:solidFill>
                      </w14:textFill>
                    </w:rPr>
                    <w:t>相应标准值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4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949"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0.6</w:t>
                  </w:r>
                </w:p>
              </w:tc>
              <w:tc>
                <w:tcPr>
                  <w:tcW w:w="1357" w:type="pct"/>
                  <w:vMerge w:val="continue"/>
                  <w:vAlign w:val="center"/>
                </w:tcPr>
                <w:p>
                  <w:pPr>
                    <w:adjustRightInd w:val="0"/>
                    <w:snapToGrid w:val="0"/>
                    <w:jc w:val="center"/>
                    <w:rPr>
                      <w:bCs/>
                      <w:color w:val="000000" w:themeColor="text1"/>
                      <w:kern w:val="0"/>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4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949"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1.75（</w:t>
                  </w:r>
                  <w:r>
                    <w:rPr>
                      <w:rFonts w:hint="eastAsia"/>
                      <w:color w:val="000000" w:themeColor="text1"/>
                      <w:highlight w:val="none"/>
                      <w14:textFill>
                        <w14:solidFill>
                          <w14:schemeClr w14:val="tx1"/>
                        </w14:solidFill>
                      </w14:textFill>
                    </w:rPr>
                    <w:t>严格50%</w:t>
                  </w:r>
                  <w:r>
                    <w:rPr>
                      <w:rFonts w:hint="eastAsia"/>
                      <w:color w:val="000000" w:themeColor="text1"/>
                      <w:szCs w:val="21"/>
                      <w:highlight w:val="none"/>
                      <w14:textFill>
                        <w14:solidFill>
                          <w14:schemeClr w14:val="tx1"/>
                        </w14:solidFill>
                      </w14:textFill>
                    </w:rPr>
                    <w:t>）</w:t>
                  </w:r>
                </w:p>
              </w:tc>
              <w:tc>
                <w:tcPr>
                  <w:tcW w:w="1357" w:type="pct"/>
                  <w:vAlign w:val="center"/>
                </w:tcPr>
                <w:p>
                  <w:pPr>
                    <w:adjustRightInd w:val="0"/>
                    <w:snapToGrid w:val="0"/>
                    <w:jc w:val="center"/>
                    <w:rPr>
                      <w:bCs/>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1898" w:type="pct"/>
                  <w:gridSpan w:val="2"/>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2.0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《工业涂装工序挥发性有机物排放标准》(DB35/1783-2018)表4中</w:t>
                  </w:r>
                  <w:r>
                    <w:rPr>
                      <w:bCs/>
                      <w:color w:val="000000" w:themeColor="text1"/>
                      <w:szCs w:val="20"/>
                      <w:highlight w:val="none"/>
                      <w14:textFill>
                        <w14:solidFill>
                          <w14:schemeClr w14:val="tx1"/>
                        </w14:solidFill>
                      </w14:textFill>
                    </w:rPr>
                    <w:t>相应标准值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1898" w:type="pct"/>
                  <w:gridSpan w:val="2"/>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0.2</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898" w:type="pct"/>
                  <w:gridSpan w:val="2"/>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1.0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018" w:type="pct"/>
                  <w:gridSpan w:val="2"/>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p>
                  <w:pPr>
                    <w:adjustRightInd w:val="0"/>
                    <w:snapToGrid w:val="0"/>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厂区内无组织</w:t>
                  </w:r>
                </w:p>
              </w:tc>
              <w:tc>
                <w:tcPr>
                  <w:tcW w:w="1898" w:type="pct"/>
                  <w:gridSpan w:val="2"/>
                  <w:vAlign w:val="center"/>
                </w:tcPr>
                <w:p>
                  <w:pPr>
                    <w:adjustRightInd w:val="0"/>
                    <w:snapToGrid w:val="0"/>
                    <w:jc w:val="center"/>
                    <w:rPr>
                      <w:color w:val="000000" w:themeColor="text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厂区内监控点处1h平均浓度限值6.0</w:t>
                  </w:r>
                  <w:r>
                    <w:rPr>
                      <w:color w:val="000000" w:themeColor="text1"/>
                      <w:szCs w:val="21"/>
                      <w:highlight w:val="none"/>
                      <w14:textFill>
                        <w14:solidFill>
                          <w14:schemeClr w14:val="tx1"/>
                        </w14:solidFill>
                      </w14:textFill>
                    </w:rPr>
                    <w:t xml:space="preserve"> mg/</w:t>
                  </w:r>
                  <w:r>
                    <w:rPr>
                      <w:rFonts w:hint="eastAsia"/>
                      <w:color w:val="000000" w:themeColor="text1"/>
                      <w:szCs w:val="21"/>
                      <w:highlight w:val="none"/>
                      <w14:textFill>
                        <w14:solidFill>
                          <w14:schemeClr w14:val="tx1"/>
                        </w14:solidFill>
                      </w14:textFill>
                    </w:rPr>
                    <w:t>m³</w:t>
                  </w:r>
                </w:p>
              </w:tc>
              <w:tc>
                <w:tcPr>
                  <w:tcW w:w="1357"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《挥发性有机物无组织排放控制标准》（GB37822-2019）附录A的表A.1中特别排放限值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018" w:type="pct"/>
                  <w:gridSpan w:val="2"/>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898" w:type="pct"/>
                  <w:gridSpan w:val="2"/>
                  <w:vAlign w:val="center"/>
                </w:tcPr>
                <w:p>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厂区内监控点处任意一次浓度值</w:t>
                  </w:r>
                </w:p>
                <w:p>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20</w:t>
                  </w:r>
                  <w:r>
                    <w:rPr>
                      <w:color w:val="000000" w:themeColor="text1"/>
                      <w:szCs w:val="21"/>
                      <w:highlight w:val="none"/>
                      <w14:textFill>
                        <w14:solidFill>
                          <w14:schemeClr w14:val="tx1"/>
                        </w14:solidFill>
                      </w14:textFill>
                    </w:rPr>
                    <w:t xml:space="preserve"> 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pPr>
                    <w:adjustRightInd w:val="0"/>
                    <w:snapToGrid w:val="0"/>
                    <w:jc w:val="center"/>
                    <w:rPr>
                      <w:color w:val="000000" w:themeColor="text1"/>
                      <w:szCs w:val="2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w:t>
                  </w:r>
                  <w:r>
                    <w:rPr>
                      <w:rFonts w:hint="eastAsia"/>
                      <w:color w:val="000000" w:themeColor="text1"/>
                      <w:szCs w:val="21"/>
                      <w:highlight w:val="none"/>
                      <w:lang w:eastAsia="zh-CN"/>
                      <w14:textFill>
                        <w14:solidFill>
                          <w14:schemeClr w14:val="tx1"/>
                        </w14:solidFill>
                      </w14:textFill>
                    </w:rPr>
                    <w:t>区及打磨区</w:t>
                  </w:r>
                  <w:r>
                    <w:rPr>
                      <w:rFonts w:hint="eastAsia"/>
                      <w:color w:val="000000" w:themeColor="text1"/>
                      <w:szCs w:val="21"/>
                      <w:highlight w:val="none"/>
                      <w14:textFill>
                        <w14:solidFill>
                          <w14:schemeClr w14:val="tx1"/>
                        </w14:solidFill>
                      </w14:textFill>
                    </w:rPr>
                    <w:t>废气</w:t>
                  </w:r>
                </w:p>
              </w:tc>
              <w:tc>
                <w:tcPr>
                  <w:tcW w:w="250"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有组织</w:t>
                  </w: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48" w:type="pct"/>
                  <w:vAlign w:val="center"/>
                </w:tcPr>
                <w:p>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120</w:t>
                  </w:r>
                </w:p>
              </w:tc>
              <w:tc>
                <w:tcPr>
                  <w:tcW w:w="949" w:type="pct"/>
                  <w:vAlign w:val="center"/>
                </w:tcPr>
                <w:p>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1.75（</w:t>
                  </w:r>
                  <w:r>
                    <w:rPr>
                      <w:rFonts w:hint="eastAsia"/>
                      <w:color w:val="000000" w:themeColor="text1"/>
                      <w:highlight w:val="none"/>
                      <w14:textFill>
                        <w14:solidFill>
                          <w14:schemeClr w14:val="tx1"/>
                        </w14:solidFill>
                      </w14:textFill>
                    </w:rPr>
                    <w:t>严格50%</w:t>
                  </w:r>
                  <w:r>
                    <w:rPr>
                      <w:rFonts w:hint="eastAsia"/>
                      <w:color w:val="000000" w:themeColor="text1"/>
                      <w:szCs w:val="21"/>
                      <w:highlight w:val="none"/>
                      <w14:textFill>
                        <w14:solidFill>
                          <w14:schemeClr w14:val="tx1"/>
                        </w14:solidFill>
                      </w14:textFill>
                    </w:rPr>
                    <w:t>）</w:t>
                  </w:r>
                </w:p>
              </w:tc>
              <w:tc>
                <w:tcPr>
                  <w:tcW w:w="1357" w:type="pct"/>
                  <w:vMerge w:val="restart"/>
                  <w:vAlign w:val="center"/>
                </w:tcPr>
                <w:p>
                  <w:pPr>
                    <w:adjustRightInd w:val="0"/>
                    <w:snapToGrid w:val="0"/>
                    <w:jc w:val="center"/>
                    <w:rPr>
                      <w:color w:val="000000" w:themeColor="text1"/>
                      <w:szCs w:val="20"/>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250"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768"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898" w:type="pct"/>
                  <w:gridSpan w:val="2"/>
                  <w:vAlign w:val="center"/>
                </w:tcPr>
                <w:p>
                  <w:pPr>
                    <w:adjustRightInd w:val="0"/>
                    <w:snapToGrid w:val="0"/>
                    <w:jc w:val="center"/>
                    <w:rPr>
                      <w:color w:val="000000" w:themeColor="text1"/>
                      <w:szCs w:val="20"/>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企业</w:t>
                  </w:r>
                  <w:r>
                    <w:rPr>
                      <w:color w:val="000000" w:themeColor="text1"/>
                      <w:szCs w:val="21"/>
                      <w:highlight w:val="none"/>
                      <w14:textFill>
                        <w14:solidFill>
                          <w14:schemeClr w14:val="tx1"/>
                        </w14:solidFill>
                      </w14:textFill>
                    </w:rPr>
                    <w:t>边界监控</w:t>
                  </w:r>
                  <w:r>
                    <w:rPr>
                      <w:rFonts w:hint="eastAsia"/>
                      <w:color w:val="000000" w:themeColor="text1"/>
                      <w:szCs w:val="21"/>
                      <w:highlight w:val="none"/>
                      <w14:textFill>
                        <w14:solidFill>
                          <w14:schemeClr w14:val="tx1"/>
                        </w14:solidFill>
                      </w14:textFill>
                    </w:rPr>
                    <w:t>点</w:t>
                  </w:r>
                  <w:r>
                    <w:rPr>
                      <w:color w:val="000000" w:themeColor="text1"/>
                      <w:szCs w:val="21"/>
                      <w:highlight w:val="none"/>
                      <w14:textFill>
                        <w14:solidFill>
                          <w14:schemeClr w14:val="tx1"/>
                        </w14:solidFill>
                      </w14:textFill>
                    </w:rPr>
                    <w:t>浓度限值</w:t>
                  </w:r>
                  <w:r>
                    <w:rPr>
                      <w:rFonts w:hint="eastAsia"/>
                      <w:color w:val="000000" w:themeColor="text1"/>
                      <w:szCs w:val="21"/>
                      <w:highlight w:val="none"/>
                      <w14:textFill>
                        <w14:solidFill>
                          <w14:schemeClr w14:val="tx1"/>
                        </w14:solidFill>
                      </w14:textFill>
                    </w:rPr>
                    <w:t>1.0</w:t>
                  </w:r>
                  <w:r>
                    <w:rPr>
                      <w:color w:val="000000" w:themeColor="text1"/>
                      <w:szCs w:val="21"/>
                      <w:highlight w:val="none"/>
                      <w14:textFill>
                        <w14:solidFill>
                          <w14:schemeClr w14:val="tx1"/>
                        </w14:solidFill>
                      </w14:textFill>
                    </w:rPr>
                    <w:t>mg/</w:t>
                  </w:r>
                  <w:r>
                    <w:rPr>
                      <w:rFonts w:hint="eastAsia"/>
                      <w:color w:val="000000" w:themeColor="text1"/>
                      <w:szCs w:val="21"/>
                      <w:highlight w:val="none"/>
                      <w14:textFill>
                        <w14:solidFill>
                          <w14:schemeClr w14:val="tx1"/>
                        </w14:solidFill>
                      </w14:textFill>
                    </w:rPr>
                    <w:t>m³</w:t>
                  </w:r>
                </w:p>
              </w:tc>
              <w:tc>
                <w:tcPr>
                  <w:tcW w:w="1357" w:type="pct"/>
                  <w:vMerge w:val="continue"/>
                  <w:vAlign w:val="center"/>
                </w:tcPr>
                <w:p>
                  <w:pPr>
                    <w:adjustRightInd w:val="0"/>
                    <w:snapToGrid w:val="0"/>
                    <w:jc w:val="center"/>
                    <w:rPr>
                      <w:color w:val="000000" w:themeColor="text1"/>
                      <w:szCs w:val="2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pPr>
                    <w:adjustRightInd w:val="0"/>
                    <w:snapToGrid w:val="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注：有组织排气筒高度15m</w:t>
                  </w:r>
                </w:p>
              </w:tc>
            </w:tr>
          </w:tbl>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3.3.3</w:t>
            </w:r>
            <w:r>
              <w:rPr>
                <w:rFonts w:hint="eastAsia"/>
                <w:color w:val="000000" w:themeColor="text1"/>
                <w:sz w:val="28"/>
                <w:szCs w:val="28"/>
                <w:highlight w:val="none"/>
                <w14:textFill>
                  <w14:solidFill>
                    <w14:schemeClr w14:val="tx1"/>
                  </w14:solidFill>
                </w14:textFill>
              </w:rPr>
              <w:t>噪声</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项目运营期厂界噪声执行《工业企业厂界环境噪声排放标准》（GB12348-2008）中的</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类标准。详见下表3.3-</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表3.3-</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工业企业厂界环境噪声排放标准</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14"/>
              <w:gridCol w:w="3162"/>
              <w:gridCol w:w="29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1409" w:type="pct"/>
                  <w:vAlign w:val="center"/>
                </w:tcPr>
                <w:p>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846" w:type="pct"/>
                  <w:vAlign w:val="center"/>
                </w:tcPr>
                <w:p>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昼间（dB）</w:t>
                  </w:r>
                </w:p>
              </w:tc>
              <w:tc>
                <w:tcPr>
                  <w:tcW w:w="1745" w:type="pct"/>
                  <w:vAlign w:val="center"/>
                </w:tcPr>
                <w:p>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vAlign w:val="center"/>
                </w:tcPr>
                <w:p>
                  <w:pPr>
                    <w:adjustRightIn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3类</w:t>
                  </w:r>
                </w:p>
              </w:tc>
              <w:tc>
                <w:tcPr>
                  <w:tcW w:w="1846" w:type="pct"/>
                  <w:vAlign w:val="center"/>
                </w:tcPr>
                <w:p>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r>
                    <w:rPr>
                      <w:rFonts w:hint="eastAsia"/>
                      <w:color w:val="000000" w:themeColor="text1"/>
                      <w:szCs w:val="21"/>
                      <w:highlight w:val="none"/>
                      <w14:textFill>
                        <w14:solidFill>
                          <w14:schemeClr w14:val="tx1"/>
                        </w14:solidFill>
                      </w14:textFill>
                    </w:rPr>
                    <w:t>5</w:t>
                  </w:r>
                </w:p>
              </w:tc>
              <w:tc>
                <w:tcPr>
                  <w:tcW w:w="1745" w:type="pct"/>
                  <w:vAlign w:val="center"/>
                </w:tcPr>
                <w:p>
                  <w:pPr>
                    <w:adjustRightInd w:val="0"/>
                    <w:jc w:val="center"/>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r>
                    <w:rPr>
                      <w:rFonts w:hint="eastAsia"/>
                      <w:color w:val="000000" w:themeColor="text1"/>
                      <w:szCs w:val="21"/>
                      <w:highlight w:val="none"/>
                      <w14:textFill>
                        <w14:solidFill>
                          <w14:schemeClr w14:val="tx1"/>
                        </w14:solidFill>
                      </w14:textFill>
                    </w:rPr>
                    <w:t>5</w:t>
                  </w:r>
                </w:p>
              </w:tc>
            </w:tr>
          </w:tbl>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3.3.4</w:t>
            </w:r>
            <w:r>
              <w:rPr>
                <w:rFonts w:hint="eastAsia"/>
                <w:color w:val="000000" w:themeColor="text1"/>
                <w:sz w:val="28"/>
                <w:szCs w:val="28"/>
                <w:highlight w:val="none"/>
                <w14:textFill>
                  <w14:solidFill>
                    <w14:schemeClr w14:val="tx1"/>
                  </w14:solidFill>
                </w14:textFill>
              </w:rPr>
              <w:t>固体废物</w:t>
            </w:r>
          </w:p>
          <w:p>
            <w:pPr>
              <w:spacing w:line="360" w:lineRule="auto"/>
              <w:ind w:firstLine="480"/>
              <w:rPr>
                <w:color w:val="000000" w:themeColor="text1"/>
                <w:kern w:val="0"/>
                <w:szCs w:val="21"/>
                <w:highlight w:val="none"/>
                <w14:textFill>
                  <w14:solidFill>
                    <w14:schemeClr w14:val="tx1"/>
                  </w14:solidFill>
                </w14:textFill>
              </w:rPr>
            </w:pPr>
            <w:r>
              <w:rPr>
                <w:color w:val="000000" w:themeColor="text1"/>
                <w:sz w:val="24"/>
                <w:highlight w:val="none"/>
                <w14:textFill>
                  <w14:solidFill>
                    <w14:schemeClr w14:val="tx1"/>
                  </w14:solidFill>
                </w14:textFill>
              </w:rPr>
              <w:t>项目运营期</w:t>
            </w:r>
            <w:r>
              <w:rPr>
                <w:rFonts w:hint="eastAsia"/>
                <w:color w:val="000000" w:themeColor="text1"/>
                <w:sz w:val="24"/>
                <w:highlight w:val="none"/>
                <w14:textFill>
                  <w14:solidFill>
                    <w14:schemeClr w14:val="tx1"/>
                  </w14:solidFill>
                </w14:textFill>
              </w:rPr>
              <w:t>间</w:t>
            </w:r>
            <w:r>
              <w:rPr>
                <w:color w:val="000000" w:themeColor="text1"/>
                <w:sz w:val="24"/>
                <w:highlight w:val="none"/>
                <w14:textFill>
                  <w14:solidFill>
                    <w14:schemeClr w14:val="tx1"/>
                  </w14:solidFill>
                </w14:textFill>
              </w:rPr>
              <w:t>一般固体废物贮存、处置执行《一般工业固体废物贮存和填埋污染控制标准》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GB18599-20</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危险废物临时存贮场执行《危险废物贮存污染控制标准》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 18597-20</w:t>
            </w:r>
            <w:r>
              <w:rPr>
                <w:rFonts w:hint="eastAsia"/>
                <w:color w:val="000000" w:themeColor="text1"/>
                <w:sz w:val="24"/>
                <w:highlight w:val="none"/>
                <w14:textFill>
                  <w14:solidFill>
                    <w14:schemeClr w14:val="tx1"/>
                  </w14:solidFill>
                </w14:textFill>
              </w:rPr>
              <w:t>23）；</w:t>
            </w:r>
            <w:r>
              <w:rPr>
                <w:color w:val="000000" w:themeColor="text1"/>
                <w:sz w:val="24"/>
                <w:highlight w:val="none"/>
                <w14:textFill>
                  <w14:solidFill>
                    <w14:schemeClr w14:val="tx1"/>
                  </w14:solidFill>
                </w14:textFill>
              </w:rPr>
              <w:t>生活垃圾应按照《城市环境卫生设施规划规范》（GB50337-2003）中的要求进行综合利用的处置。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471" w:type="dxa"/>
            <w:tcMar>
              <w:left w:w="28" w:type="dxa"/>
              <w:right w:w="28" w:type="dxa"/>
            </w:tcMar>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总量</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控制</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指标</w:t>
            </w:r>
          </w:p>
        </w:tc>
        <w:tc>
          <w:tcPr>
            <w:tcW w:w="8816" w:type="dxa"/>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3.4</w:t>
            </w:r>
            <w:r>
              <w:rPr>
                <w:rFonts w:hint="eastAsia"/>
                <w:b/>
                <w:color w:val="000000" w:themeColor="text1"/>
                <w:sz w:val="30"/>
                <w:szCs w:val="30"/>
                <w:highlight w:val="none"/>
                <w14:textFill>
                  <w14:solidFill>
                    <w14:schemeClr w14:val="tx1"/>
                  </w14:solidFill>
                </w14:textFill>
              </w:rPr>
              <w:t>总量控制分析</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3.4.1</w:t>
            </w:r>
            <w:r>
              <w:rPr>
                <w:rFonts w:hint="eastAsia"/>
                <w:color w:val="000000" w:themeColor="text1"/>
                <w:sz w:val="28"/>
                <w:szCs w:val="28"/>
                <w:highlight w:val="none"/>
                <w14:textFill>
                  <w14:solidFill>
                    <w14:schemeClr w14:val="tx1"/>
                  </w14:solidFill>
                </w14:textFill>
              </w:rPr>
              <w:t>总量</w:t>
            </w:r>
            <w:r>
              <w:rPr>
                <w:color w:val="000000" w:themeColor="text1"/>
                <w:sz w:val="28"/>
                <w:szCs w:val="28"/>
                <w:highlight w:val="none"/>
                <w14:textFill>
                  <w14:solidFill>
                    <w14:schemeClr w14:val="tx1"/>
                  </w14:solidFill>
                </w14:textFill>
              </w:rPr>
              <w:t>控制因子</w:t>
            </w:r>
          </w:p>
          <w:p>
            <w:pPr>
              <w:pStyle w:val="1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家“十三五”期间污染物总量控制要求及《福建省“十四五”生态环境保护专项规划》（闽政办〔2021〕59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3.4.2</w:t>
            </w:r>
            <w:r>
              <w:rPr>
                <w:rFonts w:hint="eastAsia"/>
                <w:color w:val="000000" w:themeColor="text1"/>
                <w:sz w:val="28"/>
                <w:szCs w:val="28"/>
                <w:highlight w:val="none"/>
                <w14:textFill>
                  <w14:solidFill>
                    <w14:schemeClr w14:val="tx1"/>
                  </w14:solidFill>
                </w14:textFill>
              </w:rPr>
              <w:t>污染物总量</w:t>
            </w:r>
            <w:r>
              <w:rPr>
                <w:color w:val="000000" w:themeColor="text1"/>
                <w:sz w:val="28"/>
                <w:szCs w:val="28"/>
                <w:highlight w:val="none"/>
                <w14:textFill>
                  <w14:solidFill>
                    <w14:schemeClr w14:val="tx1"/>
                  </w14:solidFill>
                </w14:textFill>
              </w:rPr>
              <w:t>控制指标</w:t>
            </w:r>
          </w:p>
          <w:p>
            <w:pPr>
              <w:spacing w:line="360" w:lineRule="auto"/>
              <w:ind w:firstLine="48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（1）废水</w:t>
            </w:r>
          </w:p>
          <w:p>
            <w:pPr>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lang w:eastAsia="zh-CN"/>
                <w14:textFill>
                  <w14:solidFill>
                    <w14:schemeClr w14:val="tx1"/>
                  </w14:solidFill>
                </w14:textFill>
              </w:rPr>
              <w:t>扩建</w:t>
            </w:r>
            <w:r>
              <w:rPr>
                <w:rFonts w:hint="eastAsia"/>
                <w:bCs/>
                <w:color w:val="000000" w:themeColor="text1"/>
                <w:kern w:val="0"/>
                <w:sz w:val="24"/>
                <w:highlight w:val="none"/>
                <w14:textFill>
                  <w14:solidFill>
                    <w14:schemeClr w14:val="tx1"/>
                  </w14:solidFill>
                </w14:textFill>
              </w:rPr>
              <w:t>项目生产废水为生产废水为喷漆水帘柜废水、打磨房喷淋废水、喷淋塔废水，经过项目配套废水处理设施（混凝压滤）处理后循环使用，不外排。项目职工生活污水经厂内化粪池处理后，经市政污水管网接入福清市融元污水处理厂统一处理，污染物总量由污水处理厂统一调度，故本项目无需申请废水总量。</w:t>
            </w:r>
          </w:p>
          <w:p>
            <w:pPr>
              <w:spacing w:line="360" w:lineRule="auto"/>
              <w:ind w:firstLine="480"/>
              <w:rPr>
                <w:color w:val="000000" w:themeColor="text1"/>
                <w:sz w:val="24"/>
                <w:szCs w:val="20"/>
                <w:highlight w:val="none"/>
                <w14:textFill>
                  <w14:solidFill>
                    <w14:schemeClr w14:val="tx1"/>
                  </w14:solidFill>
                </w14:textFill>
              </w:rPr>
            </w:pPr>
            <w:r>
              <w:rPr>
                <w:color w:val="000000" w:themeColor="text1"/>
                <w:sz w:val="24"/>
                <w:szCs w:val="20"/>
                <w:highlight w:val="none"/>
                <w14:textFill>
                  <w14:solidFill>
                    <w14:schemeClr w14:val="tx1"/>
                  </w14:solidFill>
                </w14:textFill>
              </w:rPr>
              <w:t>（2）废气</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项目运营期将产生大气污染物VOC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本项目以</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、二甲苯为主</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、颗粒物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废气污染物排放总量详见表3.4-1</w:t>
            </w:r>
            <w:r>
              <w:rPr>
                <w:rFonts w:hint="eastAsia"/>
                <w:color w:val="000000" w:themeColor="text1"/>
                <w:highlight w:val="none"/>
                <w14:textFill>
                  <w14:solidFill>
                    <w14:schemeClr w14:val="tx1"/>
                  </w14:solidFill>
                </w14:textFill>
              </w:rPr>
              <w:t>。</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表3.4-1  </w:t>
            </w:r>
            <w:r>
              <w:rPr>
                <w:rFonts w:hint="eastAsia" w:ascii="Times New Roman" w:hAnsi="Times New Roman"/>
                <w:b/>
                <w:color w:val="000000" w:themeColor="text1"/>
                <w:highlight w:val="none"/>
                <w:lang w:eastAsia="zh-CN"/>
                <w14:textFill>
                  <w14:solidFill>
                    <w14:schemeClr w14:val="tx1"/>
                  </w14:solidFill>
                </w14:textFill>
              </w:rPr>
              <w:t>扩建</w:t>
            </w:r>
            <w:r>
              <w:rPr>
                <w:rFonts w:hint="eastAsia" w:ascii="Times New Roman" w:hAnsi="Times New Roman"/>
                <w:b/>
                <w:color w:val="000000" w:themeColor="text1"/>
                <w:highlight w:val="none"/>
                <w14:textFill>
                  <w14:solidFill>
                    <w14:schemeClr w14:val="tx1"/>
                  </w14:solidFill>
                </w14:textFill>
              </w:rPr>
              <w:t>项目</w:t>
            </w:r>
            <w:r>
              <w:rPr>
                <w:rFonts w:ascii="Times New Roman" w:hAnsi="Times New Roman"/>
                <w:b/>
                <w:color w:val="000000" w:themeColor="text1"/>
                <w:highlight w:val="none"/>
                <w14:textFill>
                  <w14:solidFill>
                    <w14:schemeClr w14:val="tx1"/>
                  </w14:solidFill>
                </w14:textFill>
              </w:rPr>
              <w:t>总量控制一览表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27"/>
              <w:gridCol w:w="1177"/>
              <w:gridCol w:w="1052"/>
              <w:gridCol w:w="1577"/>
              <w:gridCol w:w="1408"/>
              <w:gridCol w:w="242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污染物类别</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指标类别</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总量控制项目</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预测排放量总量(t/a)</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建议申请总量(</w:t>
                  </w:r>
                  <w:r>
                    <w:rPr>
                      <w:rFonts w:hint="eastAsia"/>
                      <w:color w:val="000000" w:themeColor="text1"/>
                      <w:szCs w:val="21"/>
                      <w:highlight w:val="none"/>
                      <w14:textFill>
                        <w14:solidFill>
                          <w14:schemeClr w14:val="tx1"/>
                        </w14:solidFill>
                      </w14:textFill>
                    </w:rPr>
                    <w:t>t</w:t>
                  </w:r>
                  <w:r>
                    <w:rPr>
                      <w:color w:val="000000" w:themeColor="text1"/>
                      <w:szCs w:val="21"/>
                      <w:highlight w:val="none"/>
                      <w14:textFill>
                        <w14:solidFill>
                          <w14:schemeClr w14:val="tx1"/>
                        </w14:solidFill>
                      </w14:textFill>
                    </w:rPr>
                    <w:t>/a)</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restart"/>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w:t>
                  </w:r>
                </w:p>
              </w:tc>
              <w:tc>
                <w:tcPr>
                  <w:tcW w:w="0" w:type="auto"/>
                  <w:vMerge w:val="restart"/>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非约束控制指标</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非</w:t>
                  </w:r>
                  <w:r>
                    <w:rPr>
                      <w:rFonts w:hint="eastAsia"/>
                      <w:color w:val="000000" w:themeColor="text1"/>
                      <w:szCs w:val="21"/>
                      <w:highlight w:val="none"/>
                      <w14:textFill>
                        <w14:solidFill>
                          <w14:schemeClr w14:val="tx1"/>
                        </w14:solidFill>
                      </w14:textFill>
                    </w:rPr>
                    <w:t>甲</w:t>
                  </w:r>
                  <w:r>
                    <w:rPr>
                      <w:color w:val="000000" w:themeColor="text1"/>
                      <w:szCs w:val="21"/>
                      <w:highlight w:val="none"/>
                      <w14:textFill>
                        <w14:solidFill>
                          <w14:schemeClr w14:val="tx1"/>
                        </w14:solidFill>
                      </w14:textFill>
                    </w:rPr>
                    <w:t>烷总烃</w:t>
                  </w:r>
                </w:p>
              </w:tc>
              <w:tc>
                <w:tcPr>
                  <w:tcW w:w="0" w:type="auto"/>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409" w:type="dxa"/>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0" w:type="auto"/>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p>
              </w:tc>
              <w:tc>
                <w:tcPr>
                  <w:tcW w:w="0" w:type="auto"/>
                  <w:tcBorders>
                    <w:tl2br w:val="nil"/>
                    <w:tr2bl w:val="nil"/>
                  </w:tcBorders>
                  <w:noWrap w:val="0"/>
                  <w:vAlign w:val="center"/>
                </w:tcPr>
                <w:p>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二甲苯</w:t>
                  </w:r>
                </w:p>
              </w:tc>
              <w:tc>
                <w:tcPr>
                  <w:tcW w:w="0" w:type="auto"/>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409" w:type="dxa"/>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0" w:type="auto"/>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p>
              </w:tc>
              <w:tc>
                <w:tcPr>
                  <w:tcW w:w="0" w:type="auto"/>
                  <w:gridSpan w:val="2"/>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VOC</w:t>
                  </w:r>
                  <w:r>
                    <w:rPr>
                      <w:color w:val="000000" w:themeColor="text1"/>
                      <w:szCs w:val="21"/>
                      <w:highlight w:val="none"/>
                      <w:vertAlign w:val="subscript"/>
                      <w14:textFill>
                        <w14:solidFill>
                          <w14:schemeClr w14:val="tx1"/>
                        </w14:solidFill>
                      </w14:textFill>
                    </w:rPr>
                    <w:t>S</w:t>
                  </w:r>
                  <w:r>
                    <w:rPr>
                      <w:color w:val="000000" w:themeColor="text1"/>
                      <w:szCs w:val="21"/>
                      <w:highlight w:val="none"/>
                      <w14:textFill>
                        <w14:solidFill>
                          <w14:schemeClr w14:val="tx1"/>
                        </w14:solidFill>
                      </w14:textFill>
                    </w:rPr>
                    <w:t>合计</w:t>
                  </w:r>
                </w:p>
              </w:tc>
              <w:tc>
                <w:tcPr>
                  <w:tcW w:w="0" w:type="auto"/>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0.0</w:t>
                  </w:r>
                  <w:r>
                    <w:rPr>
                      <w:rFonts w:hint="eastAsia"/>
                      <w:color w:val="000000" w:themeColor="text1"/>
                      <w:szCs w:val="21"/>
                      <w:highlight w:val="none"/>
                      <w:lang w:val="en-US" w:eastAsia="zh-CN"/>
                      <w14:textFill>
                        <w14:solidFill>
                          <w14:schemeClr w14:val="tx1"/>
                        </w14:solidFill>
                      </w14:textFill>
                    </w:rPr>
                    <w:t>453</w:t>
                  </w:r>
                </w:p>
              </w:tc>
              <w:tc>
                <w:tcPr>
                  <w:tcW w:w="0" w:type="auto"/>
                  <w:tcBorders>
                    <w:tl2br w:val="nil"/>
                    <w:tr2bl w:val="nil"/>
                  </w:tcBorders>
                  <w:noWrap w:val="0"/>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通过福州市福清生态环境进行申请调剂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0" w:type="auto"/>
                  <w:vMerge w:val="continue"/>
                  <w:tcBorders>
                    <w:tl2br w:val="nil"/>
                    <w:tr2bl w:val="nil"/>
                  </w:tcBorders>
                  <w:noWrap w:val="0"/>
                  <w:vAlign w:val="center"/>
                </w:tcPr>
                <w:p>
                  <w:pPr>
                    <w:jc w:val="center"/>
                    <w:rPr>
                      <w:color w:val="000000" w:themeColor="text1"/>
                      <w:szCs w:val="21"/>
                      <w:highlight w:val="none"/>
                      <w14:textFill>
                        <w14:solidFill>
                          <w14:schemeClr w14:val="tx1"/>
                        </w14:solidFill>
                      </w14:textFill>
                    </w:rPr>
                  </w:pPr>
                </w:p>
              </w:tc>
              <w:tc>
                <w:tcPr>
                  <w:tcW w:w="0" w:type="auto"/>
                  <w:vMerge w:val="continue"/>
                  <w:tcBorders>
                    <w:tl2br w:val="nil"/>
                    <w:tr2bl w:val="nil"/>
                  </w:tcBorders>
                  <w:noWrap w:val="0"/>
                  <w:vAlign w:val="center"/>
                </w:tcPr>
                <w:p>
                  <w:pPr>
                    <w:jc w:val="center"/>
                    <w:rPr>
                      <w:color w:val="000000" w:themeColor="text1"/>
                      <w:szCs w:val="21"/>
                      <w:highlight w:val="none"/>
                      <w14:textFill>
                        <w14:solidFill>
                          <w14:schemeClr w14:val="tx1"/>
                        </w14:solidFill>
                      </w14:textFill>
                    </w:rPr>
                  </w:pPr>
                </w:p>
              </w:tc>
              <w:tc>
                <w:tcPr>
                  <w:tcW w:w="0" w:type="auto"/>
                  <w:tcBorders>
                    <w:tl2br w:val="nil"/>
                    <w:tr2bl w:val="nil"/>
                  </w:tcBorders>
                  <w:noWrap w:val="0"/>
                  <w:vAlign w:val="center"/>
                </w:tcPr>
                <w:p>
                  <w:pPr>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0" w:type="auto"/>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snapToGrid w:val="0"/>
                      <w:color w:val="000000" w:themeColor="text1"/>
                      <w:kern w:val="18"/>
                      <w:highlight w:val="none"/>
                      <w:lang w:val="en-US" w:eastAsia="zh-CN"/>
                      <w14:textFill>
                        <w14:solidFill>
                          <w14:schemeClr w14:val="tx1"/>
                        </w14:solidFill>
                      </w14:textFill>
                    </w:rPr>
                    <w:t>0.05526</w:t>
                  </w:r>
                </w:p>
              </w:tc>
              <w:tc>
                <w:tcPr>
                  <w:tcW w:w="0" w:type="auto"/>
                  <w:tcBorders>
                    <w:tl2br w:val="nil"/>
                    <w:tr2bl w:val="nil"/>
                  </w:tcBorders>
                  <w:noWrap w:val="0"/>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0" w:type="auto"/>
                  <w:tcBorders>
                    <w:tl2br w:val="nil"/>
                    <w:tr2bl w:val="nil"/>
                  </w:tcBorders>
                  <w:noWrap w:val="0"/>
                  <w:vAlign w:val="center"/>
                </w:tcPr>
                <w:p>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pPr>
              <w:pStyle w:val="117"/>
              <w:rPr>
                <w:color w:val="000000" w:themeColor="text1"/>
                <w:highlight w:val="none"/>
                <w14:textFill>
                  <w14:solidFill>
                    <w14:schemeClr w14:val="tx1"/>
                  </w14:solidFill>
                </w14:textFill>
              </w:rPr>
            </w:pPr>
            <w:r>
              <w:rPr>
                <w:rFonts w:hint="eastAsia"/>
                <w:bCs/>
                <w:color w:val="000000" w:themeColor="text1"/>
                <w:kern w:val="0"/>
                <w:highlight w:val="none"/>
                <w:lang w:eastAsia="zh-CN"/>
                <w14:textFill>
                  <w14:solidFill>
                    <w14:schemeClr w14:val="tx1"/>
                  </w14:solidFill>
                </w14:textFill>
              </w:rPr>
              <w:t>扩建</w:t>
            </w:r>
            <w:r>
              <w:rPr>
                <w:rFonts w:hint="eastAsia"/>
                <w:bCs/>
                <w:color w:val="000000" w:themeColor="text1"/>
                <w:kern w:val="0"/>
                <w:highlight w:val="none"/>
                <w14:textFill>
                  <w14:solidFill>
                    <w14:schemeClr w14:val="tx1"/>
                  </w14:solidFill>
                </w14:textFill>
              </w:rPr>
              <w:t>项目</w:t>
            </w:r>
            <w:r>
              <w:rPr>
                <w:bCs/>
                <w:color w:val="000000" w:themeColor="text1"/>
                <w:kern w:val="0"/>
                <w:highlight w:val="none"/>
                <w14:textFill>
                  <w14:solidFill>
                    <w14:schemeClr w14:val="tx1"/>
                  </w14:solidFill>
                </w14:textFill>
              </w:rPr>
              <w:t>VOC</w:t>
            </w:r>
            <w:r>
              <w:rPr>
                <w:rFonts w:hint="eastAsia"/>
                <w:bCs/>
                <w:color w:val="000000" w:themeColor="text1"/>
                <w:kern w:val="0"/>
                <w:highlight w:val="none"/>
                <w14:textFill>
                  <w14:solidFill>
                    <w14:schemeClr w14:val="tx1"/>
                  </w14:solidFill>
                </w14:textFill>
              </w:rPr>
              <w:t>s</w:t>
            </w:r>
            <w:r>
              <w:rPr>
                <w:bCs/>
                <w:color w:val="000000" w:themeColor="text1"/>
                <w:kern w:val="0"/>
                <w:highlight w:val="none"/>
                <w14:textFill>
                  <w14:solidFill>
                    <w14:schemeClr w14:val="tx1"/>
                  </w14:solidFill>
                </w14:textFill>
              </w:rPr>
              <w:t>排放量</w:t>
            </w:r>
            <w:r>
              <w:rPr>
                <w:rFonts w:hint="eastAsia"/>
                <w:bCs/>
                <w:color w:val="000000" w:themeColor="text1"/>
                <w:kern w:val="0"/>
                <w:highlight w:val="none"/>
                <w14:textFill>
                  <w14:solidFill>
                    <w14:schemeClr w14:val="tx1"/>
                  </w14:solidFill>
                </w14:textFill>
              </w:rPr>
              <w:t>总</w:t>
            </w:r>
            <w:r>
              <w:rPr>
                <w:bCs/>
                <w:color w:val="000000" w:themeColor="text1"/>
                <w:kern w:val="0"/>
                <w:highlight w:val="none"/>
                <w14:textFill>
                  <w14:solidFill>
                    <w14:schemeClr w14:val="tx1"/>
                  </w14:solidFill>
                </w14:textFill>
              </w:rPr>
              <w:t>量为</w:t>
            </w:r>
            <w:r>
              <w:rPr>
                <w:rFonts w:hint="eastAsia"/>
                <w:bCs/>
                <w:color w:val="000000" w:themeColor="text1"/>
                <w:kern w:val="0"/>
                <w:highlight w:val="none"/>
                <w14:textFill>
                  <w14:solidFill>
                    <w14:schemeClr w14:val="tx1"/>
                  </w14:solidFill>
                </w14:textFill>
              </w:rPr>
              <w:t>0.0</w:t>
            </w:r>
            <w:r>
              <w:rPr>
                <w:rFonts w:hint="eastAsia"/>
                <w:bCs/>
                <w:color w:val="000000" w:themeColor="text1"/>
                <w:kern w:val="0"/>
                <w:highlight w:val="none"/>
                <w:lang w:val="en-US" w:eastAsia="zh-CN"/>
                <w14:textFill>
                  <w14:solidFill>
                    <w14:schemeClr w14:val="tx1"/>
                  </w14:solidFill>
                </w14:textFill>
              </w:rPr>
              <w:t>453</w:t>
            </w:r>
            <w:r>
              <w:rPr>
                <w:bCs/>
                <w:color w:val="000000" w:themeColor="text1"/>
                <w:kern w:val="0"/>
                <w:highlight w:val="none"/>
                <w14:textFill>
                  <w14:solidFill>
                    <w14:schemeClr w14:val="tx1"/>
                  </w14:solidFill>
                </w14:textFill>
              </w:rPr>
              <w:t>t/a</w:t>
            </w:r>
            <w:r>
              <w:rPr>
                <w:rFonts w:hint="eastAsia"/>
                <w:bCs/>
                <w:color w:val="000000" w:themeColor="text1"/>
                <w:kern w:val="0"/>
                <w:highlight w:val="none"/>
                <w14:textFill>
                  <w14:solidFill>
                    <w14:schemeClr w14:val="tx1"/>
                  </w14:solidFill>
                </w14:textFill>
              </w:rPr>
              <w:t>。</w:t>
            </w:r>
            <w:r>
              <w:rPr>
                <w:bCs/>
                <w:color w:val="000000" w:themeColor="text1"/>
                <w:kern w:val="0"/>
                <w:highlight w:val="none"/>
                <w14:textFill>
                  <w14:solidFill>
                    <w14:schemeClr w14:val="tx1"/>
                  </w14:solidFill>
                </w14:textFill>
              </w:rPr>
              <w:t>根据</w:t>
            </w:r>
            <w:r>
              <w:rPr>
                <w:color w:val="000000" w:themeColor="text1"/>
                <w:highlight w:val="none"/>
                <w14:textFill>
                  <w14:solidFill>
                    <w14:schemeClr w14:val="tx1"/>
                  </w14:solidFill>
                </w14:textFill>
              </w:rPr>
              <w:t>《2022年度福州市蓝天碧水碧海净土保卫战行动计划》（榕环委办</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2022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49号）：新、改、扩建涉VOC</w:t>
            </w:r>
            <w:r>
              <w:rPr>
                <w:color w:val="000000" w:themeColor="text1"/>
                <w:highlight w:val="none"/>
                <w:vertAlign w:val="subscript"/>
                <w14:textFill>
                  <w14:solidFill>
                    <w14:schemeClr w14:val="tx1"/>
                  </w14:solidFill>
                </w14:textFill>
              </w:rPr>
              <w:t>S</w:t>
            </w:r>
            <w:r>
              <w:rPr>
                <w:color w:val="000000" w:themeColor="text1"/>
                <w:highlight w:val="none"/>
                <w14:textFill>
                  <w14:solidFill>
                    <w14:schemeClr w14:val="tx1"/>
                  </w14:solidFill>
                </w14:textFill>
              </w:rPr>
              <w:t>排放项目，应使用低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无</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VOCs涂料、粘胶剂等，实施新建项目VOCs排放区域内1.2及以上倍量替代。</w:t>
            </w:r>
          </w:p>
          <w:p>
            <w:pPr>
              <w:pStyle w:val="117"/>
              <w:rPr>
                <w:color w:val="000000" w:themeColor="text1"/>
                <w:szCs w:val="21"/>
                <w:highlight w:val="none"/>
                <w14:textFill>
                  <w14:solidFill>
                    <w14:schemeClr w14:val="tx1"/>
                  </w14:solidFill>
                </w14:textFill>
              </w:rPr>
            </w:pPr>
            <w:r>
              <w:rPr>
                <w:rFonts w:hint="eastAsia"/>
                <w:bCs/>
                <w:color w:val="000000" w:themeColor="text1"/>
                <w:kern w:val="0"/>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项目有机废气经收集处理后</w:t>
            </w:r>
            <w:r>
              <w:rPr>
                <w:rFonts w:hint="eastAsia"/>
                <w:color w:val="000000" w:themeColor="text1"/>
                <w:highlight w:val="none"/>
                <w14:textFill>
                  <w14:solidFill>
                    <w14:schemeClr w14:val="tx1"/>
                  </w14:solidFill>
                </w14:textFill>
              </w:rPr>
              <w:t>VOCs</w:t>
            </w:r>
            <w:r>
              <w:rPr>
                <w:bCs/>
                <w:color w:val="000000" w:themeColor="text1"/>
                <w:kern w:val="0"/>
                <w:highlight w:val="none"/>
                <w14:textFill>
                  <w14:solidFill>
                    <w14:schemeClr w14:val="tx1"/>
                  </w14:solidFill>
                </w14:textFill>
              </w:rPr>
              <w:t>排放量</w:t>
            </w:r>
            <w:r>
              <w:rPr>
                <w:rFonts w:hint="eastAsia"/>
                <w:bCs/>
                <w:color w:val="000000" w:themeColor="text1"/>
                <w:kern w:val="0"/>
                <w:highlight w:val="none"/>
                <w14:textFill>
                  <w14:solidFill>
                    <w14:schemeClr w14:val="tx1"/>
                  </w14:solidFill>
                </w14:textFill>
              </w:rPr>
              <w:t>总</w:t>
            </w:r>
            <w:r>
              <w:rPr>
                <w:bCs/>
                <w:color w:val="000000" w:themeColor="text1"/>
                <w:kern w:val="0"/>
                <w:highlight w:val="none"/>
                <w14:textFill>
                  <w14:solidFill>
                    <w14:schemeClr w14:val="tx1"/>
                  </w14:solidFill>
                </w14:textFill>
              </w:rPr>
              <w:t>量为</w:t>
            </w:r>
            <w:r>
              <w:rPr>
                <w:rFonts w:hint="eastAsia"/>
                <w:bCs/>
                <w:color w:val="000000" w:themeColor="text1"/>
                <w:kern w:val="0"/>
                <w:highlight w:val="none"/>
                <w14:textFill>
                  <w14:solidFill>
                    <w14:schemeClr w14:val="tx1"/>
                  </w14:solidFill>
                </w14:textFill>
              </w:rPr>
              <w:t>0.0</w:t>
            </w:r>
            <w:r>
              <w:rPr>
                <w:rFonts w:hint="eastAsia"/>
                <w:bCs/>
                <w:color w:val="000000" w:themeColor="text1"/>
                <w:kern w:val="0"/>
                <w:highlight w:val="none"/>
                <w:lang w:val="en-US" w:eastAsia="zh-CN"/>
                <w14:textFill>
                  <w14:solidFill>
                    <w14:schemeClr w14:val="tx1"/>
                  </w14:solidFill>
                </w14:textFill>
              </w:rPr>
              <w:t>5436</w:t>
            </w:r>
            <w:r>
              <w:rPr>
                <w:bCs/>
                <w:color w:val="000000" w:themeColor="text1"/>
                <w:kern w:val="0"/>
                <w:highlight w:val="none"/>
                <w14:textFill>
                  <w14:solidFill>
                    <w14:schemeClr w14:val="tx1"/>
                  </w14:solidFill>
                </w14:textFill>
              </w:rPr>
              <w:t>t/a</w:t>
            </w:r>
            <w:r>
              <w:rPr>
                <w:rFonts w:hint="eastAsia"/>
                <w:bCs/>
                <w:color w:val="000000" w:themeColor="text1"/>
                <w:kern w:val="0"/>
                <w:highlight w:val="none"/>
                <w14:textFill>
                  <w14:solidFill>
                    <w14:schemeClr w14:val="tx1"/>
                  </w14:solidFill>
                </w14:textFill>
              </w:rPr>
              <w:t>（1.2倍调剂），</w:t>
            </w:r>
            <w:r>
              <w:rPr>
                <w:bCs/>
                <w:color w:val="000000" w:themeColor="text1"/>
                <w:kern w:val="0"/>
                <w:highlight w:val="none"/>
                <w14:textFill>
                  <w14:solidFill>
                    <w14:schemeClr w14:val="tx1"/>
                  </w14:solidFill>
                </w14:textFill>
              </w:rPr>
              <w:t>在报环境主管部门批准认可后，</w:t>
            </w:r>
            <w:r>
              <w:rPr>
                <w:rFonts w:hint="eastAsia"/>
                <w:color w:val="000000" w:themeColor="text1"/>
                <w:highlight w:val="none"/>
                <w14:textFill>
                  <w14:solidFill>
                    <w14:schemeClr w14:val="tx1"/>
                  </w14:solidFill>
                </w14:textFill>
              </w:rPr>
              <w:t>需</w:t>
            </w:r>
            <w:r>
              <w:rPr>
                <w:color w:val="000000" w:themeColor="text1"/>
                <w:highlight w:val="none"/>
                <w14:textFill>
                  <w14:solidFill>
                    <w14:schemeClr w14:val="tx1"/>
                  </w14:solidFill>
                </w14:textFill>
              </w:rPr>
              <w:t>通过福州市福清生态环境局进行区域调剂</w:t>
            </w:r>
            <w:r>
              <w:rPr>
                <w:bCs/>
                <w:color w:val="000000" w:themeColor="text1"/>
                <w:kern w:val="0"/>
                <w:highlight w:val="none"/>
                <w14:textFill>
                  <w14:solidFill>
                    <w14:schemeClr w14:val="tx1"/>
                  </w14:solidFill>
                </w14:textFill>
              </w:rPr>
              <w:t>。</w:t>
            </w:r>
          </w:p>
        </w:tc>
      </w:tr>
    </w:tbl>
    <w:p>
      <w:pPr>
        <w:pStyle w:val="24"/>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6"/>
          <w:szCs w:val="36"/>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9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569" w:type="dxa"/>
            <w:tcMar>
              <w:left w:w="28" w:type="dxa"/>
              <w:right w:w="28" w:type="dxa"/>
            </w:tcMar>
            <w:vAlign w:val="center"/>
          </w:tcPr>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境保</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护措</w:t>
            </w:r>
          </w:p>
          <w:p>
            <w:pPr>
              <w:pStyle w:val="67"/>
              <w:rPr>
                <w:bCs/>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施</w:t>
            </w:r>
          </w:p>
        </w:tc>
        <w:tc>
          <w:tcPr>
            <w:tcW w:w="8638" w:type="dxa"/>
            <w:vAlign w:val="center"/>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4.1</w:t>
            </w:r>
            <w:r>
              <w:rPr>
                <w:rFonts w:hint="eastAsia"/>
                <w:b/>
                <w:color w:val="000000" w:themeColor="text1"/>
                <w:sz w:val="30"/>
                <w:szCs w:val="30"/>
                <w:highlight w:val="none"/>
                <w14:textFill>
                  <w14:solidFill>
                    <w14:schemeClr w14:val="tx1"/>
                  </w14:solidFill>
                </w14:textFill>
              </w:rPr>
              <w:t>施工期</w:t>
            </w:r>
            <w:r>
              <w:rPr>
                <w:b/>
                <w:color w:val="000000" w:themeColor="text1"/>
                <w:sz w:val="30"/>
                <w:szCs w:val="30"/>
                <w:highlight w:val="none"/>
                <w14:textFill>
                  <w14:solidFill>
                    <w14:schemeClr w14:val="tx1"/>
                  </w14:solidFill>
                </w14:textFill>
              </w:rPr>
              <w:t>环境影响分析及保护措施</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项目依托现有已建成工业厂房，</w:t>
            </w:r>
            <w:r>
              <w:rPr>
                <w:rFonts w:hint="eastAsia"/>
                <w:color w:val="000000" w:themeColor="text1"/>
                <w:kern w:val="0"/>
                <w:highlight w:val="none"/>
                <w14:textFill>
                  <w14:solidFill>
                    <w14:schemeClr w14:val="tx1"/>
                  </w14:solidFill>
                </w14:textFill>
              </w:rPr>
              <w:t>无施工期土建、结构等施工活动，</w:t>
            </w:r>
            <w:r>
              <w:rPr>
                <w:rFonts w:hint="eastAsia"/>
                <w:color w:val="000000" w:themeColor="text1"/>
                <w:highlight w:val="none"/>
                <w14:textFill>
                  <w14:solidFill>
                    <w14:schemeClr w14:val="tx1"/>
                  </w14:solidFill>
                </w14:textFill>
              </w:rPr>
              <w:t>项目施工期主要为设备安装及调试。项目设备调试简单</w:t>
            </w:r>
            <w:r>
              <w:rPr>
                <w:rFonts w:hint="eastAsia"/>
                <w:color w:val="000000" w:themeColor="text1"/>
                <w:highlight w:val="none"/>
                <w:lang w:eastAsia="zh-CN"/>
                <w14:textFill>
                  <w14:solidFill>
                    <w14:schemeClr w14:val="tx1"/>
                  </w14:solidFill>
                </w14:textFill>
              </w:rPr>
              <w:t>且</w:t>
            </w:r>
            <w:r>
              <w:rPr>
                <w:rFonts w:hint="eastAsia"/>
                <w:color w:val="000000" w:themeColor="text1"/>
                <w:highlight w:val="none"/>
                <w14:textFill>
                  <w14:solidFill>
                    <w14:schemeClr w14:val="tx1"/>
                  </w14:solidFill>
                </w14:textFill>
              </w:rPr>
              <w:t>时间较短，随着设备安装、调试完毕后，施工期也将结束，施工期环境影响也随着消失，不会对周边环境产生影响。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7" w:hRule="atLeast"/>
          <w:jc w:val="center"/>
        </w:trPr>
        <w:tc>
          <w:tcPr>
            <w:tcW w:w="569" w:type="dxa"/>
            <w:tcMar>
              <w:left w:w="28" w:type="dxa"/>
              <w:right w:w="28" w:type="dxa"/>
            </w:tcMar>
            <w:vAlign w:val="center"/>
          </w:tcPr>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保护</w:t>
            </w:r>
          </w:p>
          <w:p>
            <w:pPr>
              <w:pStyle w:val="67"/>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措施</w:t>
            </w:r>
          </w:p>
        </w:tc>
        <w:tc>
          <w:tcPr>
            <w:tcW w:w="8638" w:type="dxa"/>
          </w:tcPr>
          <w:p>
            <w:pPr>
              <w:spacing w:before="120" w:beforeLines="50" w:line="360" w:lineRule="auto"/>
              <w:outlineLvl w:val="1"/>
              <w:rPr>
                <w:b/>
                <w:color w:val="000000" w:themeColor="text1"/>
                <w:sz w:val="30"/>
                <w:szCs w:val="30"/>
                <w:highlight w:val="none"/>
                <w14:textFill>
                  <w14:solidFill>
                    <w14:schemeClr w14:val="tx1"/>
                  </w14:solidFill>
                </w14:textFill>
              </w:rPr>
            </w:pPr>
            <w:r>
              <w:rPr>
                <w:b/>
                <w:color w:val="000000" w:themeColor="text1"/>
                <w:sz w:val="30"/>
                <w:szCs w:val="30"/>
                <w:highlight w:val="none"/>
                <w14:textFill>
                  <w14:solidFill>
                    <w14:schemeClr w14:val="tx1"/>
                  </w14:solidFill>
                </w14:textFill>
              </w:rPr>
              <w:t>4.2</w:t>
            </w:r>
            <w:r>
              <w:rPr>
                <w:rFonts w:hint="eastAsia"/>
                <w:b/>
                <w:color w:val="000000" w:themeColor="text1"/>
                <w:sz w:val="30"/>
                <w:szCs w:val="30"/>
                <w:highlight w:val="none"/>
                <w14:textFill>
                  <w14:solidFill>
                    <w14:schemeClr w14:val="tx1"/>
                  </w14:solidFill>
                </w14:textFill>
              </w:rPr>
              <w:t>运营期</w:t>
            </w:r>
            <w:r>
              <w:rPr>
                <w:b/>
                <w:color w:val="000000" w:themeColor="text1"/>
                <w:sz w:val="30"/>
                <w:szCs w:val="30"/>
                <w:highlight w:val="none"/>
                <w14:textFill>
                  <w14:solidFill>
                    <w14:schemeClr w14:val="tx1"/>
                  </w14:solidFill>
                </w14:textFill>
              </w:rPr>
              <w:t>环境影响分析及保护措施</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4.2.1</w:t>
            </w:r>
            <w:r>
              <w:rPr>
                <w:rFonts w:hint="eastAsia"/>
                <w:color w:val="000000" w:themeColor="text1"/>
                <w:sz w:val="28"/>
                <w:szCs w:val="28"/>
                <w:highlight w:val="none"/>
                <w14:textFill>
                  <w14:solidFill>
                    <w14:schemeClr w14:val="tx1"/>
                  </w14:solidFill>
                </w14:textFill>
              </w:rPr>
              <w:t>废水</w:t>
            </w:r>
          </w:p>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4.2.1.1</w:t>
            </w:r>
            <w:r>
              <w:rPr>
                <w:rFonts w:hint="eastAsia"/>
                <w:color w:val="000000" w:themeColor="text1"/>
                <w:highlight w:val="none"/>
                <w14:textFill>
                  <w14:solidFill>
                    <w14:schemeClr w14:val="tx1"/>
                  </w14:solidFill>
                </w14:textFill>
              </w:rPr>
              <w:t>废水污染源强</w:t>
            </w:r>
            <w:r>
              <w:rPr>
                <w:color w:val="000000" w:themeColor="text1"/>
                <w:highlight w:val="none"/>
                <w14:textFill>
                  <w14:solidFill>
                    <w14:schemeClr w14:val="tx1"/>
                  </w14:solidFill>
                </w14:textFill>
              </w:rPr>
              <w:t>分析</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项目生产废水为喷漆水帘柜废水、打磨房喷淋废水、喷淋塔废水，经过项目配套废水处理设施（混凝压滤）处理后循环使用，不外排。外排废水主要为员工</w:t>
            </w:r>
            <w:r>
              <w:rPr>
                <w:color w:val="000000" w:themeColor="text1"/>
                <w:highlight w:val="none"/>
                <w14:textFill>
                  <w14:solidFill>
                    <w14:schemeClr w14:val="tx1"/>
                  </w14:solidFill>
                </w14:textFill>
              </w:rPr>
              <w:t>生活污水</w:t>
            </w: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职工人数为6人，均不住厂。</w:t>
            </w:r>
            <w:r>
              <w:rPr>
                <w:color w:val="000000" w:themeColor="text1"/>
                <w:highlight w:val="none"/>
                <w14:textFill>
                  <w14:solidFill>
                    <w14:schemeClr w14:val="tx1"/>
                  </w14:solidFill>
                </w14:textFill>
              </w:rPr>
              <w:t>根据《室外排水设计规范》</w:t>
            </w:r>
            <w:r>
              <w:rPr>
                <w:rFonts w:hint="eastAsia"/>
                <w:color w:val="000000" w:themeColor="text1"/>
                <w:highlight w:val="none"/>
                <w14:textFill>
                  <w14:solidFill>
                    <w14:schemeClr w14:val="tx1"/>
                  </w14:solidFill>
                </w14:textFill>
              </w:rPr>
              <w:t>（GB50014-2016）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不住宿职工</w:t>
            </w:r>
            <w:r>
              <w:rPr>
                <w:color w:val="000000" w:themeColor="text1"/>
                <w:highlight w:val="none"/>
                <w14:textFill>
                  <w14:solidFill>
                    <w14:schemeClr w14:val="tx1"/>
                  </w14:solidFill>
                </w14:textFill>
              </w:rPr>
              <w:t>每人每天用水量按50L/d计</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则生活用水量为</w:t>
            </w:r>
            <w:r>
              <w:rPr>
                <w:rFonts w:hint="eastAsia"/>
                <w:color w:val="000000" w:themeColor="text1"/>
                <w:highlight w:val="none"/>
                <w14:textFill>
                  <w14:solidFill>
                    <w14:schemeClr w14:val="tx1"/>
                  </w14:solidFill>
                </w14:textFill>
              </w:rPr>
              <w:t>0.3</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天计），生活污水排水系数按</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0%计，则</w:t>
            </w:r>
            <w:r>
              <w:rPr>
                <w:rFonts w:hint="eastAsia"/>
                <w:color w:val="000000" w:themeColor="text1"/>
                <w:highlight w:val="none"/>
                <w14:textFill>
                  <w14:solidFill>
                    <w14:schemeClr w14:val="tx1"/>
                  </w14:solidFill>
                </w14:textFill>
              </w:rPr>
              <w:t>生活</w:t>
            </w:r>
            <w:r>
              <w:rPr>
                <w:color w:val="000000" w:themeColor="text1"/>
                <w:highlight w:val="none"/>
                <w14:textFill>
                  <w14:solidFill>
                    <w14:schemeClr w14:val="tx1"/>
                  </w14:solidFill>
                </w14:textFill>
              </w:rPr>
              <w:t>污水排放量为</w:t>
            </w:r>
            <w:r>
              <w:rPr>
                <w:rFonts w:hint="eastAsia"/>
                <w:color w:val="000000" w:themeColor="text1"/>
                <w:highlight w:val="none"/>
                <w14:textFill>
                  <w14:solidFill>
                    <w14:schemeClr w14:val="tx1"/>
                  </w14:solidFill>
                </w14:textFill>
              </w:rPr>
              <w:t>0.24</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62.4</w:t>
            </w:r>
            <w:r>
              <w:rPr>
                <w:color w:val="000000" w:themeColor="text1"/>
                <w:highlight w:val="none"/>
                <w14:textFill>
                  <w14:solidFill>
                    <w14:schemeClr w14:val="tx1"/>
                  </w14:solidFill>
                </w14:textFill>
              </w:rPr>
              <w:t>t/a（按每年生产</w:t>
            </w:r>
            <w:r>
              <w:rPr>
                <w:rFonts w:hint="eastAsia"/>
                <w:color w:val="000000" w:themeColor="text1"/>
                <w:highlight w:val="none"/>
                <w14:textFill>
                  <w14:solidFill>
                    <w14:schemeClr w14:val="tx1"/>
                  </w14:solidFill>
                </w14:textFill>
              </w:rPr>
              <w:t>260</w:t>
            </w:r>
            <w:r>
              <w:rPr>
                <w:color w:val="000000" w:themeColor="text1"/>
                <w:highlight w:val="none"/>
                <w14:textFill>
                  <w14:solidFill>
                    <w14:schemeClr w14:val="tx1"/>
                  </w14:solidFill>
                </w14:textFill>
              </w:rPr>
              <w:t>天计）。</w:t>
            </w:r>
          </w:p>
          <w:p>
            <w:pPr>
              <w:pStyle w:val="282"/>
              <w:spacing w:line="360" w:lineRule="auto"/>
              <w:jc w:val="both"/>
              <w:rPr>
                <w:bCs w:val="0"/>
                <w:color w:val="000000" w:themeColor="text1"/>
                <w:highlight w:val="none"/>
                <w14:textFill>
                  <w14:solidFill>
                    <w14:schemeClr w14:val="tx1"/>
                  </w14:solidFill>
                </w14:textFill>
              </w:rPr>
            </w:pPr>
            <w:r>
              <w:rPr>
                <w:bCs w:val="0"/>
                <w:color w:val="000000" w:themeColor="text1"/>
                <w:highlight w:val="none"/>
                <w14:textFill>
                  <w14:solidFill>
                    <w14:schemeClr w14:val="tx1"/>
                  </w14:solidFill>
                </w14:textFill>
              </w:rPr>
              <w:t>生活污水水质简单，参考《给排水设计手册》（第五册城镇排水）典型生活污水水质，确定本项目污水污染物浓度为：COD</w:t>
            </w:r>
            <w:r>
              <w:rPr>
                <w:bCs w:val="0"/>
                <w:color w:val="000000" w:themeColor="text1"/>
                <w:highlight w:val="none"/>
                <w:vertAlign w:val="subscript"/>
                <w14:textFill>
                  <w14:solidFill>
                    <w14:schemeClr w14:val="tx1"/>
                  </w14:solidFill>
                </w14:textFill>
              </w:rPr>
              <w:t>Cr</w:t>
            </w:r>
            <w:r>
              <w:rPr>
                <w:bCs w:val="0"/>
                <w:color w:val="000000" w:themeColor="text1"/>
                <w:highlight w:val="none"/>
                <w14:textFill>
                  <w14:solidFill>
                    <w14:schemeClr w14:val="tx1"/>
                  </w14:solidFill>
                </w14:textFill>
              </w:rPr>
              <w:t>400mg/L、BOD</w:t>
            </w:r>
            <w:r>
              <w:rPr>
                <w:bCs w:val="0"/>
                <w:color w:val="000000" w:themeColor="text1"/>
                <w:highlight w:val="none"/>
                <w:vertAlign w:val="subscript"/>
                <w14:textFill>
                  <w14:solidFill>
                    <w14:schemeClr w14:val="tx1"/>
                  </w14:solidFill>
                </w14:textFill>
              </w:rPr>
              <w:t>5</w:t>
            </w:r>
            <w:r>
              <w:rPr>
                <w:rFonts w:hint="eastAsia"/>
                <w:bCs w:val="0"/>
                <w:color w:val="000000" w:themeColor="text1"/>
                <w:highlight w:val="none"/>
                <w14:textFill>
                  <w14:solidFill>
                    <w14:schemeClr w14:val="tx1"/>
                  </w14:solidFill>
                </w14:textFill>
              </w:rPr>
              <w:t>30</w:t>
            </w:r>
            <w:r>
              <w:rPr>
                <w:bCs w:val="0"/>
                <w:color w:val="000000" w:themeColor="text1"/>
                <w:highlight w:val="none"/>
                <w14:textFill>
                  <w14:solidFill>
                    <w14:schemeClr w14:val="tx1"/>
                  </w14:solidFill>
                </w14:textFill>
              </w:rPr>
              <w:t>0mg/L、氨氮35mg/L、SS 2</w:t>
            </w:r>
            <w:r>
              <w:rPr>
                <w:rFonts w:hint="eastAsia"/>
                <w:bCs w:val="0"/>
                <w:color w:val="000000" w:themeColor="text1"/>
                <w:highlight w:val="none"/>
                <w14:textFill>
                  <w14:solidFill>
                    <w14:schemeClr w14:val="tx1"/>
                  </w14:solidFill>
                </w14:textFill>
              </w:rPr>
              <w:t>0</w:t>
            </w:r>
            <w:r>
              <w:rPr>
                <w:bCs w:val="0"/>
                <w:color w:val="000000" w:themeColor="text1"/>
                <w:highlight w:val="none"/>
                <w14:textFill>
                  <w14:solidFill>
                    <w14:schemeClr w14:val="tx1"/>
                  </w14:solidFill>
                </w14:textFill>
              </w:rPr>
              <w:t>0mg/L</w:t>
            </w:r>
            <w:r>
              <w:rPr>
                <w:rFonts w:hint="eastAsia"/>
                <w:bCs w:val="0"/>
                <w:color w:val="000000" w:themeColor="text1"/>
                <w:highlight w:val="none"/>
                <w14:textFill>
                  <w14:solidFill>
                    <w14:schemeClr w14:val="tx1"/>
                  </w14:solidFill>
                </w14:textFill>
              </w:rPr>
              <w:t>，项目</w:t>
            </w:r>
            <w:r>
              <w:rPr>
                <w:bCs w:val="0"/>
                <w:color w:val="000000" w:themeColor="text1"/>
                <w:highlight w:val="none"/>
                <w14:textFill>
                  <w14:solidFill>
                    <w14:schemeClr w14:val="tx1"/>
                  </w14:solidFill>
                </w14:textFill>
              </w:rPr>
              <w:t>生活污水产排情况见表4.2-1。</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表4.2-1  运营期生活污水产生和排放情况表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950"/>
              <w:gridCol w:w="2049"/>
              <w:gridCol w:w="1172"/>
              <w:gridCol w:w="1170"/>
              <w:gridCol w:w="1172"/>
              <w:gridCol w:w="12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17"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污染源</w:t>
                  </w:r>
                </w:p>
              </w:tc>
              <w:tc>
                <w:tcPr>
                  <w:tcW w:w="548"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废水量</w:t>
                  </w:r>
                </w:p>
              </w:tc>
              <w:tc>
                <w:tcPr>
                  <w:tcW w:w="1182"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项目</w:t>
                  </w:r>
                </w:p>
              </w:tc>
              <w:tc>
                <w:tcPr>
                  <w:tcW w:w="676"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COD</w:t>
                  </w:r>
                </w:p>
              </w:tc>
              <w:tc>
                <w:tcPr>
                  <w:tcW w:w="675"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BOD</w:t>
                  </w:r>
                  <w:r>
                    <w:rPr>
                      <w:rFonts w:hint="eastAsia"/>
                      <w:b/>
                      <w:bCs/>
                      <w:color w:val="000000" w:themeColor="text1"/>
                      <w:szCs w:val="21"/>
                      <w:highlight w:val="none"/>
                      <w:vertAlign w:val="subscript"/>
                      <w14:textFill>
                        <w14:solidFill>
                          <w14:schemeClr w14:val="tx1"/>
                        </w14:solidFill>
                      </w14:textFill>
                    </w:rPr>
                    <w:t>5</w:t>
                  </w:r>
                </w:p>
              </w:tc>
              <w:tc>
                <w:tcPr>
                  <w:tcW w:w="676"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SS</w:t>
                  </w:r>
                </w:p>
              </w:tc>
              <w:tc>
                <w:tcPr>
                  <w:tcW w:w="726" w:type="pct"/>
                  <w:vAlign w:val="center"/>
                </w:tcPr>
                <w:p>
                  <w:pPr>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restar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生活</w:t>
                  </w:r>
                </w:p>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污水</w:t>
                  </w:r>
                </w:p>
              </w:tc>
              <w:tc>
                <w:tcPr>
                  <w:tcW w:w="548" w:type="pct"/>
                  <w:vMerge w:val="restar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62.4t/a</w:t>
                  </w: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产生浓度（mg/L）</w:t>
                  </w:r>
                </w:p>
              </w:tc>
              <w:tc>
                <w:tcPr>
                  <w:tcW w:w="67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400</w:t>
                  </w:r>
                </w:p>
              </w:tc>
              <w:tc>
                <w:tcPr>
                  <w:tcW w:w="675"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300</w:t>
                  </w:r>
                </w:p>
              </w:tc>
              <w:tc>
                <w:tcPr>
                  <w:tcW w:w="67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w:t>
                  </w:r>
                </w:p>
              </w:tc>
              <w:tc>
                <w:tcPr>
                  <w:tcW w:w="72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jc w:val="center"/>
                    <w:rPr>
                      <w:color w:val="000000" w:themeColor="text1"/>
                      <w:szCs w:val="21"/>
                      <w:highlight w:val="none"/>
                      <w14:textFill>
                        <w14:solidFill>
                          <w14:schemeClr w14:val="tx1"/>
                        </w14:solidFill>
                      </w14:textFill>
                    </w:rPr>
                  </w:pPr>
                </w:p>
              </w:tc>
              <w:tc>
                <w:tcPr>
                  <w:tcW w:w="548" w:type="pct"/>
                  <w:vMerge w:val="continue"/>
                  <w:vAlign w:val="center"/>
                </w:tcPr>
                <w:p>
                  <w:pPr>
                    <w:jc w:val="center"/>
                    <w:rPr>
                      <w:color w:val="000000" w:themeColor="text1"/>
                      <w:szCs w:val="21"/>
                      <w:highlight w:val="none"/>
                      <w14:textFill>
                        <w14:solidFill>
                          <w14:schemeClr w14:val="tx1"/>
                        </w14:solidFill>
                      </w14:textFill>
                    </w:rPr>
                  </w:pP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产生量(t/a)</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0.025 </w:t>
                  </w:r>
                </w:p>
              </w:tc>
              <w:tc>
                <w:tcPr>
                  <w:tcW w:w="1170"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0.019 </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0.012 </w:t>
                  </w:r>
                </w:p>
              </w:tc>
              <w:tc>
                <w:tcPr>
                  <w:tcW w:w="1258"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jc w:val="center"/>
                    <w:rPr>
                      <w:color w:val="000000" w:themeColor="text1"/>
                      <w:szCs w:val="21"/>
                      <w:highlight w:val="none"/>
                      <w14:textFill>
                        <w14:solidFill>
                          <w14:schemeClr w14:val="tx1"/>
                        </w14:solidFill>
                      </w14:textFill>
                    </w:rPr>
                  </w:pPr>
                </w:p>
              </w:tc>
              <w:tc>
                <w:tcPr>
                  <w:tcW w:w="548" w:type="pct"/>
                  <w:vMerge w:val="continue"/>
                  <w:vAlign w:val="center"/>
                </w:tcPr>
                <w:p>
                  <w:pPr>
                    <w:jc w:val="center"/>
                    <w:rPr>
                      <w:color w:val="000000" w:themeColor="text1"/>
                      <w:szCs w:val="21"/>
                      <w:highlight w:val="none"/>
                      <w14:textFill>
                        <w14:solidFill>
                          <w14:schemeClr w14:val="tx1"/>
                        </w14:solidFill>
                      </w14:textFill>
                    </w:rPr>
                  </w:pP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排放浓度（mg/L）</w:t>
                  </w:r>
                </w:p>
              </w:tc>
              <w:tc>
                <w:tcPr>
                  <w:tcW w:w="676" w:type="pct"/>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340</w:t>
                  </w:r>
                </w:p>
              </w:tc>
              <w:tc>
                <w:tcPr>
                  <w:tcW w:w="675" w:type="pct"/>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267</w:t>
                  </w:r>
                </w:p>
              </w:tc>
              <w:tc>
                <w:tcPr>
                  <w:tcW w:w="676" w:type="pct"/>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106</w:t>
                  </w:r>
                </w:p>
              </w:tc>
              <w:tc>
                <w:tcPr>
                  <w:tcW w:w="726" w:type="pct"/>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jc w:val="center"/>
                    <w:rPr>
                      <w:color w:val="000000" w:themeColor="text1"/>
                      <w:szCs w:val="21"/>
                      <w:highlight w:val="none"/>
                      <w14:textFill>
                        <w14:solidFill>
                          <w14:schemeClr w14:val="tx1"/>
                        </w14:solidFill>
                      </w14:textFill>
                    </w:rPr>
                  </w:pPr>
                </w:p>
              </w:tc>
              <w:tc>
                <w:tcPr>
                  <w:tcW w:w="548" w:type="pct"/>
                  <w:vMerge w:val="continue"/>
                  <w:vAlign w:val="center"/>
                </w:tcPr>
                <w:p>
                  <w:pPr>
                    <w:jc w:val="center"/>
                    <w:rPr>
                      <w:color w:val="000000" w:themeColor="text1"/>
                      <w:szCs w:val="21"/>
                      <w:highlight w:val="none"/>
                      <w14:textFill>
                        <w14:solidFill>
                          <w14:schemeClr w14:val="tx1"/>
                        </w14:solidFill>
                      </w14:textFill>
                    </w:rPr>
                  </w:pP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0.021 </w:t>
                  </w:r>
                </w:p>
              </w:tc>
              <w:tc>
                <w:tcPr>
                  <w:tcW w:w="1170"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0.017 </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0.007 </w:t>
                  </w:r>
                </w:p>
              </w:tc>
              <w:tc>
                <w:tcPr>
                  <w:tcW w:w="1258"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jc w:val="center"/>
                    <w:rPr>
                      <w:color w:val="000000" w:themeColor="text1"/>
                      <w:szCs w:val="21"/>
                      <w:highlight w:val="none"/>
                      <w14:textFill>
                        <w14:solidFill>
                          <w14:schemeClr w14:val="tx1"/>
                        </w14:solidFill>
                      </w14:textFill>
                    </w:rPr>
                  </w:pPr>
                </w:p>
              </w:tc>
              <w:tc>
                <w:tcPr>
                  <w:tcW w:w="548" w:type="pct"/>
                  <w:vMerge w:val="continue"/>
                  <w:vAlign w:val="center"/>
                </w:tcPr>
                <w:p>
                  <w:pPr>
                    <w:jc w:val="center"/>
                    <w:rPr>
                      <w:color w:val="000000" w:themeColor="text1"/>
                      <w:szCs w:val="21"/>
                      <w:highlight w:val="none"/>
                      <w14:textFill>
                        <w14:solidFill>
                          <w14:schemeClr w14:val="tx1"/>
                        </w14:solidFill>
                      </w14:textFill>
                    </w:rPr>
                  </w:pP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污水厂处理后排放浓度（mg/L）</w:t>
                  </w:r>
                </w:p>
              </w:tc>
              <w:tc>
                <w:tcPr>
                  <w:tcW w:w="67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w:t>
                  </w:r>
                </w:p>
              </w:tc>
              <w:tc>
                <w:tcPr>
                  <w:tcW w:w="675"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67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72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7" w:type="pct"/>
                  <w:vMerge w:val="continue"/>
                  <w:vAlign w:val="center"/>
                </w:tcPr>
                <w:p>
                  <w:pPr>
                    <w:jc w:val="center"/>
                    <w:rPr>
                      <w:color w:val="000000" w:themeColor="text1"/>
                      <w:szCs w:val="21"/>
                      <w:highlight w:val="none"/>
                      <w14:textFill>
                        <w14:solidFill>
                          <w14:schemeClr w14:val="tx1"/>
                        </w14:solidFill>
                      </w14:textFill>
                    </w:rPr>
                  </w:pPr>
                </w:p>
              </w:tc>
              <w:tc>
                <w:tcPr>
                  <w:tcW w:w="548" w:type="pct"/>
                  <w:vMerge w:val="continue"/>
                  <w:vAlign w:val="center"/>
                </w:tcPr>
                <w:p>
                  <w:pPr>
                    <w:jc w:val="center"/>
                    <w:rPr>
                      <w:color w:val="000000" w:themeColor="text1"/>
                      <w:szCs w:val="21"/>
                      <w:highlight w:val="none"/>
                      <w14:textFill>
                        <w14:solidFill>
                          <w14:schemeClr w14:val="tx1"/>
                        </w14:solidFill>
                      </w14:textFill>
                    </w:rPr>
                  </w:pPr>
                </w:p>
              </w:tc>
              <w:tc>
                <w:tcPr>
                  <w:tcW w:w="1182"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0.003 </w:t>
                  </w:r>
                </w:p>
              </w:tc>
              <w:tc>
                <w:tcPr>
                  <w:tcW w:w="1170"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0.001 </w:t>
                  </w:r>
                </w:p>
              </w:tc>
              <w:tc>
                <w:tcPr>
                  <w:tcW w:w="1172" w:type="dxa"/>
                  <w:vAlign w:val="bottom"/>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0.001 </w:t>
                  </w:r>
                </w:p>
              </w:tc>
              <w:tc>
                <w:tcPr>
                  <w:tcW w:w="72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64" w:type="pct"/>
                  <w:gridSpan w:val="2"/>
                  <w:vMerge w:val="restar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处理措施</w:t>
                  </w:r>
                </w:p>
              </w:tc>
              <w:tc>
                <w:tcPr>
                  <w:tcW w:w="3936" w:type="pct"/>
                  <w:gridSpan w:val="5"/>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厂区化粪池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64" w:type="pct"/>
                  <w:gridSpan w:val="2"/>
                  <w:vMerge w:val="continue"/>
                  <w:vAlign w:val="center"/>
                </w:tcPr>
                <w:p>
                  <w:pPr>
                    <w:jc w:val="center"/>
                    <w:rPr>
                      <w:color w:val="000000" w:themeColor="text1"/>
                      <w:szCs w:val="21"/>
                      <w:highlight w:val="none"/>
                      <w14:textFill>
                        <w14:solidFill>
                          <w14:schemeClr w14:val="tx1"/>
                        </w14:solidFill>
                      </w14:textFill>
                    </w:rPr>
                  </w:pPr>
                </w:p>
              </w:tc>
              <w:tc>
                <w:tcPr>
                  <w:tcW w:w="3936" w:type="pct"/>
                  <w:gridSpan w:val="5"/>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纳入福清融元污水处理厂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7"/>
                  <w:vAlign w:val="center"/>
                </w:tcPr>
                <w:p>
                  <w:pPr>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szCs w:val="21"/>
                      <w:highlight w:val="none"/>
                      <w14:textFill>
                        <w14:solidFill>
                          <w14:schemeClr w14:val="tx1"/>
                        </w14:solidFill>
                      </w14:textFill>
                    </w:rPr>
                    <w:t>福清融元污水处理厂</w:t>
                  </w:r>
                  <w:r>
                    <w:rPr>
                      <w:color w:val="000000" w:themeColor="text1"/>
                      <w:highlight w:val="none"/>
                      <w14:textFill>
                        <w14:solidFill>
                          <w14:schemeClr w14:val="tx1"/>
                        </w14:solidFill>
                      </w14:textFill>
                    </w:rPr>
                    <w:t>处理后尾水执行《城镇污水处理厂污染物排放标准》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GB18918-2002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一级</w:t>
                  </w: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标准</w:t>
                  </w:r>
                  <w:r>
                    <w:rPr>
                      <w:rFonts w:hint="eastAsia"/>
                      <w:color w:val="000000" w:themeColor="text1"/>
                      <w:highlight w:val="none"/>
                      <w14:textFill>
                        <w14:solidFill>
                          <w14:schemeClr w14:val="tx1"/>
                        </w14:solidFill>
                      </w14:textFill>
                    </w:rPr>
                    <w:t>。</w:t>
                  </w:r>
                </w:p>
              </w:tc>
            </w:tr>
          </w:tbl>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4.2.1.2</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环境影响分析及</w:t>
            </w:r>
            <w:r>
              <w:rPr>
                <w:rFonts w:hint="eastAsia"/>
                <w:color w:val="000000" w:themeColor="text1"/>
                <w:highlight w:val="none"/>
                <w14:textFill>
                  <w14:solidFill>
                    <w14:schemeClr w14:val="tx1"/>
                  </w14:solidFill>
                </w14:textFill>
              </w:rPr>
              <w:t>保护</w:t>
            </w:r>
            <w:r>
              <w:rPr>
                <w:color w:val="000000" w:themeColor="text1"/>
                <w:highlight w:val="none"/>
                <w14:textFill>
                  <w14:solidFill>
                    <w14:schemeClr w14:val="tx1"/>
                  </w14:solidFill>
                </w14:textFill>
              </w:rPr>
              <w:t>措施</w:t>
            </w:r>
          </w:p>
          <w:p>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w:t>
            </w:r>
            <w:r>
              <w:rPr>
                <w:color w:val="000000" w:themeColor="text1"/>
                <w:szCs w:val="24"/>
                <w:highlight w:val="none"/>
                <w14:textFill>
                  <w14:solidFill>
                    <w14:schemeClr w14:val="tx1"/>
                  </w14:solidFill>
                </w14:textFill>
              </w:rPr>
              <w:t>1</w:t>
            </w:r>
            <w:r>
              <w:rPr>
                <w:rFonts w:hAnsi="宋体"/>
                <w:color w:val="000000" w:themeColor="text1"/>
                <w:szCs w:val="24"/>
                <w:highlight w:val="none"/>
                <w14:textFill>
                  <w14:solidFill>
                    <w14:schemeClr w14:val="tx1"/>
                  </w14:solidFill>
                </w14:textFill>
              </w:rPr>
              <w:t>）废水排污方案</w:t>
            </w:r>
          </w:p>
          <w:p>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项目厂区内实行雨污分流，雨水经雨水管网收集后排入市政雨水管网。</w:t>
            </w:r>
            <w:r>
              <w:rPr>
                <w:rFonts w:hint="eastAsia" w:hAnsi="宋体"/>
                <w:color w:val="000000" w:themeColor="text1"/>
                <w:szCs w:val="24"/>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项目喷漆水帘柜废水、打磨房喷淋废水、喷淋塔废水经项目配套废水处理设施（混凝压滤）处理后循环使用，不外排</w:t>
            </w:r>
            <w:r>
              <w:rPr>
                <w:rFonts w:hint="eastAsia"/>
                <w:color w:val="000000" w:themeColor="text1"/>
                <w:highlight w:val="none"/>
                <w:lang w:eastAsia="zh-CN"/>
                <w14:textFill>
                  <w14:solidFill>
                    <w14:schemeClr w14:val="tx1"/>
                  </w14:solidFill>
                </w14:textFill>
              </w:rPr>
              <w:t>；</w:t>
            </w:r>
            <w:r>
              <w:rPr>
                <w:rFonts w:hAnsi="宋体"/>
                <w:color w:val="000000" w:themeColor="text1"/>
                <w:szCs w:val="24"/>
                <w:highlight w:val="none"/>
                <w14:textFill>
                  <w14:solidFill>
                    <w14:schemeClr w14:val="tx1"/>
                  </w14:solidFill>
                </w14:textFill>
              </w:rPr>
              <w:t>外排废水为生活污水，</w:t>
            </w:r>
            <w:r>
              <w:rPr>
                <w:rFonts w:hint="eastAsia" w:hAnsi="宋体"/>
                <w:color w:val="000000" w:themeColor="text1"/>
                <w:szCs w:val="24"/>
                <w:highlight w:val="none"/>
                <w14:textFill>
                  <w14:solidFill>
                    <w14:schemeClr w14:val="tx1"/>
                  </w14:solidFill>
                </w14:textFill>
              </w:rPr>
              <w:t>建成</w:t>
            </w:r>
            <w:r>
              <w:rPr>
                <w:rFonts w:hAnsi="宋体"/>
                <w:color w:val="000000" w:themeColor="text1"/>
                <w:szCs w:val="24"/>
                <w:highlight w:val="none"/>
                <w14:textFill>
                  <w14:solidFill>
                    <w14:schemeClr w14:val="tx1"/>
                  </w14:solidFill>
                </w14:textFill>
              </w:rPr>
              <w:t>后全厂生活污水排放量为</w:t>
            </w:r>
            <w:r>
              <w:rPr>
                <w:rFonts w:hint="eastAsia"/>
                <w:color w:val="000000" w:themeColor="text1"/>
                <w:highlight w:val="none"/>
                <w14:textFill>
                  <w14:solidFill>
                    <w14:schemeClr w14:val="tx1"/>
                  </w14:solidFill>
                </w14:textFill>
              </w:rPr>
              <w:t>0.24</w:t>
            </w:r>
            <w:r>
              <w:rPr>
                <w:color w:val="000000" w:themeColor="text1"/>
                <w:highlight w:val="none"/>
                <w14:textFill>
                  <w14:solidFill>
                    <w14:schemeClr w14:val="tx1"/>
                  </w14:solidFill>
                </w14:textFill>
              </w:rPr>
              <w:t>t/d，合</w:t>
            </w:r>
            <w:r>
              <w:rPr>
                <w:rFonts w:hint="eastAsia"/>
                <w:color w:val="000000" w:themeColor="text1"/>
                <w:highlight w:val="none"/>
                <w14:textFill>
                  <w14:solidFill>
                    <w14:schemeClr w14:val="tx1"/>
                  </w14:solidFill>
                </w14:textFill>
              </w:rPr>
              <w:t>62.4</w:t>
            </w:r>
            <w:r>
              <w:rPr>
                <w:color w:val="000000" w:themeColor="text1"/>
                <w:highlight w:val="none"/>
                <w14:textFill>
                  <w14:solidFill>
                    <w14:schemeClr w14:val="tx1"/>
                  </w14:solidFill>
                </w14:textFill>
              </w:rPr>
              <w:t>t/a</w:t>
            </w:r>
            <w:r>
              <w:rPr>
                <w:rFonts w:hAnsi="宋体"/>
                <w:color w:val="000000" w:themeColor="text1"/>
                <w:szCs w:val="24"/>
                <w:highlight w:val="none"/>
                <w14:textFill>
                  <w14:solidFill>
                    <w14:schemeClr w14:val="tx1"/>
                  </w14:solidFill>
                </w14:textFill>
              </w:rPr>
              <w:t>，生活污水经化粪池处理达到《污水综合排放标准》（</w:t>
            </w:r>
            <w:r>
              <w:rPr>
                <w:color w:val="000000" w:themeColor="text1"/>
                <w:szCs w:val="24"/>
                <w:highlight w:val="none"/>
                <w14:textFill>
                  <w14:solidFill>
                    <w14:schemeClr w14:val="tx1"/>
                  </w14:solidFill>
                </w14:textFill>
              </w:rPr>
              <w:t>GB8978-1996</w:t>
            </w:r>
            <w:r>
              <w:rPr>
                <w:rFonts w:hAnsi="宋体"/>
                <w:color w:val="000000" w:themeColor="text1"/>
                <w:szCs w:val="24"/>
                <w:highlight w:val="none"/>
                <w14:textFill>
                  <w14:solidFill>
                    <w14:schemeClr w14:val="tx1"/>
                  </w14:solidFill>
                </w14:textFill>
              </w:rPr>
              <w:t>）表</w:t>
            </w:r>
            <w:r>
              <w:rPr>
                <w:color w:val="000000" w:themeColor="text1"/>
                <w:szCs w:val="24"/>
                <w:highlight w:val="none"/>
                <w14:textFill>
                  <w14:solidFill>
                    <w14:schemeClr w14:val="tx1"/>
                  </w14:solidFill>
                </w14:textFill>
              </w:rPr>
              <w:t>4</w:t>
            </w:r>
            <w:r>
              <w:rPr>
                <w:rFonts w:hAnsi="宋体"/>
                <w:color w:val="000000" w:themeColor="text1"/>
                <w:szCs w:val="24"/>
                <w:highlight w:val="none"/>
                <w14:textFill>
                  <w14:solidFill>
                    <w14:schemeClr w14:val="tx1"/>
                  </w14:solidFill>
                </w14:textFill>
              </w:rPr>
              <w:t>中其他排污单位三级标准要求，其中氨氮达到《污水排入城镇下水道水质标准》</w:t>
            </w:r>
            <w:r>
              <w:rPr>
                <w:color w:val="000000" w:themeColor="text1"/>
                <w:szCs w:val="24"/>
                <w:highlight w:val="none"/>
                <w14:textFill>
                  <w14:solidFill>
                    <w14:schemeClr w14:val="tx1"/>
                  </w14:solidFill>
                </w14:textFill>
              </w:rPr>
              <w:t>(GB/T 31962-2015)</w:t>
            </w:r>
            <w:r>
              <w:rPr>
                <w:rFonts w:hAnsi="宋体"/>
                <w:color w:val="000000" w:themeColor="text1"/>
                <w:szCs w:val="24"/>
                <w:highlight w:val="none"/>
                <w14:textFill>
                  <w14:solidFill>
                    <w14:schemeClr w14:val="tx1"/>
                  </w14:solidFill>
                </w14:textFill>
              </w:rPr>
              <w:t>中</w:t>
            </w:r>
            <w:r>
              <w:rPr>
                <w:color w:val="000000" w:themeColor="text1"/>
                <w:szCs w:val="24"/>
                <w:highlight w:val="none"/>
                <w14:textFill>
                  <w14:solidFill>
                    <w14:schemeClr w14:val="tx1"/>
                  </w14:solidFill>
                </w14:textFill>
              </w:rPr>
              <w:t>B</w:t>
            </w:r>
            <w:r>
              <w:rPr>
                <w:rFonts w:hAnsi="宋体"/>
                <w:color w:val="000000" w:themeColor="text1"/>
                <w:szCs w:val="24"/>
                <w:highlight w:val="none"/>
                <w14:textFill>
                  <w14:solidFill>
                    <w14:schemeClr w14:val="tx1"/>
                  </w14:solidFill>
                </w14:textFill>
              </w:rPr>
              <w:t>等级标准后，排入福清市融元污水处理厂。</w:t>
            </w:r>
          </w:p>
          <w:p>
            <w:pPr>
              <w:pStyle w:val="186"/>
              <w:numPr>
                <w:ilvl w:val="0"/>
                <w:numId w:val="3"/>
              </w:numPr>
              <w:ind w:firstLine="48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生产废水</w:t>
            </w:r>
            <w:r>
              <w:rPr>
                <w:rFonts w:hint="eastAsia" w:eastAsia="宋体" w:cs="Times New Roman"/>
                <w:color w:val="000000" w:themeColor="text1"/>
                <w:lang w:val="en-US" w:eastAsia="zh-CN"/>
                <w14:textFill>
                  <w14:solidFill>
                    <w14:schemeClr w14:val="tx1"/>
                  </w14:solidFill>
                </w14:textFill>
              </w:rPr>
              <w:t>处理工艺及</w:t>
            </w:r>
            <w:r>
              <w:rPr>
                <w:rFonts w:hint="eastAsia" w:ascii="Times New Roman" w:hAnsi="Times New Roman" w:eastAsia="宋体" w:cs="Times New Roman"/>
                <w:color w:val="000000" w:themeColor="text1"/>
                <w:lang w:val="en-US" w:eastAsia="zh-CN"/>
                <w14:textFill>
                  <w14:solidFill>
                    <w14:schemeClr w14:val="tx1"/>
                  </w14:solidFill>
                </w14:textFill>
              </w:rPr>
              <w:t>回用可行性</w:t>
            </w:r>
          </w:p>
          <w:p>
            <w:pPr>
              <w:pStyle w:val="186"/>
              <w:ind w:firstLine="480"/>
              <w:rPr>
                <w:rFonts w:hint="eastAsia" w:ascii="Times New Roman" w:hAnsi="宋体" w:eastAsia="宋体" w:cs="Times New Roman"/>
                <w:color w:val="000000" w:themeColor="text1"/>
                <w:szCs w:val="24"/>
                <w:highlight w:val="none"/>
                <w:lang w:eastAsia="zh-CN"/>
                <w14:textFill>
                  <w14:solidFill>
                    <w14:schemeClr w14:val="tx1"/>
                  </w14:solidFill>
                </w14:textFill>
              </w:rPr>
            </w:pP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14:textFill>
                  <w14:solidFill>
                    <w14:schemeClr w14:val="tx1"/>
                  </w14:solidFill>
                </w14:textFill>
              </w:rPr>
              <w:t>项目</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3层产生的</w:t>
            </w:r>
            <w:r>
              <w:rPr>
                <w:rFonts w:hint="eastAsia" w:ascii="Times New Roman" w:hAnsi="宋体" w:eastAsia="宋体" w:cs="Times New Roman"/>
                <w:color w:val="000000" w:themeColor="text1"/>
                <w:szCs w:val="24"/>
                <w:highlight w:val="none"/>
                <w14:textFill>
                  <w14:solidFill>
                    <w14:schemeClr w14:val="tx1"/>
                  </w14:solidFill>
                </w14:textFill>
              </w:rPr>
              <w:t>喷漆水帘柜废水、打磨房喷淋废水、喷淋塔废水经</w:t>
            </w:r>
            <w:r>
              <w:rPr>
                <w:rFonts w:hint="eastAsia" w:ascii="Times New Roman" w:hAnsi="宋体" w:eastAsia="宋体" w:cs="Times New Roman"/>
                <w:color w:val="000000" w:themeColor="text1"/>
                <w:szCs w:val="24"/>
                <w:highlight w:val="none"/>
                <w:lang w:eastAsia="zh-CN"/>
                <w14:textFill>
                  <w14:solidFill>
                    <w14:schemeClr w14:val="tx1"/>
                  </w14:solidFill>
                </w14:textFill>
              </w:rPr>
              <w:t>管道收集后，统一经</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1层</w:t>
            </w:r>
            <w:r>
              <w:rPr>
                <w:rFonts w:hint="eastAsia" w:ascii="Times New Roman" w:hAnsi="宋体" w:eastAsia="宋体" w:cs="Times New Roman"/>
                <w:color w:val="000000" w:themeColor="text1"/>
                <w:szCs w:val="24"/>
                <w:highlight w:val="none"/>
                <w14:textFill>
                  <w14:solidFill>
                    <w14:schemeClr w14:val="tx1"/>
                  </w14:solidFill>
                </w14:textFill>
              </w:rPr>
              <w:t>配套废水处理设施处理后循环使用，不外排</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。项目拟设置</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1套处理规模为2t/h，</w:t>
            </w:r>
            <w:r>
              <w:rPr>
                <w:rFonts w:hint="eastAsia" w:ascii="Times New Roman" w:hAnsi="宋体" w:eastAsia="宋体" w:cs="Times New Roman"/>
                <w:color w:val="000000" w:themeColor="text1"/>
                <w:szCs w:val="24"/>
                <w:highlight w:val="none"/>
                <w:lang w:eastAsia="zh-CN"/>
                <w14:textFill>
                  <w14:solidFill>
                    <w14:schemeClr w14:val="tx1"/>
                  </w14:solidFill>
                </w14:textFill>
              </w:rPr>
              <w:t>一体化污水处理设施，处理工艺：加药混凝沉淀→压滤机过滤压渣→出水流入清水池。</w:t>
            </w:r>
          </w:p>
          <w:p>
            <w:pPr>
              <w:pStyle w:val="186"/>
              <w:ind w:firstLine="480"/>
              <w:rPr>
                <w:rFonts w:hint="eastAsia" w:ascii="Times New Roman" w:hAnsi="宋体" w:eastAsia="宋体" w:cs="Times New Roman"/>
                <w:color w:val="000000" w:themeColor="text1"/>
                <w:szCs w:val="24"/>
                <w:highlight w:val="none"/>
                <w:lang w:eastAsia="zh-CN"/>
                <w14:textFill>
                  <w14:solidFill>
                    <w14:schemeClr w14:val="tx1"/>
                  </w14:solidFill>
                </w14:textFill>
              </w:rPr>
            </w:pP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项目生产废水主要污染物为</w:t>
            </w:r>
            <w:r>
              <w:rPr>
                <w:rFonts w:hint="eastAsia" w:ascii="Times New Roman" w:hAnsi="宋体" w:eastAsia="宋体" w:cs="Times New Roman"/>
                <w:color w:val="000000" w:themeColor="text1"/>
                <w:szCs w:val="24"/>
                <w:highlight w:val="none"/>
                <w:lang w:val="en-US" w:eastAsia="zh-CN"/>
                <w14:textFill>
                  <w14:solidFill>
                    <w14:schemeClr w14:val="tx1"/>
                  </w14:solidFill>
                </w14:textFill>
              </w:rPr>
              <w:t>COD及</w:t>
            </w:r>
            <w:r>
              <w:rPr>
                <w:rFonts w:hint="eastAsia" w:ascii="Times New Roman" w:hAnsi="宋体" w:eastAsia="宋体" w:cs="Times New Roman"/>
                <w:color w:val="000000" w:themeColor="text1"/>
                <w:szCs w:val="24"/>
                <w:highlight w:val="none"/>
                <w:lang w:eastAsia="zh-CN"/>
                <w14:textFill>
                  <w14:solidFill>
                    <w14:schemeClr w14:val="tx1"/>
                  </w14:solidFill>
                </w14:textFill>
              </w:rPr>
              <w:t>悬浮物，经混凝沉淀处理后出水可符合生产用水要求。处理后出水暂存清水池主要用于水帘柜、打磨房补水，主要通过清水循环管道进行补充；废气喷淋塔更换排废水后用自来水补充。</w:t>
            </w:r>
          </w:p>
          <w:p>
            <w:pPr>
              <w:pStyle w:val="186"/>
              <w:ind w:firstLine="480"/>
              <w:rPr>
                <w:rFonts w:hint="eastAsia" w:ascii="Times New Roman" w:hAnsi="宋体" w:eastAsia="宋体" w:cs="Times New Roman"/>
                <w:color w:val="000000" w:themeColor="text1"/>
                <w:szCs w:val="24"/>
                <w:highlight w:val="none"/>
                <w:lang w:val="en-US" w:eastAsia="zh-CN"/>
                <w14:textFill>
                  <w14:solidFill>
                    <w14:schemeClr w14:val="tx1"/>
                  </w14:solidFill>
                </w14:textFill>
              </w:rPr>
            </w:pPr>
            <w:r>
              <w:rPr>
                <w:rFonts w:hint="eastAsia" w:ascii="Times New Roman" w:hAnsi="宋体" w:eastAsia="宋体" w:cs="Times New Roman"/>
                <w:color w:val="000000" w:themeColor="text1"/>
                <w:szCs w:val="24"/>
                <w:highlight w:val="none"/>
                <w:lang w:eastAsia="zh-CN"/>
                <w14:textFill>
                  <w14:solidFill>
                    <w14:schemeClr w14:val="tx1"/>
                  </w14:solidFill>
                </w14:textFill>
              </w:rPr>
              <w:t>综上，</w:t>
            </w:r>
            <w:r>
              <w:rPr>
                <w:rFonts w:hint="eastAsia" w:hAnsi="宋体" w:cs="Times New Roman"/>
                <w:color w:val="000000" w:themeColor="text1"/>
                <w:szCs w:val="24"/>
                <w:highlight w:val="none"/>
                <w:lang w:eastAsia="zh-CN"/>
                <w14:textFill>
                  <w14:solidFill>
                    <w14:schemeClr w14:val="tx1"/>
                  </w14:solidFill>
                </w14:textFill>
              </w:rPr>
              <w:t>扩建</w:t>
            </w:r>
            <w:r>
              <w:rPr>
                <w:rFonts w:hint="eastAsia" w:ascii="Times New Roman" w:hAnsi="宋体" w:eastAsia="宋体" w:cs="Times New Roman"/>
                <w:color w:val="000000" w:themeColor="text1"/>
                <w:szCs w:val="24"/>
                <w:highlight w:val="none"/>
                <w:lang w:eastAsia="zh-CN"/>
                <w14:textFill>
                  <w14:solidFill>
                    <w14:schemeClr w14:val="tx1"/>
                  </w14:solidFill>
                </w14:textFill>
              </w:rPr>
              <w:t>项目配套生产废水处理设施工艺及规模符合项目循环用水要求，项目生产废水可经处理后循环使用，不外排。</w:t>
            </w:r>
          </w:p>
          <w:p>
            <w:pPr>
              <w:pStyle w:val="186"/>
              <w:ind w:firstLine="480"/>
              <w:rPr>
                <w:color w:val="000000" w:themeColor="text1"/>
                <w:szCs w:val="24"/>
                <w:highlight w:val="none"/>
                <w14:textFill>
                  <w14:solidFill>
                    <w14:schemeClr w14:val="tx1"/>
                  </w14:solidFill>
                </w14:textFill>
              </w:rPr>
            </w:pPr>
            <w:r>
              <w:rPr>
                <w:rFonts w:hint="eastAsia" w:hAnsi="宋体"/>
                <w:color w:val="000000" w:themeColor="text1"/>
                <w:szCs w:val="24"/>
                <w:highlight w:val="none"/>
                <w:lang w:eastAsia="zh-CN"/>
                <w14:textFill>
                  <w14:solidFill>
                    <w14:schemeClr w14:val="tx1"/>
                  </w14:solidFill>
                </w14:textFill>
              </w:rPr>
              <w:t>（</w:t>
            </w:r>
            <w:r>
              <w:rPr>
                <w:rFonts w:hint="eastAsia" w:hAnsi="宋体"/>
                <w:color w:val="000000" w:themeColor="text1"/>
                <w:szCs w:val="24"/>
                <w:highlight w:val="none"/>
                <w:lang w:val="en-US" w:eastAsia="zh-CN"/>
                <w14:textFill>
                  <w14:solidFill>
                    <w14:schemeClr w14:val="tx1"/>
                  </w14:solidFill>
                </w14:textFill>
              </w:rPr>
              <w:t>3</w:t>
            </w:r>
            <w:r>
              <w:rPr>
                <w:rFonts w:hint="eastAsia" w:hAnsi="宋体"/>
                <w:color w:val="000000" w:themeColor="text1"/>
                <w:szCs w:val="24"/>
                <w:highlight w:val="none"/>
                <w:lang w:eastAsia="zh-CN"/>
                <w14:textFill>
                  <w14:solidFill>
                    <w14:schemeClr w14:val="tx1"/>
                  </w14:solidFill>
                </w14:textFill>
              </w:rPr>
              <w:t>）</w:t>
            </w:r>
            <w:r>
              <w:rPr>
                <w:rFonts w:hAnsi="宋体"/>
                <w:color w:val="000000" w:themeColor="text1"/>
                <w:szCs w:val="24"/>
                <w:highlight w:val="none"/>
                <w14:textFill>
                  <w14:solidFill>
                    <w14:schemeClr w14:val="tx1"/>
                  </w14:solidFill>
                </w14:textFill>
              </w:rPr>
              <w:t>依托厂区内已建化粪池可行性</w:t>
            </w:r>
          </w:p>
          <w:p>
            <w:pPr>
              <w:spacing w:line="360" w:lineRule="auto"/>
              <w:ind w:firstLine="480"/>
              <w:rPr>
                <w:rFonts w:hint="default" w:eastAsia="宋体"/>
                <w:color w:val="000000" w:themeColor="text1"/>
                <w:sz w:val="24"/>
                <w:highlight w:val="none"/>
                <w:lang w:val="en-US" w:eastAsia="zh-CN"/>
                <w14:textFill>
                  <w14:solidFill>
                    <w14:schemeClr w14:val="tx1"/>
                  </w14:solidFill>
                </w14:textFill>
              </w:rPr>
            </w:pPr>
            <w:r>
              <w:rPr>
                <w:rFonts w:hAnsi="宋体"/>
                <w:color w:val="000000" w:themeColor="text1"/>
                <w:sz w:val="24"/>
                <w:highlight w:val="none"/>
                <w14:textFill>
                  <w14:solidFill>
                    <w14:schemeClr w14:val="tx1"/>
                  </w14:solidFill>
                </w14:textFill>
              </w:rPr>
              <w:t>项目</w:t>
            </w:r>
            <w:r>
              <w:rPr>
                <w:rFonts w:hint="eastAsia" w:hAnsi="宋体"/>
                <w:color w:val="000000" w:themeColor="text1"/>
                <w:sz w:val="24"/>
                <w:highlight w:val="none"/>
                <w14:textFill>
                  <w14:solidFill>
                    <w14:schemeClr w14:val="tx1"/>
                  </w14:solidFill>
                </w14:textFill>
              </w:rPr>
              <w:t>所在</w:t>
            </w:r>
            <w:r>
              <w:rPr>
                <w:rFonts w:hint="eastAsia"/>
                <w:color w:val="000000" w:themeColor="text1"/>
                <w:sz w:val="24"/>
                <w:highlight w:val="none"/>
                <w14:textFill>
                  <w14:solidFill>
                    <w14:schemeClr w14:val="tx1"/>
                  </w14:solidFill>
                </w14:textFill>
              </w:rPr>
              <w:t>福建乐翔服饰制造有限公司内</w:t>
            </w:r>
            <w:r>
              <w:rPr>
                <w:rFonts w:hAnsi="宋体"/>
                <w:color w:val="000000" w:themeColor="text1"/>
                <w:sz w:val="24"/>
                <w:highlight w:val="none"/>
                <w14:textFill>
                  <w14:solidFill>
                    <w14:schemeClr w14:val="tx1"/>
                  </w14:solidFill>
                </w14:textFill>
              </w:rPr>
              <w:t>已建</w:t>
            </w:r>
            <w:r>
              <w:rPr>
                <w:rFonts w:hint="eastAsia"/>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座</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化粪池，总容积</w:t>
            </w:r>
            <w:r>
              <w:rPr>
                <w:rFonts w:hint="eastAsia"/>
                <w:color w:val="000000" w:themeColor="text1"/>
                <w:sz w:val="24"/>
                <w:highlight w:val="none"/>
                <w14:textFill>
                  <w14:solidFill>
                    <w14:schemeClr w14:val="tx1"/>
                  </w14:solidFill>
                </w14:textFill>
              </w:rPr>
              <w:t>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经调查，厂区内已入驻企业职工约100人，均不住厂，排水量约5</w:t>
            </w:r>
            <w:r>
              <w:rPr>
                <w:color w:val="000000" w:themeColor="text1"/>
                <w:sz w:val="24"/>
                <w:highlight w:val="none"/>
                <w14:textFill>
                  <w14:solidFill>
                    <w14:schemeClr w14:val="tx1"/>
                  </w14:solidFill>
                </w14:textFill>
              </w:rPr>
              <w:t>t/d</w:t>
            </w:r>
            <w:r>
              <w:rPr>
                <w:rFonts w:hint="eastAsia" w:hAnsi="宋体"/>
                <w:color w:val="000000" w:themeColor="text1"/>
                <w:sz w:val="24"/>
                <w:highlight w:val="none"/>
                <w14:textFill>
                  <w14:solidFill>
                    <w14:schemeClr w14:val="tx1"/>
                  </w14:solidFill>
                </w14:textFill>
              </w:rPr>
              <w:t>；</w:t>
            </w:r>
            <w:r>
              <w:rPr>
                <w:rFonts w:hAnsi="宋体"/>
                <w:color w:val="000000" w:themeColor="text1"/>
                <w:sz w:val="24"/>
                <w:highlight w:val="none"/>
                <w14:textFill>
                  <w14:solidFill>
                    <w14:schemeClr w14:val="tx1"/>
                  </w14:solidFill>
                </w14:textFill>
              </w:rPr>
              <w:t>本项目</w:t>
            </w:r>
            <w:r>
              <w:rPr>
                <w:rFonts w:hint="eastAsia" w:hAnsi="宋体"/>
                <w:color w:val="000000" w:themeColor="text1"/>
                <w:sz w:val="24"/>
                <w:highlight w:val="none"/>
                <w:lang w:eastAsia="zh-CN"/>
                <w14:textFill>
                  <w14:solidFill>
                    <w14:schemeClr w14:val="tx1"/>
                  </w14:solidFill>
                </w14:textFill>
              </w:rPr>
              <w:t>扩建后生活</w:t>
            </w:r>
            <w:r>
              <w:rPr>
                <w:rFonts w:hAnsi="宋体"/>
                <w:color w:val="000000" w:themeColor="text1"/>
                <w:sz w:val="24"/>
                <w:highlight w:val="none"/>
                <w14:textFill>
                  <w14:solidFill>
                    <w14:schemeClr w14:val="tx1"/>
                  </w14:solidFill>
                </w14:textFill>
              </w:rPr>
              <w:t>污水排放量</w:t>
            </w:r>
            <w:r>
              <w:rPr>
                <w:rFonts w:hint="eastAsia"/>
                <w:color w:val="000000" w:themeColor="text1"/>
                <w:sz w:val="24"/>
                <w:highlight w:val="none"/>
                <w14:textFill>
                  <w14:solidFill>
                    <w14:schemeClr w14:val="tx1"/>
                  </w14:solidFill>
                </w14:textFill>
              </w:rPr>
              <w:t>0.24</w:t>
            </w:r>
            <w:r>
              <w:rPr>
                <w:color w:val="000000" w:themeColor="text1"/>
                <w:sz w:val="24"/>
                <w:highlight w:val="none"/>
                <w14:textFill>
                  <w14:solidFill>
                    <w14:schemeClr w14:val="tx1"/>
                  </w14:solidFill>
                </w14:textFill>
              </w:rPr>
              <w:t>t/d</w:t>
            </w:r>
            <w:r>
              <w:rPr>
                <w:rFonts w:hAnsi="宋体"/>
                <w:color w:val="000000" w:themeColor="text1"/>
                <w:sz w:val="24"/>
                <w:highlight w:val="none"/>
                <w14:textFill>
                  <w14:solidFill>
                    <w14:schemeClr w14:val="tx1"/>
                  </w14:solidFill>
                </w14:textFill>
              </w:rPr>
              <w:t>，</w:t>
            </w:r>
            <w:r>
              <w:rPr>
                <w:rFonts w:hint="eastAsia" w:hAnsi="宋体"/>
                <w:color w:val="000000" w:themeColor="text1"/>
                <w:sz w:val="24"/>
                <w:highlight w:val="none"/>
                <w14:textFill>
                  <w14:solidFill>
                    <w14:schemeClr w14:val="tx1"/>
                  </w14:solidFill>
                </w14:textFill>
              </w:rPr>
              <w:t>园区</w:t>
            </w:r>
            <w:r>
              <w:rPr>
                <w:rFonts w:hAnsi="宋体"/>
                <w:color w:val="000000" w:themeColor="text1"/>
                <w:sz w:val="24"/>
                <w:highlight w:val="none"/>
                <w14:textFill>
                  <w14:solidFill>
                    <w14:schemeClr w14:val="tx1"/>
                  </w14:solidFill>
                </w14:textFill>
              </w:rPr>
              <w:t>内</w:t>
            </w:r>
            <w:r>
              <w:rPr>
                <w:rFonts w:hint="eastAsia" w:hAnsi="宋体"/>
                <w:color w:val="000000" w:themeColor="text1"/>
                <w:sz w:val="24"/>
                <w:highlight w:val="none"/>
                <w14:textFill>
                  <w14:solidFill>
                    <w14:schemeClr w14:val="tx1"/>
                  </w14:solidFill>
                </w14:textFill>
              </w:rPr>
              <w:t>配套20</w:t>
            </w:r>
            <w:r>
              <w:rPr>
                <w:color w:val="000000" w:themeColor="text1"/>
                <w:sz w:val="24"/>
                <w:highlight w:val="none"/>
                <w14:textFill>
                  <w14:solidFill>
                    <w14:schemeClr w14:val="tx1"/>
                  </w14:solidFill>
                </w14:textFill>
              </w:rPr>
              <w:t>m³</w:t>
            </w:r>
            <w:r>
              <w:rPr>
                <w:rFonts w:hAnsi="宋体"/>
                <w:color w:val="000000" w:themeColor="text1"/>
                <w:sz w:val="24"/>
                <w:highlight w:val="none"/>
                <w14:textFill>
                  <w14:solidFill>
                    <w14:schemeClr w14:val="tx1"/>
                  </w14:solidFill>
                </w14:textFill>
              </w:rPr>
              <w:t>化粪池可满足厂区内生活污水处理需求。</w:t>
            </w:r>
            <w:r>
              <w:rPr>
                <w:rFonts w:hint="eastAsia"/>
                <w:color w:val="000000" w:themeColor="text1"/>
                <w:sz w:val="24"/>
                <w:highlight w:val="none"/>
                <w14:textFill>
                  <w14:solidFill>
                    <w14:schemeClr w14:val="tx1"/>
                  </w14:solidFill>
                </w14:textFill>
              </w:rPr>
              <w:t>福建乐翔服饰制造有限公司</w:t>
            </w:r>
            <w:r>
              <w:rPr>
                <w:rFonts w:hint="eastAsia"/>
                <w:color w:val="000000" w:themeColor="text1"/>
                <w:sz w:val="24"/>
                <w:highlight w:val="none"/>
                <w:lang w:eastAsia="zh-CN"/>
                <w14:textFill>
                  <w14:solidFill>
                    <w14:schemeClr w14:val="tx1"/>
                  </w14:solidFill>
                </w14:textFill>
              </w:rPr>
              <w:t>同意本项目生活污水纳入厂区统一处理情况说明详见附件</w:t>
            </w:r>
            <w:r>
              <w:rPr>
                <w:rFonts w:hint="eastAsia"/>
                <w:color w:val="000000" w:themeColor="text1"/>
                <w:sz w:val="24"/>
                <w:highlight w:val="none"/>
                <w:lang w:val="en-US" w:eastAsia="zh-CN"/>
                <w14:textFill>
                  <w14:solidFill>
                    <w14:schemeClr w14:val="tx1"/>
                  </w14:solidFill>
                </w14:textFill>
              </w:rPr>
              <w:t>12。</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4</w:t>
            </w:r>
            <w:r>
              <w:rPr>
                <w:rFonts w:hAnsi="宋体"/>
                <w:color w:val="000000" w:themeColor="text1"/>
                <w:sz w:val="24"/>
                <w:highlight w:val="none"/>
                <w14:textFill>
                  <w14:solidFill>
                    <w14:schemeClr w14:val="tx1"/>
                  </w14:solidFill>
                </w14:textFill>
              </w:rPr>
              <w:t>）依托福清市融元污水厂可行性分析</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①福清市融元污水厂概况</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福清市融元污水处理厂为城市二级污水处理厂，厂址位于福清市龙山街道玉塘村，规划远期总规模为</w:t>
            </w:r>
            <w:r>
              <w:rPr>
                <w:color w:val="000000" w:themeColor="text1"/>
                <w:sz w:val="24"/>
                <w:highlight w:val="none"/>
                <w14:textFill>
                  <w14:solidFill>
                    <w14:schemeClr w14:val="tx1"/>
                  </w14:solidFill>
                </w14:textFill>
              </w:rPr>
              <w:t>18</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，工程分三期实施，现状（已实施的一期及二期工程）规模为</w:t>
            </w:r>
            <w:r>
              <w:rPr>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，远期扩建规模为</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。工程的规划建设年限为：近期</w:t>
            </w:r>
            <w:r>
              <w:rPr>
                <w:color w:val="000000" w:themeColor="text1"/>
                <w:sz w:val="24"/>
                <w:highlight w:val="none"/>
                <w14:textFill>
                  <w14:solidFill>
                    <w14:schemeClr w14:val="tx1"/>
                  </w14:solidFill>
                </w14:textFill>
              </w:rPr>
              <w:t>2020</w:t>
            </w:r>
            <w:r>
              <w:rPr>
                <w:rFonts w:hAnsi="宋体"/>
                <w:color w:val="000000" w:themeColor="text1"/>
                <w:sz w:val="24"/>
                <w:highlight w:val="none"/>
                <w14:textFill>
                  <w14:solidFill>
                    <w14:schemeClr w14:val="tx1"/>
                  </w14:solidFill>
                </w14:textFill>
              </w:rPr>
              <w:t>年，远期</w:t>
            </w:r>
            <w:r>
              <w:rPr>
                <w:color w:val="000000" w:themeColor="text1"/>
                <w:sz w:val="24"/>
                <w:highlight w:val="none"/>
                <w14:textFill>
                  <w14:solidFill>
                    <w14:schemeClr w14:val="tx1"/>
                  </w14:solidFill>
                </w14:textFill>
              </w:rPr>
              <w:t>2030</w:t>
            </w:r>
            <w:r>
              <w:rPr>
                <w:rFonts w:hAnsi="宋体"/>
                <w:color w:val="000000" w:themeColor="text1"/>
                <w:sz w:val="24"/>
                <w:highlight w:val="none"/>
                <w14:textFill>
                  <w14:solidFill>
                    <w14:schemeClr w14:val="tx1"/>
                  </w14:solidFill>
                </w14:textFill>
              </w:rPr>
              <w:t>年。</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福清市融元污水厂现有处理规模为</w:t>
            </w:r>
            <w:r>
              <w:rPr>
                <w:color w:val="000000" w:themeColor="text1"/>
                <w:sz w:val="24"/>
                <w:highlight w:val="none"/>
                <w14:textFill>
                  <w14:solidFill>
                    <w14:schemeClr w14:val="tx1"/>
                  </w14:solidFill>
                </w14:textFill>
              </w:rPr>
              <w:t>12</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，尾水排放口设置在猪母湾西南岸，排入龙江；所产生的污泥经过带式浓缩脱水一体机处理，被送往海口镇为民生物科技公司制作成堆肥。一期工程于</w:t>
            </w:r>
            <w:r>
              <w:rPr>
                <w:color w:val="000000" w:themeColor="text1"/>
                <w:sz w:val="24"/>
                <w:highlight w:val="none"/>
                <w14:textFill>
                  <w14:solidFill>
                    <w14:schemeClr w14:val="tx1"/>
                  </w14:solidFill>
                </w14:textFill>
              </w:rPr>
              <w:t>2008</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1</w:t>
            </w:r>
            <w:r>
              <w:rPr>
                <w:rFonts w:hAnsi="宋体"/>
                <w:color w:val="000000" w:themeColor="text1"/>
                <w:sz w:val="24"/>
                <w:highlight w:val="none"/>
                <w14:textFill>
                  <w14:solidFill>
                    <w14:schemeClr w14:val="tx1"/>
                  </w14:solidFill>
                </w14:textFill>
              </w:rPr>
              <w:t>月通过了竣工环保验收；二期工程于</w:t>
            </w:r>
            <w:r>
              <w:rPr>
                <w:color w:val="000000" w:themeColor="text1"/>
                <w:sz w:val="24"/>
                <w:highlight w:val="none"/>
                <w14:textFill>
                  <w14:solidFill>
                    <w14:schemeClr w14:val="tx1"/>
                  </w14:solidFill>
                </w14:textFill>
              </w:rPr>
              <w:t>2014</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5</w:t>
            </w:r>
            <w:r>
              <w:rPr>
                <w:rFonts w:hAnsi="宋体"/>
                <w:color w:val="000000" w:themeColor="text1"/>
                <w:sz w:val="24"/>
                <w:highlight w:val="none"/>
                <w14:textFill>
                  <w14:solidFill>
                    <w14:schemeClr w14:val="tx1"/>
                  </w14:solidFill>
                </w14:textFill>
              </w:rPr>
              <w:t>月通过了竣工环保验收。</w:t>
            </w:r>
            <w:r>
              <w:rPr>
                <w:color w:val="000000" w:themeColor="text1"/>
                <w:sz w:val="24"/>
                <w:highlight w:val="none"/>
                <w14:textFill>
                  <w14:solidFill>
                    <w14:schemeClr w14:val="tx1"/>
                  </w14:solidFill>
                </w14:textFill>
              </w:rPr>
              <w:t>2014</w:t>
            </w:r>
            <w:r>
              <w:rPr>
                <w:rFonts w:hAnsi="宋体"/>
                <w:color w:val="000000" w:themeColor="text1"/>
                <w:sz w:val="24"/>
                <w:highlight w:val="none"/>
                <w14:textFill>
                  <w14:solidFill>
                    <w14:schemeClr w14:val="tx1"/>
                  </w14:solidFill>
                </w14:textFill>
              </w:rPr>
              <w:t>年以来福清市融元污水处理厂出水水质效果好，能够满足一级</w:t>
            </w:r>
            <w:r>
              <w:rPr>
                <w:color w:val="000000" w:themeColor="text1"/>
                <w:sz w:val="24"/>
                <w:highlight w:val="none"/>
                <w14:textFill>
                  <w14:solidFill>
                    <w14:schemeClr w14:val="tx1"/>
                  </w14:solidFill>
                </w14:textFill>
              </w:rPr>
              <w:t>B</w:t>
            </w:r>
            <w:r>
              <w:rPr>
                <w:rFonts w:hAnsi="宋体"/>
                <w:color w:val="000000" w:themeColor="text1"/>
                <w:sz w:val="24"/>
                <w:highlight w:val="none"/>
                <w14:textFill>
                  <w14:solidFill>
                    <w14:schemeClr w14:val="tx1"/>
                  </w14:solidFill>
                </w14:textFill>
              </w:rPr>
              <w:t>标准的排放要求。</w:t>
            </w:r>
          </w:p>
          <w:p>
            <w:pPr>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2016</w:t>
            </w:r>
            <w:r>
              <w:rPr>
                <w:rFonts w:hAnsi="宋体"/>
                <w:color w:val="000000" w:themeColor="text1"/>
                <w:sz w:val="24"/>
                <w:highlight w:val="none"/>
                <w14:textFill>
                  <w14:solidFill>
                    <w14:schemeClr w14:val="tx1"/>
                  </w14:solidFill>
                </w14:textFill>
              </w:rPr>
              <w:t>年</w:t>
            </w:r>
            <w:r>
              <w:rPr>
                <w:color w:val="000000" w:themeColor="text1"/>
                <w:sz w:val="24"/>
                <w:highlight w:val="none"/>
                <w14:textFill>
                  <w14:solidFill>
                    <w14:schemeClr w14:val="tx1"/>
                  </w14:solidFill>
                </w14:textFill>
              </w:rPr>
              <w:t>10</w:t>
            </w:r>
            <w:r>
              <w:rPr>
                <w:rFonts w:hAnsi="宋体"/>
                <w:color w:val="000000" w:themeColor="text1"/>
                <w:sz w:val="24"/>
                <w:highlight w:val="none"/>
                <w14:textFill>
                  <w14:solidFill>
                    <w14:schemeClr w14:val="tx1"/>
                  </w14:solidFill>
                </w14:textFill>
              </w:rPr>
              <w:t>月，福清黎阳水务有限公司对现状福清市融元污水处理厂厂内提标及改造，本次提标改造工程按近期规模</w:t>
            </w:r>
            <w:r>
              <w:rPr>
                <w:color w:val="000000" w:themeColor="text1"/>
                <w:sz w:val="24"/>
                <w:highlight w:val="none"/>
                <w14:textFill>
                  <w14:solidFill>
                    <w14:schemeClr w14:val="tx1"/>
                  </w14:solidFill>
                </w14:textFill>
              </w:rPr>
              <w:t>12.0</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设计和建设，主要技改内容：技改后一期工程降低处理负荷，污水处理规模由</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调整为</w:t>
            </w:r>
            <w:r>
              <w:rPr>
                <w:color w:val="000000" w:themeColor="text1"/>
                <w:sz w:val="24"/>
                <w:highlight w:val="none"/>
                <w14:textFill>
                  <w14:solidFill>
                    <w14:schemeClr w14:val="tx1"/>
                  </w14:solidFill>
                </w14:textFill>
              </w:rPr>
              <w:t>4</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运行，并在现有一期工程生化池基础上增设化学除磷和投加碳源措施，以进一步改善出水水质。厂区原二期工程提标后污水处理规模由</w:t>
            </w:r>
            <w:r>
              <w:rPr>
                <w:color w:val="000000" w:themeColor="text1"/>
                <w:sz w:val="24"/>
                <w:highlight w:val="none"/>
                <w14:textFill>
                  <w14:solidFill>
                    <w14:schemeClr w14:val="tx1"/>
                  </w14:solidFill>
                </w14:textFill>
              </w:rPr>
              <w:t>6</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调整为</w:t>
            </w:r>
            <w:r>
              <w:rPr>
                <w:color w:val="000000" w:themeColor="text1"/>
                <w:sz w:val="24"/>
                <w:highlight w:val="none"/>
                <w14:textFill>
                  <w14:solidFill>
                    <w14:schemeClr w14:val="tx1"/>
                  </w14:solidFill>
                </w14:textFill>
              </w:rPr>
              <w:t>8</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运行，旋流沉砂池出水与生化池进水管之间增设精细格栅间，在现有二期工程生化池基础上增设化学除磷和投加碳源措施、在缺氧池至厌氧池之间、好氧池与缺氧池之间改造污泥回流泵、在现有生化处理池基础上改造新增</w:t>
            </w:r>
            <w:r>
              <w:rPr>
                <w:color w:val="000000" w:themeColor="text1"/>
                <w:sz w:val="24"/>
                <w:highlight w:val="none"/>
                <w14:textFill>
                  <w14:solidFill>
                    <w14:schemeClr w14:val="tx1"/>
                  </w14:solidFill>
                </w14:textFill>
              </w:rPr>
              <w:t>MP-MBR</w:t>
            </w:r>
            <w:r>
              <w:rPr>
                <w:rFonts w:hAnsi="宋体"/>
                <w:color w:val="000000" w:themeColor="text1"/>
                <w:sz w:val="24"/>
                <w:highlight w:val="none"/>
                <w14:textFill>
                  <w14:solidFill>
                    <w14:schemeClr w14:val="tx1"/>
                  </w14:solidFill>
                </w14:textFill>
              </w:rPr>
              <w:t>膜系统，改造后污水处理工艺详见图</w:t>
            </w:r>
            <w:r>
              <w:rPr>
                <w:color w:val="000000" w:themeColor="text1"/>
                <w:sz w:val="24"/>
                <w:highlight w:val="none"/>
                <w14:textFill>
                  <w14:solidFill>
                    <w14:schemeClr w14:val="tx1"/>
                  </w14:solidFill>
                </w14:textFill>
              </w:rPr>
              <w:t>4.2-1</w:t>
            </w:r>
            <w:r>
              <w:rPr>
                <w:rFonts w:hAnsi="宋体"/>
                <w:color w:val="000000" w:themeColor="text1"/>
                <w:sz w:val="24"/>
                <w:highlight w:val="none"/>
                <w14:textFill>
                  <w14:solidFill>
                    <w14:schemeClr w14:val="tx1"/>
                  </w14:solidFill>
                </w14:textFill>
              </w:rPr>
              <w:t>。</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根据调查，目前福清市融元污水处理厂厂内提标及改造工程已经完成并正常使用，平均处理规模约为</w:t>
            </w:r>
            <w:r>
              <w:rPr>
                <w:color w:val="000000" w:themeColor="text1"/>
                <w:sz w:val="24"/>
                <w:highlight w:val="none"/>
                <w14:textFill>
                  <w14:solidFill>
                    <w14:schemeClr w14:val="tx1"/>
                  </w14:solidFill>
                </w14:textFill>
              </w:rPr>
              <w:t>11.85</w:t>
            </w:r>
            <w:r>
              <w:rPr>
                <w:rFonts w:hAnsi="宋体"/>
                <w:color w:val="000000" w:themeColor="text1"/>
                <w:sz w:val="24"/>
                <w:highlight w:val="none"/>
                <w14:textFill>
                  <w14:solidFill>
                    <w14:schemeClr w14:val="tx1"/>
                  </w14:solidFill>
                </w14:textFill>
              </w:rPr>
              <w:t>万</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w:t>
            </w:r>
            <w:r>
              <w:rPr>
                <w:rFonts w:hAnsi="宋体"/>
                <w:color w:val="000000" w:themeColor="text1"/>
                <w:sz w:val="24"/>
                <w:highlight w:val="none"/>
                <w14:textFill>
                  <w14:solidFill>
                    <w14:schemeClr w14:val="tx1"/>
                  </w14:solidFill>
                </w14:textFill>
              </w:rPr>
              <w:t>，处理后的尾水执行《城镇污水处理厂污染物排放标准》</w:t>
            </w:r>
            <w:r>
              <w:rPr>
                <w:color w:val="000000" w:themeColor="text1"/>
                <w:sz w:val="24"/>
                <w:highlight w:val="none"/>
                <w14:textFill>
                  <w14:solidFill>
                    <w14:schemeClr w14:val="tx1"/>
                  </w14:solidFill>
                </w14:textFill>
              </w:rPr>
              <w:t>(GB18918-2002)</w:t>
            </w:r>
            <w:r>
              <w:rPr>
                <w:rFonts w:hAnsi="宋体"/>
                <w:color w:val="000000" w:themeColor="text1"/>
                <w:sz w:val="24"/>
                <w:highlight w:val="none"/>
                <w14:textFill>
                  <w14:solidFill>
                    <w14:schemeClr w14:val="tx1"/>
                  </w14:solidFill>
                </w14:textFill>
              </w:rPr>
              <w:t>及其修改单中的一级</w:t>
            </w:r>
            <w:r>
              <w:rPr>
                <w:color w:val="000000" w:themeColor="text1"/>
                <w:sz w:val="24"/>
                <w:highlight w:val="none"/>
                <w14:textFill>
                  <w14:solidFill>
                    <w14:schemeClr w14:val="tx1"/>
                  </w14:solidFill>
                </w14:textFill>
              </w:rPr>
              <w:t>A</w:t>
            </w:r>
            <w:r>
              <w:rPr>
                <w:rFonts w:hAnsi="宋体"/>
                <w:color w:val="000000" w:themeColor="text1"/>
                <w:sz w:val="24"/>
                <w:highlight w:val="none"/>
                <w14:textFill>
                  <w14:solidFill>
                    <w14:schemeClr w14:val="tx1"/>
                  </w14:solidFill>
                </w14:textFill>
              </w:rPr>
              <w:t>标准，尾水排放龙江。</w:t>
            </w:r>
          </w:p>
          <w:p>
            <w:pPr>
              <w:pStyle w:val="188"/>
              <w:ind w:firstLine="0" w:firstLineChars="0"/>
              <w:jc w:val="left"/>
              <w:rPr>
                <w:rFonts w:eastAsia="宋体"/>
                <w:color w:val="000000" w:themeColor="text1"/>
                <w:kern w:val="44"/>
                <w:szCs w:val="24"/>
                <w:highlight w:val="none"/>
                <w14:textFill>
                  <w14:solidFill>
                    <w14:schemeClr w14:val="tx1"/>
                  </w14:solidFill>
                </w14:textFill>
              </w:rPr>
            </w:pPr>
            <w:r>
              <w:rPr>
                <w:rFonts w:eastAsia="宋体"/>
                <w:color w:val="000000" w:themeColor="text1"/>
                <w:kern w:val="44"/>
                <w:szCs w:val="24"/>
                <w:highlight w:val="none"/>
                <w:lang w:val="en-US" w:bidi="ar-SA"/>
                <w14:textFill>
                  <w14:solidFill>
                    <w14:schemeClr w14:val="tx1"/>
                  </w14:solidFill>
                </w14:textFill>
              </w:rPr>
              <w:drawing>
                <wp:inline distT="0" distB="0" distL="0" distR="0">
                  <wp:extent cx="5556885" cy="3239135"/>
                  <wp:effectExtent l="19050" t="0" r="5137" b="0"/>
                  <wp:docPr id="42" name="图片 7" descr="C:\Users\ADMINI~1\AppData\Local\Temp\16811144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DMINI~1\AppData\Local\Temp\1681114458(1).png"/>
                          <pic:cNvPicPr>
                            <a:picLocks noChangeAspect="1" noChangeArrowheads="1"/>
                          </pic:cNvPicPr>
                        </pic:nvPicPr>
                        <pic:blipFill>
                          <a:blip r:embed="rId19"/>
                          <a:srcRect/>
                          <a:stretch>
                            <a:fillRect/>
                          </a:stretch>
                        </pic:blipFill>
                        <pic:spPr>
                          <a:xfrm>
                            <a:off x="0" y="0"/>
                            <a:ext cx="5561048" cy="3241401"/>
                          </a:xfrm>
                          <a:prstGeom prst="rect">
                            <a:avLst/>
                          </a:prstGeom>
                          <a:noFill/>
                          <a:ln w="9525">
                            <a:noFill/>
                            <a:miter lim="800000"/>
                            <a:headEnd/>
                            <a:tailEnd/>
                          </a:ln>
                        </pic:spPr>
                      </pic:pic>
                    </a:graphicData>
                  </a:graphic>
                </wp:inline>
              </w:drawing>
            </w:r>
          </w:p>
          <w:p>
            <w:pPr>
              <w:pStyle w:val="188"/>
              <w:ind w:firstLine="482"/>
              <w:rPr>
                <w:rFonts w:eastAsia="宋体"/>
                <w:b/>
                <w:color w:val="000000" w:themeColor="text1"/>
                <w:szCs w:val="24"/>
                <w:highlight w:val="none"/>
                <w14:textFill>
                  <w14:solidFill>
                    <w14:schemeClr w14:val="tx1"/>
                  </w14:solidFill>
                </w14:textFill>
              </w:rPr>
            </w:pPr>
            <w:r>
              <w:rPr>
                <w:rFonts w:hAnsi="宋体" w:eastAsia="宋体"/>
                <w:b/>
                <w:color w:val="000000" w:themeColor="text1"/>
                <w:szCs w:val="24"/>
                <w:highlight w:val="none"/>
                <w14:textFill>
                  <w14:solidFill>
                    <w14:schemeClr w14:val="tx1"/>
                  </w14:solidFill>
                </w14:textFill>
              </w:rPr>
              <w:t>图</w:t>
            </w:r>
            <w:r>
              <w:rPr>
                <w:rFonts w:eastAsia="宋体"/>
                <w:b/>
                <w:color w:val="000000" w:themeColor="text1"/>
                <w:szCs w:val="24"/>
                <w:highlight w:val="none"/>
                <w14:textFill>
                  <w14:solidFill>
                    <w14:schemeClr w14:val="tx1"/>
                  </w14:solidFill>
                </w14:textFill>
              </w:rPr>
              <w:t>4.2-1</w:t>
            </w:r>
            <w:r>
              <w:rPr>
                <w:rFonts w:hAnsi="宋体" w:eastAsia="宋体"/>
                <w:b/>
                <w:color w:val="000000" w:themeColor="text1"/>
                <w:szCs w:val="24"/>
                <w:highlight w:val="none"/>
                <w14:textFill>
                  <w14:solidFill>
                    <w14:schemeClr w14:val="tx1"/>
                  </w14:solidFill>
                </w14:textFill>
              </w:rPr>
              <w:t>福清融元污水处理厂处理污水处理流程图</w:t>
            </w:r>
          </w:p>
          <w:p>
            <w:pPr>
              <w:spacing w:line="360" w:lineRule="auto"/>
              <w:ind w:firstLine="480"/>
              <w:rPr>
                <w:rFonts w:hint="eastAsia" w:hAnsi="宋体"/>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②纳管可行性</w:t>
            </w:r>
          </w:p>
          <w:p>
            <w:pPr>
              <w:pStyle w:val="186"/>
              <w:ind w:firstLine="480"/>
              <w:rPr>
                <w:rFonts w:hint="eastAsia" w:hAnsi="宋体"/>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根据建设单位提供的</w:t>
            </w:r>
            <w:r>
              <w:rPr>
                <w:rFonts w:hint="eastAsia" w:hAnsi="宋体"/>
                <w:color w:val="000000" w:themeColor="text1"/>
                <w:szCs w:val="24"/>
                <w:highlight w:val="none"/>
                <w14:textFill>
                  <w14:solidFill>
                    <w14:schemeClr w14:val="tx1"/>
                  </w14:solidFill>
                </w14:textFill>
              </w:rPr>
              <w:t>排水许可证（详见附件7）</w:t>
            </w:r>
            <w:r>
              <w:rPr>
                <w:rFonts w:hAnsi="宋体"/>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福建乐翔服饰制造有限公司雨污排放管道已接入</w:t>
            </w:r>
            <w:r>
              <w:rPr>
                <w:rFonts w:hAnsi="宋体"/>
                <w:color w:val="000000" w:themeColor="text1"/>
                <w:szCs w:val="24"/>
                <w:highlight w:val="none"/>
                <w14:textFill>
                  <w14:solidFill>
                    <w14:schemeClr w14:val="tx1"/>
                  </w14:solidFill>
                </w14:textFill>
              </w:rPr>
              <w:t>市政污水管网</w:t>
            </w:r>
            <w:r>
              <w:rPr>
                <w:rFonts w:hint="eastAsia" w:hAnsi="宋体"/>
                <w:color w:val="000000" w:themeColor="text1"/>
                <w:szCs w:val="24"/>
                <w:highlight w:val="none"/>
                <w14:textFill>
                  <w14:solidFill>
                    <w14:schemeClr w14:val="tx1"/>
                  </w14:solidFill>
                </w14:textFill>
              </w:rPr>
              <w:t>（洪宽二路污水管、雨水管）</w:t>
            </w:r>
            <w:r>
              <w:rPr>
                <w:rFonts w:hAnsi="宋体"/>
                <w:color w:val="000000" w:themeColor="text1"/>
                <w:szCs w:val="24"/>
                <w:highlight w:val="none"/>
                <w14:textFill>
                  <w14:solidFill>
                    <w14:schemeClr w14:val="tx1"/>
                  </w14:solidFill>
                </w14:textFill>
              </w:rPr>
              <w:t>，</w:t>
            </w:r>
            <w:r>
              <w:rPr>
                <w:rFonts w:hint="eastAsia"/>
                <w:color w:val="000000" w:themeColor="text1"/>
                <w:highlight w:val="none"/>
                <w14:textFill>
                  <w14:solidFill>
                    <w14:schemeClr w14:val="tx1"/>
                  </w14:solidFill>
                </w14:textFill>
              </w:rPr>
              <w:t>红树林（福州）智能家居有限公司</w:t>
            </w:r>
            <w:r>
              <w:rPr>
                <w:rFonts w:hint="eastAsia" w:hAnsi="宋体"/>
                <w:color w:val="000000" w:themeColor="text1"/>
                <w:szCs w:val="24"/>
                <w:highlight w:val="none"/>
                <w14:textFill>
                  <w14:solidFill>
                    <w14:schemeClr w14:val="tx1"/>
                  </w14:solidFill>
                </w14:textFill>
              </w:rPr>
              <w:t>运营期外排废水</w:t>
            </w:r>
            <w:r>
              <w:rPr>
                <w:rFonts w:hAnsi="宋体"/>
                <w:color w:val="000000" w:themeColor="text1"/>
                <w:szCs w:val="24"/>
                <w:highlight w:val="none"/>
                <w14:textFill>
                  <w14:solidFill>
                    <w14:schemeClr w14:val="tx1"/>
                  </w14:solidFill>
                </w14:textFill>
              </w:rPr>
              <w:t>可经市政污水管网排入福清融元污水处理厂。</w:t>
            </w:r>
          </w:p>
          <w:p>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③污水量影响分析</w:t>
            </w:r>
          </w:p>
          <w:p>
            <w:pPr>
              <w:pStyle w:val="186"/>
              <w:ind w:firstLine="480"/>
              <w:rPr>
                <w:color w:val="000000" w:themeColor="text1"/>
                <w:szCs w:val="24"/>
                <w:highlight w:val="none"/>
                <w14:textFill>
                  <w14:solidFill>
                    <w14:schemeClr w14:val="tx1"/>
                  </w14:solidFill>
                </w14:textFill>
              </w:rPr>
            </w:pPr>
            <w:r>
              <w:rPr>
                <w:rFonts w:hAnsi="宋体"/>
                <w:color w:val="000000" w:themeColor="text1"/>
                <w:szCs w:val="24"/>
                <w:highlight w:val="none"/>
                <w14:textFill>
                  <w14:solidFill>
                    <w14:schemeClr w14:val="tx1"/>
                  </w14:solidFill>
                </w14:textFill>
              </w:rPr>
              <w:t>根据调查，目前福清市融元污水处理厂厂内提标及改造工程已经完成并正常使用，平均处理规模约为</w:t>
            </w:r>
            <w:r>
              <w:rPr>
                <w:color w:val="000000" w:themeColor="text1"/>
                <w:szCs w:val="24"/>
                <w:highlight w:val="none"/>
                <w14:textFill>
                  <w14:solidFill>
                    <w14:schemeClr w14:val="tx1"/>
                  </w14:solidFill>
                </w14:textFill>
              </w:rPr>
              <w:t>11.85</w:t>
            </w:r>
            <w:r>
              <w:rPr>
                <w:rFonts w:hAnsi="宋体"/>
                <w:color w:val="000000" w:themeColor="text1"/>
                <w:szCs w:val="24"/>
                <w:highlight w:val="none"/>
                <w14:textFill>
                  <w14:solidFill>
                    <w14:schemeClr w14:val="tx1"/>
                  </w14:solidFill>
                </w14:textFill>
              </w:rPr>
              <w:t>万</w:t>
            </w:r>
            <w:r>
              <w:rPr>
                <w:color w:val="000000" w:themeColor="text1"/>
                <w:szCs w:val="24"/>
                <w:highlight w:val="none"/>
                <w14:textFill>
                  <w14:solidFill>
                    <w14:schemeClr w14:val="tx1"/>
                  </w14:solidFill>
                </w14:textFill>
              </w:rPr>
              <w:t>m</w:t>
            </w:r>
            <w:r>
              <w:rPr>
                <w:color w:val="000000" w:themeColor="text1"/>
                <w:szCs w:val="24"/>
                <w:highlight w:val="none"/>
                <w:vertAlign w:val="superscript"/>
                <w14:textFill>
                  <w14:solidFill>
                    <w14:schemeClr w14:val="tx1"/>
                  </w14:solidFill>
                </w14:textFill>
              </w:rPr>
              <w:t>3</w:t>
            </w:r>
            <w:r>
              <w:rPr>
                <w:color w:val="000000" w:themeColor="text1"/>
                <w:szCs w:val="24"/>
                <w:highlight w:val="none"/>
                <w14:textFill>
                  <w14:solidFill>
                    <w14:schemeClr w14:val="tx1"/>
                  </w14:solidFill>
                </w14:textFill>
              </w:rPr>
              <w:t>/d</w:t>
            </w:r>
            <w:r>
              <w:rPr>
                <w:rFonts w:hAnsi="宋体"/>
                <w:color w:val="000000" w:themeColor="text1"/>
                <w:szCs w:val="24"/>
                <w:highlight w:val="none"/>
                <w14:textFill>
                  <w14:solidFill>
                    <w14:schemeClr w14:val="tx1"/>
                  </w14:solidFill>
                </w14:textFill>
              </w:rPr>
              <w:t>，剩余处理能力</w:t>
            </w:r>
            <w:r>
              <w:rPr>
                <w:color w:val="000000" w:themeColor="text1"/>
                <w:szCs w:val="24"/>
                <w:highlight w:val="none"/>
                <w14:textFill>
                  <w14:solidFill>
                    <w14:schemeClr w14:val="tx1"/>
                  </w14:solidFill>
                </w14:textFill>
              </w:rPr>
              <w:t>1500m³/d</w:t>
            </w:r>
            <w:r>
              <w:rPr>
                <w:rFonts w:hAnsi="宋体"/>
                <w:color w:val="000000" w:themeColor="text1"/>
                <w:szCs w:val="24"/>
                <w:highlight w:val="none"/>
                <w14:textFill>
                  <w14:solidFill>
                    <w14:schemeClr w14:val="tx1"/>
                  </w14:solidFill>
                </w14:textFill>
              </w:rPr>
              <w:t>。本</w:t>
            </w:r>
            <w:r>
              <w:rPr>
                <w:rFonts w:hint="eastAsia" w:hAnsi="宋体"/>
                <w:color w:val="000000" w:themeColor="text1"/>
                <w:szCs w:val="24"/>
                <w:highlight w:val="none"/>
                <w14:textFill>
                  <w14:solidFill>
                    <w14:schemeClr w14:val="tx1"/>
                  </w14:solidFill>
                </w14:textFill>
              </w:rPr>
              <w:t>项目</w:t>
            </w:r>
            <w:r>
              <w:rPr>
                <w:rFonts w:hAnsi="宋体"/>
                <w:color w:val="000000" w:themeColor="text1"/>
                <w:szCs w:val="24"/>
                <w:highlight w:val="none"/>
                <w14:textFill>
                  <w14:solidFill>
                    <w14:schemeClr w14:val="tx1"/>
                  </w14:solidFill>
                </w14:textFill>
              </w:rPr>
              <w:t>生</w:t>
            </w:r>
            <w:r>
              <w:rPr>
                <w:rFonts w:hint="eastAsia" w:hAnsi="宋体"/>
                <w:color w:val="000000" w:themeColor="text1"/>
                <w:szCs w:val="24"/>
                <w:highlight w:val="none"/>
                <w:lang w:eastAsia="zh-CN"/>
                <w14:textFill>
                  <w14:solidFill>
                    <w14:schemeClr w14:val="tx1"/>
                  </w14:solidFill>
                </w14:textFill>
              </w:rPr>
              <w:t>扩建后</w:t>
            </w:r>
            <w:r>
              <w:rPr>
                <w:rFonts w:hAnsi="宋体"/>
                <w:color w:val="000000" w:themeColor="text1"/>
                <w:szCs w:val="24"/>
                <w:highlight w:val="none"/>
                <w14:textFill>
                  <w14:solidFill>
                    <w14:schemeClr w14:val="tx1"/>
                  </w14:solidFill>
                </w14:textFill>
              </w:rPr>
              <w:t>活污水排放量</w:t>
            </w:r>
            <w:r>
              <w:rPr>
                <w:rFonts w:hint="eastAsia"/>
                <w:color w:val="000000" w:themeColor="text1"/>
                <w:szCs w:val="24"/>
                <w:highlight w:val="none"/>
                <w14:textFill>
                  <w14:solidFill>
                    <w14:schemeClr w14:val="tx1"/>
                  </w14:solidFill>
                </w14:textFill>
              </w:rPr>
              <w:t>0.24</w:t>
            </w:r>
            <w:r>
              <w:rPr>
                <w:color w:val="000000" w:themeColor="text1"/>
                <w:szCs w:val="24"/>
                <w:highlight w:val="none"/>
                <w14:textFill>
                  <w14:solidFill>
                    <w14:schemeClr w14:val="tx1"/>
                  </w14:solidFill>
                </w14:textFill>
              </w:rPr>
              <w:t>t/d</w:t>
            </w:r>
            <w:r>
              <w:rPr>
                <w:rFonts w:hAnsi="宋体"/>
                <w:color w:val="000000" w:themeColor="text1"/>
                <w:szCs w:val="24"/>
                <w:highlight w:val="none"/>
                <w14:textFill>
                  <w14:solidFill>
                    <w14:schemeClr w14:val="tx1"/>
                  </w14:solidFill>
                </w14:textFill>
              </w:rPr>
              <w:t>，占剩余处理能力的</w:t>
            </w:r>
            <w:r>
              <w:rPr>
                <w:rFonts w:hint="eastAsia"/>
                <w:color w:val="000000" w:themeColor="text1"/>
                <w:szCs w:val="24"/>
                <w:highlight w:val="none"/>
                <w14:textFill>
                  <w14:solidFill>
                    <w14:schemeClr w14:val="tx1"/>
                  </w14:solidFill>
                </w14:textFill>
              </w:rPr>
              <w:t>0.00016</w:t>
            </w:r>
            <w:r>
              <w:rPr>
                <w:color w:val="000000" w:themeColor="text1"/>
                <w:szCs w:val="24"/>
                <w:highlight w:val="none"/>
                <w14:textFill>
                  <w14:solidFill>
                    <w14:schemeClr w14:val="tx1"/>
                  </w14:solidFill>
                </w14:textFill>
              </w:rPr>
              <w:t>%</w:t>
            </w:r>
            <w:r>
              <w:rPr>
                <w:rFonts w:hAnsi="宋体"/>
                <w:color w:val="000000" w:themeColor="text1"/>
                <w:szCs w:val="24"/>
                <w:highlight w:val="none"/>
                <w14:textFill>
                  <w14:solidFill>
                    <w14:schemeClr w14:val="tx1"/>
                  </w14:solidFill>
                </w14:textFill>
              </w:rPr>
              <w:t>，项目废水排放水量不会对污水厂造成负荷冲击，可纳入污水处理厂处理。</w:t>
            </w:r>
          </w:p>
          <w:p>
            <w:pPr>
              <w:spacing w:line="360" w:lineRule="auto"/>
              <w:ind w:firstLine="480"/>
              <w:rPr>
                <w:color w:val="000000" w:themeColor="text1"/>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④水质影响分析</w:t>
            </w:r>
          </w:p>
          <w:p>
            <w:pPr>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项目建成后</w:t>
            </w:r>
            <w:r>
              <w:rPr>
                <w:color w:val="000000" w:themeColor="text1"/>
                <w:sz w:val="24"/>
                <w:highlight w:val="none"/>
                <w14:textFill>
                  <w14:solidFill>
                    <w14:schemeClr w14:val="tx1"/>
                  </w14:solidFill>
                </w14:textFill>
              </w:rPr>
              <w:t>外排废水为生活污水</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厂区内生活污水经化粪池处理后可满足《污水综合排放标准</w:t>
            </w:r>
            <w:r>
              <w:rPr>
                <w:rFonts w:hAnsi="宋体"/>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GB8978-1996</w:t>
            </w:r>
            <w:r>
              <w:rPr>
                <w:rFonts w:hAnsi="宋体"/>
                <w:color w:val="000000" w:themeColor="text1"/>
                <w:sz w:val="24"/>
                <w:highlight w:val="none"/>
                <w14:textFill>
                  <w14:solidFill>
                    <w14:schemeClr w14:val="tx1"/>
                  </w14:solidFill>
                </w14:textFill>
              </w:rPr>
              <w:t>）表</w:t>
            </w:r>
            <w:r>
              <w:rPr>
                <w:color w:val="000000" w:themeColor="text1"/>
                <w:sz w:val="24"/>
                <w:highlight w:val="none"/>
                <w14:textFill>
                  <w14:solidFill>
                    <w14:schemeClr w14:val="tx1"/>
                  </w14:solidFill>
                </w14:textFill>
              </w:rPr>
              <w:t xml:space="preserve"> 4 </w:t>
            </w:r>
            <w:r>
              <w:rPr>
                <w:rFonts w:hAnsi="宋体"/>
                <w:color w:val="000000" w:themeColor="text1"/>
                <w:sz w:val="24"/>
                <w:highlight w:val="none"/>
                <w14:textFill>
                  <w14:solidFill>
                    <w14:schemeClr w14:val="tx1"/>
                  </w14:solidFill>
                </w14:textFill>
              </w:rPr>
              <w:t>中三级标准，其中氨氮满足《污水排入城镇下水道水质标准》</w:t>
            </w:r>
            <w:r>
              <w:rPr>
                <w:color w:val="000000" w:themeColor="text1"/>
                <w:sz w:val="24"/>
                <w:highlight w:val="none"/>
                <w14:textFill>
                  <w14:solidFill>
                    <w14:schemeClr w14:val="tx1"/>
                  </w14:solidFill>
                </w14:textFill>
              </w:rPr>
              <w:t>(GB/T 31962-2015)</w:t>
            </w:r>
            <w:r>
              <w:rPr>
                <w:rFonts w:hAnsi="宋体"/>
                <w:color w:val="000000" w:themeColor="text1"/>
                <w:sz w:val="24"/>
                <w:highlight w:val="none"/>
                <w14:textFill>
                  <w14:solidFill>
                    <w14:schemeClr w14:val="tx1"/>
                  </w14:solidFill>
                </w14:textFill>
              </w:rPr>
              <w:t>中</w:t>
            </w:r>
            <w:r>
              <w:rPr>
                <w:color w:val="000000" w:themeColor="text1"/>
                <w:sz w:val="24"/>
                <w:highlight w:val="none"/>
                <w14:textFill>
                  <w14:solidFill>
                    <w14:schemeClr w14:val="tx1"/>
                  </w14:solidFill>
                </w14:textFill>
              </w:rPr>
              <w:t>B</w:t>
            </w:r>
            <w:r>
              <w:rPr>
                <w:rFonts w:hAnsi="宋体"/>
                <w:color w:val="000000" w:themeColor="text1"/>
                <w:sz w:val="24"/>
                <w:highlight w:val="none"/>
                <w14:textFill>
                  <w14:solidFill>
                    <w14:schemeClr w14:val="tx1"/>
                  </w14:solidFill>
                </w14:textFill>
              </w:rPr>
              <w:t>等级标准，符合福清市融元污水处理厂纳管要求。</w:t>
            </w:r>
          </w:p>
          <w:p>
            <w:pPr>
              <w:spacing w:line="360" w:lineRule="auto"/>
              <w:ind w:firstLine="480"/>
              <w:rPr>
                <w:color w:val="000000" w:themeColor="text1"/>
                <w:highlight w:val="none"/>
                <w14:textFill>
                  <w14:solidFill>
                    <w14:schemeClr w14:val="tx1"/>
                  </w14:solidFill>
                </w14:textFill>
              </w:rPr>
            </w:pPr>
            <w:r>
              <w:rPr>
                <w:rFonts w:hAnsi="宋体"/>
                <w:color w:val="000000" w:themeColor="text1"/>
                <w:sz w:val="24"/>
                <w:highlight w:val="none"/>
                <w14:textFill>
                  <w14:solidFill>
                    <w14:schemeClr w14:val="tx1"/>
                  </w14:solidFill>
                </w14:textFill>
              </w:rPr>
              <w:t>综上，项目生活污水经化粪池处理后，经污水管网排入福清市融元污水处理厂，不会对福清市融元污水处理厂的正常运行造成不利影响，项目废水环境影响减缓措施和接管可行、有效。</w:t>
            </w:r>
          </w:p>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表4.2-2  废水类别、污染物及污染治理措施设施信息表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66"/>
              <w:gridCol w:w="740"/>
              <w:gridCol w:w="1077"/>
              <w:gridCol w:w="817"/>
              <w:gridCol w:w="761"/>
              <w:gridCol w:w="732"/>
              <w:gridCol w:w="737"/>
              <w:gridCol w:w="955"/>
              <w:gridCol w:w="896"/>
              <w:gridCol w:w="740"/>
              <w:gridCol w:w="7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69"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42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621"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种类</w:t>
                  </w:r>
                </w:p>
              </w:tc>
              <w:tc>
                <w:tcPr>
                  <w:tcW w:w="471"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去向</w:t>
                  </w:r>
                </w:p>
              </w:tc>
              <w:tc>
                <w:tcPr>
                  <w:tcW w:w="439"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规律</w:t>
                  </w:r>
                </w:p>
              </w:tc>
              <w:tc>
                <w:tcPr>
                  <w:tcW w:w="1398" w:type="pct"/>
                  <w:gridSpan w:val="3"/>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污染治理措施</w:t>
                  </w:r>
                </w:p>
              </w:tc>
              <w:tc>
                <w:tcPr>
                  <w:tcW w:w="51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w:t>
                  </w:r>
                </w:p>
              </w:tc>
              <w:tc>
                <w:tcPr>
                  <w:tcW w:w="42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排放口是否符合要求</w:t>
                  </w:r>
                </w:p>
              </w:tc>
              <w:tc>
                <w:tcPr>
                  <w:tcW w:w="430"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269"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621" w:type="pct"/>
                  <w:vMerge w:val="continue"/>
                  <w:vAlign w:val="center"/>
                </w:tcPr>
                <w:p>
                  <w:pPr>
                    <w:pStyle w:val="85"/>
                    <w:rPr>
                      <w:color w:val="000000" w:themeColor="text1"/>
                      <w:szCs w:val="21"/>
                      <w:highlight w:val="none"/>
                      <w14:textFill>
                        <w14:solidFill>
                          <w14:schemeClr w14:val="tx1"/>
                        </w14:solidFill>
                      </w14:textFill>
                    </w:rPr>
                  </w:pPr>
                </w:p>
              </w:tc>
              <w:tc>
                <w:tcPr>
                  <w:tcW w:w="471" w:type="pct"/>
                  <w:vMerge w:val="continue"/>
                  <w:vAlign w:val="center"/>
                </w:tcPr>
                <w:p>
                  <w:pPr>
                    <w:pStyle w:val="85"/>
                    <w:rPr>
                      <w:color w:val="000000" w:themeColor="text1"/>
                      <w:szCs w:val="21"/>
                      <w:highlight w:val="none"/>
                      <w14:textFill>
                        <w14:solidFill>
                          <w14:schemeClr w14:val="tx1"/>
                        </w14:solidFill>
                      </w14:textFill>
                    </w:rPr>
                  </w:pPr>
                </w:p>
              </w:tc>
              <w:tc>
                <w:tcPr>
                  <w:tcW w:w="439" w:type="pct"/>
                  <w:vMerge w:val="continue"/>
                  <w:vAlign w:val="center"/>
                </w:tcPr>
                <w:p>
                  <w:pPr>
                    <w:pStyle w:val="85"/>
                    <w:rPr>
                      <w:color w:val="000000" w:themeColor="text1"/>
                      <w:szCs w:val="21"/>
                      <w:highlight w:val="none"/>
                      <w14:textFill>
                        <w14:solidFill>
                          <w14:schemeClr w14:val="tx1"/>
                        </w14:solidFill>
                      </w14:textFill>
                    </w:rPr>
                  </w:pPr>
                </w:p>
              </w:tc>
              <w:tc>
                <w:tcPr>
                  <w:tcW w:w="422"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425"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w:t>
                  </w:r>
                </w:p>
              </w:tc>
              <w:tc>
                <w:tcPr>
                  <w:tcW w:w="551" w:type="pct"/>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w:t>
                  </w:r>
                  <w:r>
                    <w:rPr>
                      <w:color w:val="000000" w:themeColor="text1"/>
                      <w:szCs w:val="21"/>
                      <w:highlight w:val="none"/>
                      <w14:textFill>
                        <w14:solidFill>
                          <w14:schemeClr w14:val="tx1"/>
                        </w14:solidFill>
                      </w14:textFill>
                    </w:rPr>
                    <w:t>为</w:t>
                  </w:r>
                  <w:r>
                    <w:rPr>
                      <w:rFonts w:hint="eastAsia"/>
                      <w:color w:val="000000" w:themeColor="text1"/>
                      <w:szCs w:val="21"/>
                      <w:highlight w:val="none"/>
                      <w14:textFill>
                        <w14:solidFill>
                          <w14:schemeClr w14:val="tx1"/>
                        </w14:solidFill>
                      </w14:textFill>
                    </w:rPr>
                    <w:t>可行</w:t>
                  </w:r>
                  <w:r>
                    <w:rPr>
                      <w:color w:val="000000" w:themeColor="text1"/>
                      <w:szCs w:val="21"/>
                      <w:highlight w:val="none"/>
                      <w14:textFill>
                        <w14:solidFill>
                          <w14:schemeClr w14:val="tx1"/>
                        </w14:solidFill>
                      </w14:textFill>
                    </w:rPr>
                    <w:t>技术</w:t>
                  </w:r>
                </w:p>
              </w:tc>
              <w:tc>
                <w:tcPr>
                  <w:tcW w:w="517"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430" w:type="pct"/>
                  <w:vMerge w:val="continue"/>
                  <w:vAlign w:val="center"/>
                </w:tcPr>
                <w:p>
                  <w:pPr>
                    <w:pStyle w:val="85"/>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7" w:hRule="atLeast"/>
              </w:trPr>
              <w:tc>
                <w:tcPr>
                  <w:tcW w:w="269"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42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w:t>
                  </w:r>
                </w:p>
              </w:tc>
              <w:tc>
                <w:tcPr>
                  <w:tcW w:w="621"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COD</w:t>
                  </w:r>
                </w:p>
              </w:tc>
              <w:tc>
                <w:tcPr>
                  <w:tcW w:w="471" w:type="pct"/>
                  <w:vMerge w:val="restart"/>
                  <w:vAlign w:val="center"/>
                </w:tcPr>
                <w:p>
                  <w:pPr>
                    <w:pStyle w:val="85"/>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福清市融元污水处理厂</w:t>
                  </w:r>
                </w:p>
              </w:tc>
              <w:tc>
                <w:tcPr>
                  <w:tcW w:w="439"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连续排放，流量稳定</w:t>
                  </w:r>
                </w:p>
              </w:tc>
              <w:tc>
                <w:tcPr>
                  <w:tcW w:w="422"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化粪池</w:t>
                  </w:r>
                </w:p>
              </w:tc>
              <w:tc>
                <w:tcPr>
                  <w:tcW w:w="425" w:type="pct"/>
                  <w:vMerge w:val="restart"/>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一级</w:t>
                  </w:r>
                </w:p>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处理</w:t>
                  </w:r>
                </w:p>
              </w:tc>
              <w:tc>
                <w:tcPr>
                  <w:tcW w:w="551" w:type="pct"/>
                  <w:vMerge w:val="restart"/>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可行</w:t>
                  </w:r>
                </w:p>
              </w:tc>
              <w:tc>
                <w:tcPr>
                  <w:tcW w:w="51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DW001</w:t>
                  </w:r>
                </w:p>
              </w:tc>
              <w:tc>
                <w:tcPr>
                  <w:tcW w:w="427" w:type="pct"/>
                  <w:vMerge w:val="restar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p>
              </w:tc>
              <w:tc>
                <w:tcPr>
                  <w:tcW w:w="430" w:type="pct"/>
                  <w:vMerge w:val="restart"/>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厂区总</w:t>
                  </w:r>
                  <w:r>
                    <w:rPr>
                      <w:color w:val="000000" w:themeColor="text1"/>
                      <w:szCs w:val="21"/>
                      <w:highlight w:val="none"/>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6" w:hRule="atLeast"/>
              </w:trPr>
              <w:tc>
                <w:tcPr>
                  <w:tcW w:w="269"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621"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BOD</w:t>
                  </w:r>
                  <w:r>
                    <w:rPr>
                      <w:color w:val="000000" w:themeColor="text1"/>
                      <w:szCs w:val="21"/>
                      <w:highlight w:val="none"/>
                      <w:vertAlign w:val="subscript"/>
                      <w14:textFill>
                        <w14:solidFill>
                          <w14:schemeClr w14:val="tx1"/>
                        </w14:solidFill>
                      </w14:textFill>
                    </w:rPr>
                    <w:t>5</w:t>
                  </w:r>
                </w:p>
              </w:tc>
              <w:tc>
                <w:tcPr>
                  <w:tcW w:w="471" w:type="pct"/>
                  <w:vMerge w:val="continue"/>
                  <w:vAlign w:val="center"/>
                </w:tcPr>
                <w:p>
                  <w:pPr>
                    <w:pStyle w:val="85"/>
                    <w:rPr>
                      <w:color w:val="000000" w:themeColor="text1"/>
                      <w:szCs w:val="21"/>
                      <w:highlight w:val="none"/>
                      <w14:textFill>
                        <w14:solidFill>
                          <w14:schemeClr w14:val="tx1"/>
                        </w14:solidFill>
                      </w14:textFill>
                    </w:rPr>
                  </w:pPr>
                </w:p>
              </w:tc>
              <w:tc>
                <w:tcPr>
                  <w:tcW w:w="439" w:type="pct"/>
                  <w:vMerge w:val="continue"/>
                  <w:vAlign w:val="center"/>
                </w:tcPr>
                <w:p>
                  <w:pPr>
                    <w:pStyle w:val="85"/>
                    <w:rPr>
                      <w:color w:val="000000" w:themeColor="text1"/>
                      <w:szCs w:val="21"/>
                      <w:highlight w:val="none"/>
                      <w14:textFill>
                        <w14:solidFill>
                          <w14:schemeClr w14:val="tx1"/>
                        </w14:solidFill>
                      </w14:textFill>
                    </w:rPr>
                  </w:pPr>
                </w:p>
              </w:tc>
              <w:tc>
                <w:tcPr>
                  <w:tcW w:w="422" w:type="pct"/>
                  <w:vMerge w:val="continue"/>
                  <w:vAlign w:val="center"/>
                </w:tcPr>
                <w:p>
                  <w:pPr>
                    <w:pStyle w:val="85"/>
                    <w:rPr>
                      <w:color w:val="000000" w:themeColor="text1"/>
                      <w:szCs w:val="21"/>
                      <w:highlight w:val="none"/>
                      <w14:textFill>
                        <w14:solidFill>
                          <w14:schemeClr w14:val="tx1"/>
                        </w14:solidFill>
                      </w14:textFill>
                    </w:rPr>
                  </w:pPr>
                </w:p>
              </w:tc>
              <w:tc>
                <w:tcPr>
                  <w:tcW w:w="425" w:type="pct"/>
                  <w:vMerge w:val="continue"/>
                  <w:vAlign w:val="center"/>
                </w:tcPr>
                <w:p>
                  <w:pPr>
                    <w:pStyle w:val="85"/>
                    <w:rPr>
                      <w:color w:val="000000" w:themeColor="text1"/>
                      <w:szCs w:val="21"/>
                      <w:highlight w:val="none"/>
                      <w14:textFill>
                        <w14:solidFill>
                          <w14:schemeClr w14:val="tx1"/>
                        </w14:solidFill>
                      </w14:textFill>
                    </w:rPr>
                  </w:pPr>
                </w:p>
              </w:tc>
              <w:tc>
                <w:tcPr>
                  <w:tcW w:w="551" w:type="pct"/>
                  <w:vMerge w:val="continue"/>
                  <w:vAlign w:val="center"/>
                </w:tcPr>
                <w:p>
                  <w:pPr>
                    <w:pStyle w:val="85"/>
                    <w:rPr>
                      <w:color w:val="000000" w:themeColor="text1"/>
                      <w:szCs w:val="21"/>
                      <w:highlight w:val="none"/>
                      <w14:textFill>
                        <w14:solidFill>
                          <w14:schemeClr w14:val="tx1"/>
                        </w14:solidFill>
                      </w14:textFill>
                    </w:rPr>
                  </w:pPr>
                </w:p>
              </w:tc>
              <w:tc>
                <w:tcPr>
                  <w:tcW w:w="517"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430" w:type="pct"/>
                  <w:vMerge w:val="continue"/>
                  <w:vAlign w:val="center"/>
                </w:tcPr>
                <w:p>
                  <w:pPr>
                    <w:pStyle w:val="85"/>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 w:hRule="atLeast"/>
              </w:trPr>
              <w:tc>
                <w:tcPr>
                  <w:tcW w:w="269"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621"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SS</w:t>
                  </w:r>
                </w:p>
              </w:tc>
              <w:tc>
                <w:tcPr>
                  <w:tcW w:w="471" w:type="pct"/>
                  <w:vMerge w:val="continue"/>
                  <w:vAlign w:val="center"/>
                </w:tcPr>
                <w:p>
                  <w:pPr>
                    <w:pStyle w:val="85"/>
                    <w:rPr>
                      <w:color w:val="000000" w:themeColor="text1"/>
                      <w:szCs w:val="21"/>
                      <w:highlight w:val="none"/>
                      <w14:textFill>
                        <w14:solidFill>
                          <w14:schemeClr w14:val="tx1"/>
                        </w14:solidFill>
                      </w14:textFill>
                    </w:rPr>
                  </w:pPr>
                </w:p>
              </w:tc>
              <w:tc>
                <w:tcPr>
                  <w:tcW w:w="439" w:type="pct"/>
                  <w:vMerge w:val="continue"/>
                  <w:vAlign w:val="center"/>
                </w:tcPr>
                <w:p>
                  <w:pPr>
                    <w:pStyle w:val="85"/>
                    <w:rPr>
                      <w:color w:val="000000" w:themeColor="text1"/>
                      <w:szCs w:val="21"/>
                      <w:highlight w:val="none"/>
                      <w14:textFill>
                        <w14:solidFill>
                          <w14:schemeClr w14:val="tx1"/>
                        </w14:solidFill>
                      </w14:textFill>
                    </w:rPr>
                  </w:pPr>
                </w:p>
              </w:tc>
              <w:tc>
                <w:tcPr>
                  <w:tcW w:w="422" w:type="pct"/>
                  <w:vMerge w:val="continue"/>
                  <w:vAlign w:val="center"/>
                </w:tcPr>
                <w:p>
                  <w:pPr>
                    <w:pStyle w:val="85"/>
                    <w:rPr>
                      <w:color w:val="000000" w:themeColor="text1"/>
                      <w:szCs w:val="21"/>
                      <w:highlight w:val="none"/>
                      <w14:textFill>
                        <w14:solidFill>
                          <w14:schemeClr w14:val="tx1"/>
                        </w14:solidFill>
                      </w14:textFill>
                    </w:rPr>
                  </w:pPr>
                </w:p>
              </w:tc>
              <w:tc>
                <w:tcPr>
                  <w:tcW w:w="425" w:type="pct"/>
                  <w:vMerge w:val="continue"/>
                  <w:vAlign w:val="center"/>
                </w:tcPr>
                <w:p>
                  <w:pPr>
                    <w:pStyle w:val="85"/>
                    <w:rPr>
                      <w:color w:val="000000" w:themeColor="text1"/>
                      <w:szCs w:val="21"/>
                      <w:highlight w:val="none"/>
                      <w14:textFill>
                        <w14:solidFill>
                          <w14:schemeClr w14:val="tx1"/>
                        </w14:solidFill>
                      </w14:textFill>
                    </w:rPr>
                  </w:pPr>
                </w:p>
              </w:tc>
              <w:tc>
                <w:tcPr>
                  <w:tcW w:w="551" w:type="pct"/>
                  <w:vMerge w:val="continue"/>
                  <w:vAlign w:val="center"/>
                </w:tcPr>
                <w:p>
                  <w:pPr>
                    <w:pStyle w:val="85"/>
                    <w:rPr>
                      <w:color w:val="000000" w:themeColor="text1"/>
                      <w:szCs w:val="21"/>
                      <w:highlight w:val="none"/>
                      <w14:textFill>
                        <w14:solidFill>
                          <w14:schemeClr w14:val="tx1"/>
                        </w14:solidFill>
                      </w14:textFill>
                    </w:rPr>
                  </w:pPr>
                </w:p>
              </w:tc>
              <w:tc>
                <w:tcPr>
                  <w:tcW w:w="517"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430" w:type="pct"/>
                  <w:vMerge w:val="continue"/>
                  <w:vAlign w:val="center"/>
                </w:tcPr>
                <w:p>
                  <w:pPr>
                    <w:pStyle w:val="85"/>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6" w:hRule="atLeast"/>
              </w:trPr>
              <w:tc>
                <w:tcPr>
                  <w:tcW w:w="269"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621" w:type="pct"/>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471" w:type="pct"/>
                  <w:vMerge w:val="continue"/>
                  <w:vAlign w:val="center"/>
                </w:tcPr>
                <w:p>
                  <w:pPr>
                    <w:pStyle w:val="85"/>
                    <w:rPr>
                      <w:color w:val="000000" w:themeColor="text1"/>
                      <w:szCs w:val="21"/>
                      <w:highlight w:val="none"/>
                      <w14:textFill>
                        <w14:solidFill>
                          <w14:schemeClr w14:val="tx1"/>
                        </w14:solidFill>
                      </w14:textFill>
                    </w:rPr>
                  </w:pPr>
                </w:p>
              </w:tc>
              <w:tc>
                <w:tcPr>
                  <w:tcW w:w="439" w:type="pct"/>
                  <w:vMerge w:val="continue"/>
                  <w:vAlign w:val="center"/>
                </w:tcPr>
                <w:p>
                  <w:pPr>
                    <w:pStyle w:val="85"/>
                    <w:rPr>
                      <w:color w:val="000000" w:themeColor="text1"/>
                      <w:szCs w:val="21"/>
                      <w:highlight w:val="none"/>
                      <w14:textFill>
                        <w14:solidFill>
                          <w14:schemeClr w14:val="tx1"/>
                        </w14:solidFill>
                      </w14:textFill>
                    </w:rPr>
                  </w:pPr>
                </w:p>
              </w:tc>
              <w:tc>
                <w:tcPr>
                  <w:tcW w:w="422" w:type="pct"/>
                  <w:vMerge w:val="continue"/>
                  <w:vAlign w:val="center"/>
                </w:tcPr>
                <w:p>
                  <w:pPr>
                    <w:pStyle w:val="85"/>
                    <w:rPr>
                      <w:color w:val="000000" w:themeColor="text1"/>
                      <w:szCs w:val="21"/>
                      <w:highlight w:val="none"/>
                      <w14:textFill>
                        <w14:solidFill>
                          <w14:schemeClr w14:val="tx1"/>
                        </w14:solidFill>
                      </w14:textFill>
                    </w:rPr>
                  </w:pPr>
                </w:p>
              </w:tc>
              <w:tc>
                <w:tcPr>
                  <w:tcW w:w="425" w:type="pct"/>
                  <w:vMerge w:val="continue"/>
                  <w:vAlign w:val="center"/>
                </w:tcPr>
                <w:p>
                  <w:pPr>
                    <w:pStyle w:val="85"/>
                    <w:rPr>
                      <w:color w:val="000000" w:themeColor="text1"/>
                      <w:szCs w:val="21"/>
                      <w:highlight w:val="none"/>
                      <w14:textFill>
                        <w14:solidFill>
                          <w14:schemeClr w14:val="tx1"/>
                        </w14:solidFill>
                      </w14:textFill>
                    </w:rPr>
                  </w:pPr>
                </w:p>
              </w:tc>
              <w:tc>
                <w:tcPr>
                  <w:tcW w:w="551" w:type="pct"/>
                  <w:vMerge w:val="continue"/>
                  <w:vAlign w:val="center"/>
                </w:tcPr>
                <w:p>
                  <w:pPr>
                    <w:pStyle w:val="85"/>
                    <w:rPr>
                      <w:color w:val="000000" w:themeColor="text1"/>
                      <w:szCs w:val="21"/>
                      <w:highlight w:val="none"/>
                      <w14:textFill>
                        <w14:solidFill>
                          <w14:schemeClr w14:val="tx1"/>
                        </w14:solidFill>
                      </w14:textFill>
                    </w:rPr>
                  </w:pPr>
                </w:p>
              </w:tc>
              <w:tc>
                <w:tcPr>
                  <w:tcW w:w="517" w:type="pct"/>
                  <w:vMerge w:val="continue"/>
                  <w:vAlign w:val="center"/>
                </w:tcPr>
                <w:p>
                  <w:pPr>
                    <w:pStyle w:val="85"/>
                    <w:rPr>
                      <w:color w:val="000000" w:themeColor="text1"/>
                      <w:szCs w:val="21"/>
                      <w:highlight w:val="none"/>
                      <w14:textFill>
                        <w14:solidFill>
                          <w14:schemeClr w14:val="tx1"/>
                        </w14:solidFill>
                      </w14:textFill>
                    </w:rPr>
                  </w:pPr>
                </w:p>
              </w:tc>
              <w:tc>
                <w:tcPr>
                  <w:tcW w:w="427" w:type="pct"/>
                  <w:vMerge w:val="continue"/>
                  <w:vAlign w:val="center"/>
                </w:tcPr>
                <w:p>
                  <w:pPr>
                    <w:pStyle w:val="85"/>
                    <w:rPr>
                      <w:color w:val="000000" w:themeColor="text1"/>
                      <w:szCs w:val="21"/>
                      <w:highlight w:val="none"/>
                      <w14:textFill>
                        <w14:solidFill>
                          <w14:schemeClr w14:val="tx1"/>
                        </w14:solidFill>
                      </w14:textFill>
                    </w:rPr>
                  </w:pPr>
                </w:p>
              </w:tc>
              <w:tc>
                <w:tcPr>
                  <w:tcW w:w="430" w:type="pct"/>
                  <w:vMerge w:val="continue"/>
                  <w:vAlign w:val="center"/>
                </w:tcPr>
                <w:p>
                  <w:pPr>
                    <w:pStyle w:val="85"/>
                    <w:rPr>
                      <w:color w:val="000000" w:themeColor="text1"/>
                      <w:szCs w:val="21"/>
                      <w:highlight w:val="none"/>
                      <w14:textFill>
                        <w14:solidFill>
                          <w14:schemeClr w14:val="tx1"/>
                        </w14:solidFill>
                      </w14:textFill>
                    </w:rPr>
                  </w:pPr>
                </w:p>
              </w:tc>
            </w:tr>
          </w:tbl>
          <w:p>
            <w:pPr>
              <w:pStyle w:val="97"/>
              <w:ind w:firstLine="2" w:firstLineChars="1"/>
              <w:jc w:val="center"/>
              <w:rPr>
                <w:rFonts w:ascii="Times New Roman" w:hAnsi="Times New Roman"/>
                <w:b/>
                <w:color w:val="000000" w:themeColor="text1"/>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表4.2-</w:t>
            </w:r>
            <w:r>
              <w:rPr>
                <w:rFonts w:hint="eastAsia" w:ascii="Times New Roman" w:hAnsi="Times New Roman"/>
                <w:b/>
                <w:color w:val="000000" w:themeColor="text1"/>
                <w:highlight w:val="none"/>
                <w14:textFill>
                  <w14:solidFill>
                    <w14:schemeClr w14:val="tx1"/>
                  </w14:solidFill>
                </w14:textFill>
              </w:rPr>
              <w:t>3</w:t>
            </w:r>
            <w:r>
              <w:rPr>
                <w:rFonts w:ascii="Times New Roman" w:hAnsi="Times New Roman"/>
                <w:b/>
                <w:color w:val="000000" w:themeColor="text1"/>
                <w:highlight w:val="none"/>
                <w14:textFill>
                  <w14:solidFill>
                    <w14:schemeClr w14:val="tx1"/>
                  </w14:solidFill>
                </w14:textFill>
              </w:rPr>
              <w:t xml:space="preserve">  废水间接排放口基本情况表</w:t>
            </w:r>
          </w:p>
          <w:tbl>
            <w:tblPr>
              <w:tblStyle w:val="37"/>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01"/>
              <w:gridCol w:w="771"/>
              <w:gridCol w:w="1310"/>
              <w:gridCol w:w="1165"/>
              <w:gridCol w:w="763"/>
              <w:gridCol w:w="716"/>
              <w:gridCol w:w="718"/>
              <w:gridCol w:w="985"/>
              <w:gridCol w:w="867"/>
              <w:gridCol w:w="9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232"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445"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w:t>
                  </w:r>
                </w:p>
              </w:tc>
              <w:tc>
                <w:tcPr>
                  <w:tcW w:w="1428" w:type="pct"/>
                  <w:gridSpan w:val="2"/>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排放口地理坐标</w:t>
                  </w:r>
                </w:p>
              </w:tc>
              <w:tc>
                <w:tcPr>
                  <w:tcW w:w="440"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废水排放量</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（万t/a）</w:t>
                  </w:r>
                </w:p>
              </w:tc>
              <w:tc>
                <w:tcPr>
                  <w:tcW w:w="413"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去向</w:t>
                  </w:r>
                </w:p>
              </w:tc>
              <w:tc>
                <w:tcPr>
                  <w:tcW w:w="414"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规律</w:t>
                  </w:r>
                </w:p>
              </w:tc>
              <w:tc>
                <w:tcPr>
                  <w:tcW w:w="1625" w:type="pct"/>
                  <w:gridSpan w:val="3"/>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7" w:hRule="atLeast"/>
              </w:trPr>
              <w:tc>
                <w:tcPr>
                  <w:tcW w:w="232" w:type="pct"/>
                  <w:vMerge w:val="continue"/>
                  <w:vAlign w:val="center"/>
                </w:tcPr>
                <w:p>
                  <w:pPr>
                    <w:pStyle w:val="85"/>
                    <w:rPr>
                      <w:color w:val="000000" w:themeColor="text1"/>
                      <w:highlight w:val="none"/>
                      <w14:textFill>
                        <w14:solidFill>
                          <w14:schemeClr w14:val="tx1"/>
                        </w14:solidFill>
                      </w14:textFill>
                    </w:rPr>
                  </w:pPr>
                </w:p>
              </w:tc>
              <w:tc>
                <w:tcPr>
                  <w:tcW w:w="445" w:type="pct"/>
                  <w:vMerge w:val="continue"/>
                  <w:vAlign w:val="center"/>
                </w:tcPr>
                <w:p>
                  <w:pPr>
                    <w:pStyle w:val="85"/>
                    <w:rPr>
                      <w:color w:val="000000" w:themeColor="text1"/>
                      <w:highlight w:val="none"/>
                      <w14:textFill>
                        <w14:solidFill>
                          <w14:schemeClr w14:val="tx1"/>
                        </w14:solidFill>
                      </w14:textFill>
                    </w:rPr>
                  </w:pPr>
                </w:p>
              </w:tc>
              <w:tc>
                <w:tcPr>
                  <w:tcW w:w="756"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经度</w:t>
                  </w:r>
                </w:p>
              </w:tc>
              <w:tc>
                <w:tcPr>
                  <w:tcW w:w="672"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纬度</w:t>
                  </w:r>
                </w:p>
              </w:tc>
              <w:tc>
                <w:tcPr>
                  <w:tcW w:w="440" w:type="pct"/>
                  <w:vMerge w:val="continue"/>
                  <w:vAlign w:val="center"/>
                </w:tcPr>
                <w:p>
                  <w:pPr>
                    <w:pStyle w:val="85"/>
                    <w:rPr>
                      <w:color w:val="000000" w:themeColor="text1"/>
                      <w:highlight w:val="none"/>
                      <w14:textFill>
                        <w14:solidFill>
                          <w14:schemeClr w14:val="tx1"/>
                        </w14:solidFill>
                      </w14:textFill>
                    </w:rPr>
                  </w:pPr>
                </w:p>
              </w:tc>
              <w:tc>
                <w:tcPr>
                  <w:tcW w:w="413" w:type="pct"/>
                  <w:vMerge w:val="continue"/>
                  <w:vAlign w:val="center"/>
                </w:tcPr>
                <w:p>
                  <w:pPr>
                    <w:pStyle w:val="85"/>
                    <w:rPr>
                      <w:color w:val="000000" w:themeColor="text1"/>
                      <w:highlight w:val="none"/>
                      <w14:textFill>
                        <w14:solidFill>
                          <w14:schemeClr w14:val="tx1"/>
                        </w14:solidFill>
                      </w14:textFill>
                    </w:rPr>
                  </w:pPr>
                </w:p>
              </w:tc>
              <w:tc>
                <w:tcPr>
                  <w:tcW w:w="414" w:type="pct"/>
                  <w:vMerge w:val="continue"/>
                  <w:vAlign w:val="center"/>
                </w:tcPr>
                <w:p>
                  <w:pPr>
                    <w:pStyle w:val="85"/>
                    <w:rPr>
                      <w:color w:val="000000" w:themeColor="text1"/>
                      <w:highlight w:val="none"/>
                      <w14:textFill>
                        <w14:solidFill>
                          <w14:schemeClr w14:val="tx1"/>
                        </w14:solidFill>
                      </w14:textFill>
                    </w:rPr>
                  </w:pPr>
                </w:p>
              </w:tc>
              <w:tc>
                <w:tcPr>
                  <w:tcW w:w="568"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500"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污染物种类</w:t>
                  </w:r>
                </w:p>
              </w:tc>
              <w:tc>
                <w:tcPr>
                  <w:tcW w:w="555"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国家或地方污染物排放标准限值（mg/L）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232"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445"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w:t>
                  </w:r>
                </w:p>
              </w:tc>
              <w:tc>
                <w:tcPr>
                  <w:tcW w:w="756" w:type="pct"/>
                  <w:vMerge w:val="restar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119.</w:t>
                  </w:r>
                  <w:r>
                    <w:rPr>
                      <w:rFonts w:hint="eastAsia"/>
                      <w:color w:val="000000" w:themeColor="text1"/>
                      <w:highlight w:val="none"/>
                      <w:lang w:val="en-US"/>
                      <w14:textFill>
                        <w14:solidFill>
                          <w14:schemeClr w14:val="tx1"/>
                        </w14:solidFill>
                      </w14:textFill>
                    </w:rPr>
                    <w:t>403112</w:t>
                  </w:r>
                  <w:r>
                    <w:rPr>
                      <w:color w:val="000000" w:themeColor="text1"/>
                      <w:highlight w:val="none"/>
                      <w14:textFill>
                        <w14:solidFill>
                          <w14:schemeClr w14:val="tx1"/>
                        </w14:solidFill>
                      </w14:textFill>
                    </w:rPr>
                    <w:t>°</w:t>
                  </w:r>
                </w:p>
              </w:tc>
              <w:tc>
                <w:tcPr>
                  <w:tcW w:w="672" w:type="pct"/>
                  <w:vMerge w:val="restar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w:t>
                  </w:r>
                  <w:r>
                    <w:rPr>
                      <w:rFonts w:hint="eastAsia"/>
                      <w:color w:val="000000" w:themeColor="text1"/>
                      <w:highlight w:val="none"/>
                      <w:lang w:val="en-US"/>
                      <w14:textFill>
                        <w14:solidFill>
                          <w14:schemeClr w14:val="tx1"/>
                        </w14:solidFill>
                      </w14:textFill>
                    </w:rPr>
                    <w:t>772645</w:t>
                  </w:r>
                  <w:r>
                    <w:rPr>
                      <w:color w:val="000000" w:themeColor="text1"/>
                      <w:highlight w:val="none"/>
                      <w14:textFill>
                        <w14:solidFill>
                          <w14:schemeClr w14:val="tx1"/>
                        </w14:solidFill>
                      </w14:textFill>
                    </w:rPr>
                    <w:t>°</w:t>
                  </w:r>
                </w:p>
              </w:tc>
              <w:tc>
                <w:tcPr>
                  <w:tcW w:w="440" w:type="pct"/>
                  <w:vMerge w:val="restart"/>
                  <w:vAlign w:val="center"/>
                </w:tcPr>
                <w:p>
                  <w:pPr>
                    <w:pStyle w:val="85"/>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0624</w:t>
                  </w:r>
                </w:p>
              </w:tc>
              <w:tc>
                <w:tcPr>
                  <w:tcW w:w="413" w:type="pct"/>
                  <w:vMerge w:val="restart"/>
                  <w:vAlign w:val="center"/>
                </w:tcPr>
                <w:p>
                  <w:pPr>
                    <w:pStyle w:val="85"/>
                    <w:rPr>
                      <w:b/>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排市政污水管网，再纳入福清市融元污水处理厂</w:t>
                  </w:r>
                </w:p>
              </w:tc>
              <w:tc>
                <w:tcPr>
                  <w:tcW w:w="414"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连续排放，流量</w:t>
                  </w:r>
                  <w:r>
                    <w:rPr>
                      <w:rFonts w:hint="eastAsia"/>
                      <w:color w:val="000000" w:themeColor="text1"/>
                      <w:highlight w:val="none"/>
                      <w14:textFill>
                        <w14:solidFill>
                          <w14:schemeClr w14:val="tx1"/>
                        </w14:solidFill>
                      </w14:textFill>
                    </w:rPr>
                    <w:t>不</w:t>
                  </w:r>
                  <w:r>
                    <w:rPr>
                      <w:color w:val="000000" w:themeColor="text1"/>
                      <w:highlight w:val="none"/>
                      <w14:textFill>
                        <w14:solidFill>
                          <w14:schemeClr w14:val="tx1"/>
                        </w14:solidFill>
                      </w14:textFill>
                    </w:rPr>
                    <w:t>稳定</w:t>
                  </w:r>
                </w:p>
              </w:tc>
              <w:tc>
                <w:tcPr>
                  <w:tcW w:w="568" w:type="pct"/>
                  <w:vMerge w:val="restar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福清市融元污水处理厂</w:t>
                  </w:r>
                </w:p>
              </w:tc>
              <w:tc>
                <w:tcPr>
                  <w:tcW w:w="500"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r>
                    <w:rPr>
                      <w:color w:val="000000" w:themeColor="text1"/>
                      <w:highlight w:val="none"/>
                      <w:vertAlign w:val="subscript"/>
                      <w14:textFill>
                        <w14:solidFill>
                          <w14:schemeClr w14:val="tx1"/>
                        </w14:solidFill>
                      </w14:textFill>
                    </w:rPr>
                    <w:t>Cr</w:t>
                  </w:r>
                </w:p>
              </w:tc>
              <w:tc>
                <w:tcPr>
                  <w:tcW w:w="555"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8" w:hRule="atLeast"/>
              </w:trPr>
              <w:tc>
                <w:tcPr>
                  <w:tcW w:w="232" w:type="pct"/>
                  <w:vMerge w:val="continue"/>
                  <w:vAlign w:val="center"/>
                </w:tcPr>
                <w:p>
                  <w:pPr>
                    <w:pStyle w:val="85"/>
                    <w:rPr>
                      <w:color w:val="000000" w:themeColor="text1"/>
                      <w:highlight w:val="none"/>
                      <w14:textFill>
                        <w14:solidFill>
                          <w14:schemeClr w14:val="tx1"/>
                        </w14:solidFill>
                      </w14:textFill>
                    </w:rPr>
                  </w:pPr>
                </w:p>
              </w:tc>
              <w:tc>
                <w:tcPr>
                  <w:tcW w:w="445" w:type="pct"/>
                  <w:vMerge w:val="continue"/>
                  <w:vAlign w:val="center"/>
                </w:tcPr>
                <w:p>
                  <w:pPr>
                    <w:pStyle w:val="85"/>
                    <w:rPr>
                      <w:color w:val="000000" w:themeColor="text1"/>
                      <w:highlight w:val="none"/>
                      <w14:textFill>
                        <w14:solidFill>
                          <w14:schemeClr w14:val="tx1"/>
                        </w14:solidFill>
                      </w14:textFill>
                    </w:rPr>
                  </w:pPr>
                </w:p>
              </w:tc>
              <w:tc>
                <w:tcPr>
                  <w:tcW w:w="756" w:type="pct"/>
                  <w:vMerge w:val="continue"/>
                  <w:vAlign w:val="center"/>
                </w:tcPr>
                <w:p>
                  <w:pPr>
                    <w:pStyle w:val="85"/>
                    <w:rPr>
                      <w:color w:val="000000" w:themeColor="text1"/>
                      <w:highlight w:val="none"/>
                      <w14:textFill>
                        <w14:solidFill>
                          <w14:schemeClr w14:val="tx1"/>
                        </w14:solidFill>
                      </w14:textFill>
                    </w:rPr>
                  </w:pPr>
                </w:p>
              </w:tc>
              <w:tc>
                <w:tcPr>
                  <w:tcW w:w="672" w:type="pct"/>
                  <w:vMerge w:val="continue"/>
                  <w:vAlign w:val="center"/>
                </w:tcPr>
                <w:p>
                  <w:pPr>
                    <w:pStyle w:val="85"/>
                    <w:rPr>
                      <w:color w:val="000000" w:themeColor="text1"/>
                      <w:highlight w:val="none"/>
                      <w14:textFill>
                        <w14:solidFill>
                          <w14:schemeClr w14:val="tx1"/>
                        </w14:solidFill>
                      </w14:textFill>
                    </w:rPr>
                  </w:pPr>
                </w:p>
              </w:tc>
              <w:tc>
                <w:tcPr>
                  <w:tcW w:w="440" w:type="pct"/>
                  <w:vMerge w:val="continue"/>
                  <w:vAlign w:val="center"/>
                </w:tcPr>
                <w:p>
                  <w:pPr>
                    <w:pStyle w:val="85"/>
                    <w:rPr>
                      <w:color w:val="000000" w:themeColor="text1"/>
                      <w:highlight w:val="none"/>
                      <w14:textFill>
                        <w14:solidFill>
                          <w14:schemeClr w14:val="tx1"/>
                        </w14:solidFill>
                      </w14:textFill>
                    </w:rPr>
                  </w:pPr>
                </w:p>
              </w:tc>
              <w:tc>
                <w:tcPr>
                  <w:tcW w:w="413" w:type="pct"/>
                  <w:vMerge w:val="continue"/>
                  <w:vAlign w:val="center"/>
                </w:tcPr>
                <w:p>
                  <w:pPr>
                    <w:pStyle w:val="85"/>
                    <w:rPr>
                      <w:color w:val="000000" w:themeColor="text1"/>
                      <w:highlight w:val="none"/>
                      <w14:textFill>
                        <w14:solidFill>
                          <w14:schemeClr w14:val="tx1"/>
                        </w14:solidFill>
                      </w14:textFill>
                    </w:rPr>
                  </w:pPr>
                </w:p>
              </w:tc>
              <w:tc>
                <w:tcPr>
                  <w:tcW w:w="414" w:type="pct"/>
                  <w:vMerge w:val="continue"/>
                  <w:vAlign w:val="center"/>
                </w:tcPr>
                <w:p>
                  <w:pPr>
                    <w:pStyle w:val="85"/>
                    <w:rPr>
                      <w:color w:val="000000" w:themeColor="text1"/>
                      <w:highlight w:val="none"/>
                      <w14:textFill>
                        <w14:solidFill>
                          <w14:schemeClr w14:val="tx1"/>
                        </w14:solidFill>
                      </w14:textFill>
                    </w:rPr>
                  </w:pPr>
                </w:p>
              </w:tc>
              <w:tc>
                <w:tcPr>
                  <w:tcW w:w="568" w:type="pct"/>
                  <w:vMerge w:val="continue"/>
                  <w:vAlign w:val="center"/>
                </w:tcPr>
                <w:p>
                  <w:pPr>
                    <w:pStyle w:val="85"/>
                    <w:rPr>
                      <w:color w:val="000000" w:themeColor="text1"/>
                      <w:highlight w:val="none"/>
                      <w14:textFill>
                        <w14:solidFill>
                          <w14:schemeClr w14:val="tx1"/>
                        </w14:solidFill>
                      </w14:textFill>
                    </w:rPr>
                  </w:pPr>
                </w:p>
              </w:tc>
              <w:tc>
                <w:tcPr>
                  <w:tcW w:w="500"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555"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87" w:hRule="atLeast"/>
              </w:trPr>
              <w:tc>
                <w:tcPr>
                  <w:tcW w:w="232" w:type="pct"/>
                  <w:vMerge w:val="continue"/>
                  <w:vAlign w:val="center"/>
                </w:tcPr>
                <w:p>
                  <w:pPr>
                    <w:pStyle w:val="85"/>
                    <w:rPr>
                      <w:color w:val="000000" w:themeColor="text1"/>
                      <w:highlight w:val="none"/>
                      <w14:textFill>
                        <w14:solidFill>
                          <w14:schemeClr w14:val="tx1"/>
                        </w14:solidFill>
                      </w14:textFill>
                    </w:rPr>
                  </w:pPr>
                </w:p>
              </w:tc>
              <w:tc>
                <w:tcPr>
                  <w:tcW w:w="445" w:type="pct"/>
                  <w:vMerge w:val="continue"/>
                  <w:vAlign w:val="center"/>
                </w:tcPr>
                <w:p>
                  <w:pPr>
                    <w:pStyle w:val="85"/>
                    <w:rPr>
                      <w:color w:val="000000" w:themeColor="text1"/>
                      <w:highlight w:val="none"/>
                      <w14:textFill>
                        <w14:solidFill>
                          <w14:schemeClr w14:val="tx1"/>
                        </w14:solidFill>
                      </w14:textFill>
                    </w:rPr>
                  </w:pPr>
                </w:p>
              </w:tc>
              <w:tc>
                <w:tcPr>
                  <w:tcW w:w="756" w:type="pct"/>
                  <w:vMerge w:val="continue"/>
                  <w:vAlign w:val="center"/>
                </w:tcPr>
                <w:p>
                  <w:pPr>
                    <w:pStyle w:val="85"/>
                    <w:rPr>
                      <w:color w:val="000000" w:themeColor="text1"/>
                      <w:highlight w:val="none"/>
                      <w14:textFill>
                        <w14:solidFill>
                          <w14:schemeClr w14:val="tx1"/>
                        </w14:solidFill>
                      </w14:textFill>
                    </w:rPr>
                  </w:pPr>
                </w:p>
              </w:tc>
              <w:tc>
                <w:tcPr>
                  <w:tcW w:w="672" w:type="pct"/>
                  <w:vMerge w:val="continue"/>
                  <w:vAlign w:val="center"/>
                </w:tcPr>
                <w:p>
                  <w:pPr>
                    <w:pStyle w:val="85"/>
                    <w:rPr>
                      <w:color w:val="000000" w:themeColor="text1"/>
                      <w:highlight w:val="none"/>
                      <w14:textFill>
                        <w14:solidFill>
                          <w14:schemeClr w14:val="tx1"/>
                        </w14:solidFill>
                      </w14:textFill>
                    </w:rPr>
                  </w:pPr>
                </w:p>
              </w:tc>
              <w:tc>
                <w:tcPr>
                  <w:tcW w:w="440" w:type="pct"/>
                  <w:vMerge w:val="continue"/>
                  <w:vAlign w:val="center"/>
                </w:tcPr>
                <w:p>
                  <w:pPr>
                    <w:pStyle w:val="85"/>
                    <w:rPr>
                      <w:color w:val="000000" w:themeColor="text1"/>
                      <w:highlight w:val="none"/>
                      <w14:textFill>
                        <w14:solidFill>
                          <w14:schemeClr w14:val="tx1"/>
                        </w14:solidFill>
                      </w14:textFill>
                    </w:rPr>
                  </w:pPr>
                </w:p>
              </w:tc>
              <w:tc>
                <w:tcPr>
                  <w:tcW w:w="413" w:type="pct"/>
                  <w:vMerge w:val="continue"/>
                  <w:vAlign w:val="center"/>
                </w:tcPr>
                <w:p>
                  <w:pPr>
                    <w:pStyle w:val="85"/>
                    <w:rPr>
                      <w:color w:val="000000" w:themeColor="text1"/>
                      <w:highlight w:val="none"/>
                      <w14:textFill>
                        <w14:solidFill>
                          <w14:schemeClr w14:val="tx1"/>
                        </w14:solidFill>
                      </w14:textFill>
                    </w:rPr>
                  </w:pPr>
                </w:p>
              </w:tc>
              <w:tc>
                <w:tcPr>
                  <w:tcW w:w="414" w:type="pct"/>
                  <w:vMerge w:val="continue"/>
                  <w:vAlign w:val="center"/>
                </w:tcPr>
                <w:p>
                  <w:pPr>
                    <w:pStyle w:val="85"/>
                    <w:rPr>
                      <w:color w:val="000000" w:themeColor="text1"/>
                      <w:highlight w:val="none"/>
                      <w14:textFill>
                        <w14:solidFill>
                          <w14:schemeClr w14:val="tx1"/>
                        </w14:solidFill>
                      </w14:textFill>
                    </w:rPr>
                  </w:pPr>
                </w:p>
              </w:tc>
              <w:tc>
                <w:tcPr>
                  <w:tcW w:w="568" w:type="pct"/>
                  <w:vMerge w:val="continue"/>
                  <w:vAlign w:val="center"/>
                </w:tcPr>
                <w:p>
                  <w:pPr>
                    <w:pStyle w:val="85"/>
                    <w:rPr>
                      <w:color w:val="000000" w:themeColor="text1"/>
                      <w:highlight w:val="none"/>
                      <w14:textFill>
                        <w14:solidFill>
                          <w14:schemeClr w14:val="tx1"/>
                        </w14:solidFill>
                      </w14:textFill>
                    </w:rPr>
                  </w:pPr>
                </w:p>
              </w:tc>
              <w:tc>
                <w:tcPr>
                  <w:tcW w:w="500"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555"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 w:hRule="atLeast"/>
              </w:trPr>
              <w:tc>
                <w:tcPr>
                  <w:tcW w:w="232" w:type="pct"/>
                  <w:vMerge w:val="continue"/>
                  <w:vAlign w:val="center"/>
                </w:tcPr>
                <w:p>
                  <w:pPr>
                    <w:pStyle w:val="85"/>
                    <w:rPr>
                      <w:color w:val="000000" w:themeColor="text1"/>
                      <w:highlight w:val="none"/>
                      <w14:textFill>
                        <w14:solidFill>
                          <w14:schemeClr w14:val="tx1"/>
                        </w14:solidFill>
                      </w14:textFill>
                    </w:rPr>
                  </w:pPr>
                </w:p>
              </w:tc>
              <w:tc>
                <w:tcPr>
                  <w:tcW w:w="445" w:type="pct"/>
                  <w:vMerge w:val="continue"/>
                  <w:vAlign w:val="center"/>
                </w:tcPr>
                <w:p>
                  <w:pPr>
                    <w:pStyle w:val="85"/>
                    <w:rPr>
                      <w:color w:val="000000" w:themeColor="text1"/>
                      <w:highlight w:val="none"/>
                      <w14:textFill>
                        <w14:solidFill>
                          <w14:schemeClr w14:val="tx1"/>
                        </w14:solidFill>
                      </w14:textFill>
                    </w:rPr>
                  </w:pPr>
                </w:p>
              </w:tc>
              <w:tc>
                <w:tcPr>
                  <w:tcW w:w="756" w:type="pct"/>
                  <w:vMerge w:val="continue"/>
                  <w:vAlign w:val="center"/>
                </w:tcPr>
                <w:p>
                  <w:pPr>
                    <w:pStyle w:val="85"/>
                    <w:rPr>
                      <w:color w:val="000000" w:themeColor="text1"/>
                      <w:highlight w:val="none"/>
                      <w14:textFill>
                        <w14:solidFill>
                          <w14:schemeClr w14:val="tx1"/>
                        </w14:solidFill>
                      </w14:textFill>
                    </w:rPr>
                  </w:pPr>
                </w:p>
              </w:tc>
              <w:tc>
                <w:tcPr>
                  <w:tcW w:w="672" w:type="pct"/>
                  <w:vMerge w:val="continue"/>
                  <w:vAlign w:val="center"/>
                </w:tcPr>
                <w:p>
                  <w:pPr>
                    <w:pStyle w:val="85"/>
                    <w:rPr>
                      <w:color w:val="000000" w:themeColor="text1"/>
                      <w:highlight w:val="none"/>
                      <w14:textFill>
                        <w14:solidFill>
                          <w14:schemeClr w14:val="tx1"/>
                        </w14:solidFill>
                      </w14:textFill>
                    </w:rPr>
                  </w:pPr>
                </w:p>
              </w:tc>
              <w:tc>
                <w:tcPr>
                  <w:tcW w:w="440" w:type="pct"/>
                  <w:vMerge w:val="continue"/>
                  <w:vAlign w:val="center"/>
                </w:tcPr>
                <w:p>
                  <w:pPr>
                    <w:pStyle w:val="85"/>
                    <w:rPr>
                      <w:color w:val="000000" w:themeColor="text1"/>
                      <w:highlight w:val="none"/>
                      <w14:textFill>
                        <w14:solidFill>
                          <w14:schemeClr w14:val="tx1"/>
                        </w14:solidFill>
                      </w14:textFill>
                    </w:rPr>
                  </w:pPr>
                </w:p>
              </w:tc>
              <w:tc>
                <w:tcPr>
                  <w:tcW w:w="413" w:type="pct"/>
                  <w:vMerge w:val="continue"/>
                  <w:vAlign w:val="center"/>
                </w:tcPr>
                <w:p>
                  <w:pPr>
                    <w:pStyle w:val="85"/>
                    <w:rPr>
                      <w:color w:val="000000" w:themeColor="text1"/>
                      <w:highlight w:val="none"/>
                      <w14:textFill>
                        <w14:solidFill>
                          <w14:schemeClr w14:val="tx1"/>
                        </w14:solidFill>
                      </w14:textFill>
                    </w:rPr>
                  </w:pPr>
                </w:p>
              </w:tc>
              <w:tc>
                <w:tcPr>
                  <w:tcW w:w="414" w:type="pct"/>
                  <w:vMerge w:val="continue"/>
                  <w:vAlign w:val="center"/>
                </w:tcPr>
                <w:p>
                  <w:pPr>
                    <w:pStyle w:val="85"/>
                    <w:rPr>
                      <w:color w:val="000000" w:themeColor="text1"/>
                      <w:highlight w:val="none"/>
                      <w14:textFill>
                        <w14:solidFill>
                          <w14:schemeClr w14:val="tx1"/>
                        </w14:solidFill>
                      </w14:textFill>
                    </w:rPr>
                  </w:pPr>
                </w:p>
              </w:tc>
              <w:tc>
                <w:tcPr>
                  <w:tcW w:w="568" w:type="pct"/>
                  <w:vMerge w:val="continue"/>
                  <w:vAlign w:val="center"/>
                </w:tcPr>
                <w:p>
                  <w:pPr>
                    <w:pStyle w:val="85"/>
                    <w:rPr>
                      <w:color w:val="000000" w:themeColor="text1"/>
                      <w:highlight w:val="none"/>
                      <w14:textFill>
                        <w14:solidFill>
                          <w14:schemeClr w14:val="tx1"/>
                        </w14:solidFill>
                      </w14:textFill>
                    </w:rPr>
                  </w:pPr>
                </w:p>
              </w:tc>
              <w:tc>
                <w:tcPr>
                  <w:tcW w:w="500"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555"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r>
          </w:tbl>
          <w:p>
            <w:pPr>
              <w:pStyle w:val="97"/>
              <w:ind w:firstLine="2" w:firstLineChars="1"/>
              <w:jc w:val="center"/>
              <w:rPr>
                <w:rFonts w:hint="eastAsia"/>
                <w:b/>
                <w:bCs/>
                <w:color w:val="000000" w:themeColor="text1"/>
                <w:szCs w:val="22"/>
                <w:highlight w:val="none"/>
                <w14:textFill>
                  <w14:solidFill>
                    <w14:schemeClr w14:val="tx1"/>
                  </w14:solidFill>
                </w14:textFill>
              </w:rPr>
            </w:pPr>
            <w:r>
              <w:rPr>
                <w:rFonts w:ascii="Times New Roman" w:hAnsi="Times New Roman"/>
                <w:b/>
                <w:color w:val="000000" w:themeColor="text1"/>
                <w:highlight w:val="none"/>
                <w14:textFill>
                  <w14:solidFill>
                    <w14:schemeClr w14:val="tx1"/>
                  </w14:solidFill>
                </w14:textFill>
              </w:rPr>
              <w:t xml:space="preserve"> 表4.2-4  废水污染物排放信息表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212"/>
              <w:gridCol w:w="1177"/>
              <w:gridCol w:w="1177"/>
              <w:gridCol w:w="1324"/>
              <w:gridCol w:w="1180"/>
              <w:gridCol w:w="1030"/>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69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编号</w:t>
                  </w: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种类</w:t>
                  </w: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排放浓度（mg/L）</w:t>
                  </w:r>
                </w:p>
              </w:tc>
              <w:tc>
                <w:tcPr>
                  <w:tcW w:w="76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w:t>
                  </w:r>
                  <w:r>
                    <w:rPr>
                      <w:color w:val="000000" w:themeColor="text1"/>
                      <w:highlight w:val="none"/>
                      <w14:textFill>
                        <w14:solidFill>
                          <w14:schemeClr w14:val="tx1"/>
                        </w14:solidFill>
                      </w14:textFill>
                    </w:rPr>
                    <w:t>日排放量（t/d）</w:t>
                  </w:r>
                </w:p>
              </w:tc>
              <w:tc>
                <w:tcPr>
                  <w:tcW w:w="681"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日排放量（t/d）</w:t>
                  </w:r>
                </w:p>
              </w:tc>
              <w:tc>
                <w:tcPr>
                  <w:tcW w:w="59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新增年</w:t>
                  </w:r>
                  <w:r>
                    <w:rPr>
                      <w:color w:val="000000" w:themeColor="text1"/>
                      <w:highlight w:val="none"/>
                      <w14:textFill>
                        <w14:solidFill>
                          <w14:schemeClr w14:val="tx1"/>
                        </w14:solidFill>
                      </w14:textFill>
                    </w:rPr>
                    <w:t>排放量（t/a）</w:t>
                  </w:r>
                </w:p>
              </w:tc>
              <w:tc>
                <w:tcPr>
                  <w:tcW w:w="567"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全厂</w:t>
                  </w:r>
                  <w:r>
                    <w:rPr>
                      <w:color w:val="000000" w:themeColor="text1"/>
                      <w:highlight w:val="none"/>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699" w:type="pct"/>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DW001</w:t>
                  </w: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679"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c>
                <w:tcPr>
                  <w:tcW w:w="76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-5</w:t>
                  </w:r>
                </w:p>
              </w:tc>
              <w:tc>
                <w:tcPr>
                  <w:tcW w:w="118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-5</w:t>
                  </w:r>
                </w:p>
              </w:tc>
              <w:tc>
                <w:tcPr>
                  <w:tcW w:w="594" w:type="pct"/>
                  <w:vAlign w:val="center"/>
                </w:tcPr>
                <w:p>
                  <w:pPr>
                    <w:pStyle w:val="85"/>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pPr>
                    <w:pStyle w:val="85"/>
                    <w:rPr>
                      <w:color w:val="000000" w:themeColor="text1"/>
                      <w:highlight w:val="none"/>
                      <w14:textFill>
                        <w14:solidFill>
                          <w14:schemeClr w14:val="tx1"/>
                        </w14:solidFill>
                      </w14:textFill>
                    </w:rPr>
                  </w:pPr>
                </w:p>
              </w:tc>
              <w:tc>
                <w:tcPr>
                  <w:tcW w:w="699" w:type="pct"/>
                  <w:vMerge w:val="continue"/>
                  <w:vAlign w:val="center"/>
                </w:tcPr>
                <w:p>
                  <w:pPr>
                    <w:pStyle w:val="85"/>
                    <w:rPr>
                      <w:color w:val="000000" w:themeColor="text1"/>
                      <w:highlight w:val="none"/>
                      <w14:textFill>
                        <w14:solidFill>
                          <w14:schemeClr w14:val="tx1"/>
                        </w14:solidFill>
                      </w14:textFill>
                    </w:rPr>
                  </w:pP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679"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pPr>
                    <w:pStyle w:val="85"/>
                    <w:rPr>
                      <w:color w:val="000000" w:themeColor="text1"/>
                      <w:highlight w:val="none"/>
                      <w14:textFill>
                        <w14:solidFill>
                          <w14:schemeClr w14:val="tx1"/>
                        </w14:solidFill>
                      </w14:textFill>
                    </w:rPr>
                  </w:pPr>
                </w:p>
              </w:tc>
              <w:tc>
                <w:tcPr>
                  <w:tcW w:w="699" w:type="pct"/>
                  <w:vMerge w:val="continue"/>
                  <w:vAlign w:val="center"/>
                </w:tcPr>
                <w:p>
                  <w:pPr>
                    <w:pStyle w:val="85"/>
                    <w:rPr>
                      <w:color w:val="000000" w:themeColor="text1"/>
                      <w:highlight w:val="none"/>
                      <w14:textFill>
                        <w14:solidFill>
                          <w14:schemeClr w14:val="tx1"/>
                        </w14:solidFill>
                      </w14:textFill>
                    </w:rPr>
                  </w:pP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679"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76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3.85×10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7" w:type="pct"/>
                  <w:vMerge w:val="continue"/>
                  <w:vAlign w:val="center"/>
                </w:tcPr>
                <w:p>
                  <w:pPr>
                    <w:pStyle w:val="85"/>
                    <w:rPr>
                      <w:color w:val="000000" w:themeColor="text1"/>
                      <w:highlight w:val="none"/>
                      <w14:textFill>
                        <w14:solidFill>
                          <w14:schemeClr w14:val="tx1"/>
                        </w14:solidFill>
                      </w14:textFill>
                    </w:rPr>
                  </w:pPr>
                </w:p>
              </w:tc>
              <w:tc>
                <w:tcPr>
                  <w:tcW w:w="699" w:type="pct"/>
                  <w:vMerge w:val="continue"/>
                  <w:vAlign w:val="center"/>
                </w:tcPr>
                <w:p>
                  <w:pPr>
                    <w:pStyle w:val="85"/>
                    <w:rPr>
                      <w:color w:val="000000" w:themeColor="text1"/>
                      <w:highlight w:val="none"/>
                      <w14:textFill>
                        <w14:solidFill>
                          <w14:schemeClr w14:val="tx1"/>
                        </w14:solidFill>
                      </w14:textFill>
                    </w:rPr>
                  </w:pPr>
                </w:p>
              </w:tc>
              <w:tc>
                <w:tcPr>
                  <w:tcW w:w="679" w:type="pc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679" w:type="pct"/>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764" w:type="pct"/>
                  <w:vAlign w:val="center"/>
                </w:tcPr>
                <w:p>
                  <w:pPr>
                    <w:pStyle w:val="85"/>
                    <w:rPr>
                      <w:color w:val="000000" w:themeColor="text1"/>
                      <w:highlight w:val="none"/>
                      <w:lang w:val="en-US"/>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-6</w:t>
                  </w:r>
                </w:p>
              </w:tc>
              <w:tc>
                <w:tcPr>
                  <w:tcW w:w="118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1.15×10</w:t>
                  </w:r>
                  <w:r>
                    <w:rPr>
                      <w:rFonts w:hint="eastAsia"/>
                      <w:color w:val="000000" w:themeColor="text1"/>
                      <w:highlight w:val="none"/>
                      <w:vertAlign w:val="superscript"/>
                      <w:lang w:val="en-US"/>
                      <w14:textFill>
                        <w14:solidFill>
                          <w14:schemeClr w14:val="tx1"/>
                        </w14:solidFill>
                      </w14:textFill>
                    </w:rPr>
                    <w:t>-6</w:t>
                  </w:r>
                </w:p>
              </w:tc>
              <w:tc>
                <w:tcPr>
                  <w:tcW w:w="594" w:type="pct"/>
                  <w:vAlign w:val="center"/>
                </w:tcPr>
                <w:p>
                  <w:pPr>
                    <w:pStyle w:val="85"/>
                    <w:rPr>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restart"/>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全厂排放口合计</w:t>
                  </w:r>
                </w:p>
              </w:tc>
              <w:tc>
                <w:tcPr>
                  <w:tcW w:w="2803" w:type="pct"/>
                  <w:gridSpan w:val="4"/>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103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pPr>
                    <w:pStyle w:val="85"/>
                    <w:rPr>
                      <w:color w:val="000000" w:themeColor="text1"/>
                      <w:highlight w:val="none"/>
                      <w14:textFill>
                        <w14:solidFill>
                          <w14:schemeClr w14:val="tx1"/>
                        </w14:solidFill>
                      </w14:textFill>
                    </w:rPr>
                  </w:pPr>
                </w:p>
              </w:tc>
              <w:tc>
                <w:tcPr>
                  <w:tcW w:w="2803" w:type="pct"/>
                  <w:gridSpan w:val="4"/>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p>
              </w:tc>
              <w:tc>
                <w:tcPr>
                  <w:tcW w:w="103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pPr>
                    <w:pStyle w:val="85"/>
                    <w:rPr>
                      <w:color w:val="000000" w:themeColor="text1"/>
                      <w:highlight w:val="none"/>
                      <w14:textFill>
                        <w14:solidFill>
                          <w14:schemeClr w14:val="tx1"/>
                        </w14:solidFill>
                      </w14:textFill>
                    </w:rPr>
                  </w:pPr>
                </w:p>
              </w:tc>
              <w:tc>
                <w:tcPr>
                  <w:tcW w:w="2803" w:type="pct"/>
                  <w:gridSpan w:val="4"/>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03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36" w:type="pct"/>
                  <w:gridSpan w:val="2"/>
                  <w:vMerge w:val="continue"/>
                  <w:vAlign w:val="center"/>
                </w:tcPr>
                <w:p>
                  <w:pPr>
                    <w:pStyle w:val="85"/>
                    <w:rPr>
                      <w:color w:val="000000" w:themeColor="text1"/>
                      <w:highlight w:val="none"/>
                      <w14:textFill>
                        <w14:solidFill>
                          <w14:schemeClr w14:val="tx1"/>
                        </w14:solidFill>
                      </w14:textFill>
                    </w:rPr>
                  </w:pPr>
                </w:p>
              </w:tc>
              <w:tc>
                <w:tcPr>
                  <w:tcW w:w="2803" w:type="pct"/>
                  <w:gridSpan w:val="4"/>
                  <w:vAlign w:val="center"/>
                </w:tcPr>
                <w:p>
                  <w:pPr>
                    <w:pStyle w:val="8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p>
              </w:tc>
              <w:tc>
                <w:tcPr>
                  <w:tcW w:w="1030"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c>
                <w:tcPr>
                  <w:tcW w:w="983" w:type="dxa"/>
                  <w:vAlign w:val="center"/>
                </w:tcPr>
                <w:p>
                  <w:pPr>
                    <w:pStyle w:val="8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0.00</w:t>
                  </w:r>
                  <w:r>
                    <w:rPr>
                      <w:rFonts w:hint="eastAsia"/>
                      <w:color w:val="000000" w:themeColor="text1"/>
                      <w:highlight w:val="none"/>
                      <w:lang w:val="en-US"/>
                      <w14:textFill>
                        <w14:solidFill>
                          <w14:schemeClr w14:val="tx1"/>
                        </w14:solidFill>
                      </w14:textFill>
                    </w:rPr>
                    <w:t>03</w:t>
                  </w:r>
                </w:p>
              </w:tc>
            </w:tr>
          </w:tbl>
          <w:p>
            <w:pPr>
              <w:pStyle w:val="89"/>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4.2.2</w:t>
            </w:r>
            <w:r>
              <w:rPr>
                <w:rFonts w:hint="eastAsia"/>
                <w:color w:val="000000" w:themeColor="text1"/>
                <w:sz w:val="28"/>
                <w:szCs w:val="28"/>
                <w:highlight w:val="none"/>
                <w14:textFill>
                  <w14:solidFill>
                    <w14:schemeClr w14:val="tx1"/>
                  </w14:solidFill>
                </w14:textFill>
              </w:rPr>
              <w:t>废气</w:t>
            </w:r>
          </w:p>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4.2.2.1</w:t>
            </w:r>
            <w:r>
              <w:rPr>
                <w:rFonts w:hint="eastAsia"/>
                <w:color w:val="000000" w:themeColor="text1"/>
                <w:highlight w:val="none"/>
                <w14:textFill>
                  <w14:solidFill>
                    <w14:schemeClr w14:val="tx1"/>
                  </w14:solidFill>
                </w14:textFill>
              </w:rPr>
              <w:t>废气污染源强</w:t>
            </w:r>
            <w:r>
              <w:rPr>
                <w:color w:val="000000" w:themeColor="text1"/>
                <w:highlight w:val="none"/>
                <w14:textFill>
                  <w14:solidFill>
                    <w14:schemeClr w14:val="tx1"/>
                  </w14:solidFill>
                </w14:textFill>
              </w:rPr>
              <w:t>分析</w:t>
            </w:r>
          </w:p>
          <w:p>
            <w:pPr>
              <w:spacing w:line="360" w:lineRule="auto"/>
              <w:ind w:firstLine="480" w:firstLineChars="200"/>
              <w:rPr>
                <w:bCs/>
                <w:color w:val="000000" w:themeColor="text1"/>
                <w:kern w:val="0"/>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w:t>
            </w:r>
            <w:r>
              <w:rPr>
                <w:rFonts w:hint="eastAsia"/>
                <w:color w:val="000000" w:themeColor="text1"/>
                <w:sz w:val="24"/>
                <w:highlight w:val="none"/>
                <w:lang w:eastAsia="zh-CN"/>
                <w14:textFill>
                  <w14:solidFill>
                    <w14:schemeClr w14:val="tx1"/>
                  </w14:solidFill>
                </w14:textFill>
              </w:rPr>
              <w:t>扩建</w:t>
            </w:r>
            <w:r>
              <w:rPr>
                <w:rFonts w:hint="eastAsia"/>
                <w:color w:val="000000" w:themeColor="text1"/>
                <w:sz w:val="24"/>
                <w:highlight w:val="none"/>
                <w14:textFill>
                  <w14:solidFill>
                    <w14:schemeClr w14:val="tx1"/>
                  </w14:solidFill>
                </w14:textFill>
              </w:rPr>
              <w:t>产生的废气主要是木工</w:t>
            </w:r>
            <w:r>
              <w:rPr>
                <w:rFonts w:hint="eastAsia"/>
                <w:color w:val="000000" w:themeColor="text1"/>
                <w:sz w:val="24"/>
                <w:highlight w:val="none"/>
                <w:lang w:eastAsia="zh-CN"/>
                <w14:textFill>
                  <w14:solidFill>
                    <w14:schemeClr w14:val="tx1"/>
                  </w14:solidFill>
                </w14:textFill>
              </w:rPr>
              <w:t>区</w:t>
            </w:r>
            <w:r>
              <w:rPr>
                <w:rFonts w:hint="eastAsia"/>
                <w:color w:val="000000" w:themeColor="text1"/>
                <w:sz w:val="24"/>
                <w:highlight w:val="none"/>
                <w14:textFill>
                  <w14:solidFill>
                    <w14:schemeClr w14:val="tx1"/>
                  </w14:solidFill>
                </w14:textFill>
              </w:rPr>
              <w:t>及打磨工序产生的颗粒物，调漆喷漆及</w:t>
            </w:r>
            <w:r>
              <w:rPr>
                <w:rFonts w:hint="eastAsia"/>
                <w:bCs/>
                <w:color w:val="000000" w:themeColor="text1"/>
                <w:sz w:val="24"/>
                <w:highlight w:val="none"/>
                <w14:textFill>
                  <w14:solidFill>
                    <w14:schemeClr w14:val="tx1"/>
                  </w14:solidFill>
                </w14:textFill>
              </w:rPr>
              <w:t>烘干等</w:t>
            </w:r>
            <w:r>
              <w:rPr>
                <w:bCs/>
                <w:color w:val="000000" w:themeColor="text1"/>
                <w:sz w:val="24"/>
                <w:highlight w:val="none"/>
                <w14:textFill>
                  <w14:solidFill>
                    <w14:schemeClr w14:val="tx1"/>
                  </w14:solidFill>
                </w14:textFill>
              </w:rPr>
              <w:t>工序产生有机废气</w:t>
            </w:r>
            <w:r>
              <w:rPr>
                <w:color w:val="000000" w:themeColor="text1"/>
                <w:sz w:val="24"/>
                <w:highlight w:val="none"/>
                <w14:textFill>
                  <w14:solidFill>
                    <w14:schemeClr w14:val="tx1"/>
                  </w14:solidFill>
                </w14:textFill>
              </w:rPr>
              <w:t>。</w:t>
            </w:r>
          </w:p>
          <w:p>
            <w:pPr>
              <w:spacing w:line="360" w:lineRule="auto"/>
              <w:ind w:firstLine="482" w:firstLineChars="200"/>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（1）源强分析</w:t>
            </w:r>
          </w:p>
          <w:p>
            <w:pPr>
              <w:pStyle w:val="86"/>
              <w:ind w:firstLine="480"/>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①</w:t>
            </w:r>
            <w:r>
              <w:rPr>
                <w:rFonts w:hint="eastAsia"/>
                <w:color w:val="000000" w:themeColor="text1"/>
                <w:highlight w:val="none"/>
                <w14:textFill>
                  <w14:solidFill>
                    <w14:schemeClr w14:val="tx1"/>
                  </w14:solidFill>
                </w14:textFill>
              </w:rPr>
              <w:t>封边工序废气</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配套智能数控封边机，该工序使用湿气固化反应型聚氨酯热熔胶（PUR胶），固化过程中主要与空气中的水分发生化学反应，不添加溶剂。固化过程不需要加热及添加溶剂，理论上不会释放封边废气，本评价不做定量分析。</w:t>
            </w:r>
          </w:p>
          <w:p>
            <w:pPr>
              <w:pStyle w:val="332"/>
              <w:rPr>
                <w:rFonts w:hint="eastAsia" w:eastAsia="宋体"/>
                <w:color w:val="000000" w:themeColor="text1"/>
                <w:highlight w:val="none"/>
                <w:lang w:val="en-US" w:eastAsia="zh-CN"/>
                <w14:textFill>
                  <w14:solidFill>
                    <w14:schemeClr w14:val="tx1"/>
                  </w14:solidFill>
                </w14:textFill>
              </w:rPr>
            </w:pPr>
            <w:r>
              <w:rPr>
                <w:rFonts w:hint="eastAsia" w:hAnsi="宋体"/>
                <w:color w:val="000000" w:themeColor="text1"/>
                <w:highlight w:val="none"/>
                <w14:textFill>
                  <w14:solidFill>
                    <w14:schemeClr w14:val="tx1"/>
                  </w14:solidFill>
                </w14:textFill>
              </w:rPr>
              <w:t>②</w:t>
            </w:r>
            <w:r>
              <w:rPr>
                <w:rFonts w:hint="eastAsia"/>
                <w:color w:val="000000" w:themeColor="text1"/>
                <w:highlight w:val="none"/>
                <w:lang w:val="en-US"/>
                <w14:textFill>
                  <w14:solidFill>
                    <w14:schemeClr w14:val="tx1"/>
                  </w14:solidFill>
                </w14:textFill>
              </w:rPr>
              <w:t>木工区</w:t>
            </w:r>
            <w:r>
              <w:rPr>
                <w:rFonts w:hint="eastAsia"/>
                <w:color w:val="000000" w:themeColor="text1"/>
                <w:highlight w:val="none"/>
                <w:lang w:val="en-US" w:eastAsia="zh-CN"/>
                <w14:textFill>
                  <w14:solidFill>
                    <w14:schemeClr w14:val="tx1"/>
                  </w14:solidFill>
                </w14:textFill>
              </w:rPr>
              <w:t>废气</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w:t>
            </w:r>
            <w:r>
              <w:rPr>
                <w:rFonts w:hint="eastAsia"/>
                <w:color w:val="000000" w:themeColor="text1"/>
                <w:highlight w:val="none"/>
                <w14:textFill>
                  <w14:solidFill>
                    <w14:schemeClr w14:val="tx1"/>
                  </w14:solidFill>
                </w14:textFill>
              </w:rPr>
              <w:t>木工加工设备会产生一定量的木质颗粒物。产污系数参考《排放源统计调查产排污核算方法和系数手册》（公告2021年第24号，2021.6.11）中的“21</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、木质家具制造行业系数手册2110木质家具制造行业系数表”中“下料”的产排污系数表，颗粒物产污系数为</w:t>
            </w:r>
            <w:r>
              <w:rPr>
                <w:rFonts w:hint="eastAsia"/>
                <w:color w:val="000000" w:themeColor="text1"/>
                <w:highlight w:val="none"/>
                <w:lang w:val="en-US"/>
                <w14:textFill>
                  <w14:solidFill>
                    <w14:schemeClr w14:val="tx1"/>
                  </w14:solidFill>
                </w14:textFill>
              </w:rPr>
              <w:t>150</w:t>
            </w:r>
            <w:r>
              <w:rPr>
                <w:rFonts w:hint="eastAsia"/>
                <w:color w:val="000000" w:themeColor="text1"/>
                <w:highlight w:val="none"/>
                <w14:textFill>
                  <w14:solidFill>
                    <w14:schemeClr w14:val="tx1"/>
                  </w14:solidFill>
                </w14:textFill>
              </w:rPr>
              <w:t>g/</w:t>
            </w:r>
            <w:r>
              <w:rPr>
                <w:rFonts w:hint="eastAsia"/>
                <w:color w:val="000000" w:themeColor="text1"/>
                <w:highlight w:val="none"/>
                <w:lang w:val="en-US"/>
                <w14:textFill>
                  <w14:solidFill>
                    <w14:schemeClr w14:val="tx1"/>
                  </w14:solidFill>
                </w14:textFill>
              </w:rPr>
              <w:t>m³</w:t>
            </w:r>
            <w:r>
              <w:rPr>
                <w:rFonts w:hint="eastAsia"/>
                <w:color w:val="000000" w:themeColor="text1"/>
                <w:highlight w:val="none"/>
                <w14:textFill>
                  <w14:solidFill>
                    <w14:schemeClr w14:val="tx1"/>
                  </w14:solidFill>
                </w14:textFill>
              </w:rPr>
              <w:t>--产品”。本项目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板材</w:t>
            </w:r>
            <w:r>
              <w:rPr>
                <w:rFonts w:hint="eastAsia"/>
                <w:color w:val="000000" w:themeColor="text1"/>
                <w:highlight w:val="none"/>
                <w:lang w:eastAsia="zh-CN"/>
                <w14:textFill>
                  <w14:solidFill>
                    <w14:schemeClr w14:val="tx1"/>
                  </w14:solidFill>
                </w14:textFill>
              </w:rPr>
              <w:t>总</w:t>
            </w:r>
            <w:r>
              <w:rPr>
                <w:rFonts w:hint="eastAsia"/>
                <w:color w:val="000000" w:themeColor="text1"/>
                <w:highlight w:val="none"/>
                <w14:textFill>
                  <w14:solidFill>
                    <w14:schemeClr w14:val="tx1"/>
                  </w14:solidFill>
                </w14:textFill>
              </w:rPr>
              <w:t>用量为</w:t>
            </w:r>
            <w:r>
              <w:rPr>
                <w:rFonts w:hint="eastAsia"/>
                <w:color w:val="000000" w:themeColor="text1"/>
                <w:highlight w:val="none"/>
                <w:lang w:val="en-US" w:eastAsia="zh-CN"/>
                <w14:textFill>
                  <w14:solidFill>
                    <w14:schemeClr w14:val="tx1"/>
                  </w14:solidFill>
                </w14:textFill>
              </w:rPr>
              <w:t>795</w:t>
            </w:r>
            <w:r>
              <w:rPr>
                <w:rFonts w:hint="eastAsia"/>
                <w:color w:val="000000" w:themeColor="text1"/>
                <w:highlight w:val="none"/>
                <w14:textFill>
                  <w14:solidFill>
                    <w14:schemeClr w14:val="tx1"/>
                  </w14:solidFill>
                </w14:textFill>
              </w:rPr>
              <w:t>m³，则项目生产过程木质颗粒物的产生量为</w:t>
            </w:r>
            <w:r>
              <w:rPr>
                <w:rFonts w:hint="eastAsia"/>
                <w:color w:val="000000" w:themeColor="text1"/>
                <w:highlight w:val="none"/>
                <w:lang w:val="en-US"/>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1193</w:t>
            </w:r>
            <w:r>
              <w:rPr>
                <w:rFonts w:hint="eastAsia"/>
                <w:color w:val="000000" w:themeColor="text1"/>
                <w:highlight w:val="none"/>
                <w14:textFill>
                  <w14:solidFill>
                    <w14:schemeClr w14:val="tx1"/>
                  </w14:solidFill>
                </w14:textFill>
              </w:rPr>
              <w:t>t/a，即</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57</w:t>
            </w:r>
            <w:r>
              <w:rPr>
                <w:rFonts w:hint="eastAsia"/>
                <w:color w:val="000000" w:themeColor="text1"/>
                <w:highlight w:val="none"/>
                <w14:textFill>
                  <w14:solidFill>
                    <w14:schemeClr w14:val="tx1"/>
                  </w14:solidFill>
                </w14:textFill>
              </w:rPr>
              <w:t>kg/h（年工作</w:t>
            </w:r>
            <w:r>
              <w:rPr>
                <w:rFonts w:hint="eastAsia"/>
                <w:color w:val="000000" w:themeColor="text1"/>
                <w:highlight w:val="none"/>
                <w:lang w:val="en-US"/>
                <w14:textFill>
                  <w14:solidFill>
                    <w14:schemeClr w14:val="tx1"/>
                  </w14:solidFill>
                </w14:textFill>
              </w:rPr>
              <w:t>2080</w:t>
            </w:r>
            <w:r>
              <w:rPr>
                <w:rFonts w:hint="eastAsia"/>
                <w:color w:val="000000" w:themeColor="text1"/>
                <w:highlight w:val="none"/>
                <w14:textFill>
                  <w14:solidFill>
                    <w14:schemeClr w14:val="tx1"/>
                  </w14:solidFill>
                </w14:textFill>
              </w:rPr>
              <w:t>h）。</w:t>
            </w:r>
          </w:p>
          <w:p>
            <w:pPr>
              <w:pStyle w:val="332"/>
              <w:rPr>
                <w:color w:val="000000" w:themeColor="text1"/>
                <w:highlight w:val="none"/>
                <w:lang w:val="en-US"/>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拟在</w:t>
            </w:r>
            <w:r>
              <w:rPr>
                <w:rFonts w:hint="eastAsia"/>
                <w:color w:val="000000" w:themeColor="text1"/>
                <w:highlight w:val="none"/>
                <w:lang w:val="en-US"/>
                <w14:textFill>
                  <w14:solidFill>
                    <w14:schemeClr w14:val="tx1"/>
                  </w14:solidFill>
                </w14:textFill>
              </w:rPr>
              <w:t>1F</w:t>
            </w:r>
            <w:r>
              <w:rPr>
                <w:rFonts w:hint="eastAsia"/>
                <w:color w:val="000000" w:themeColor="text1"/>
                <w:highlight w:val="none"/>
                <w14:textFill>
                  <w14:solidFill>
                    <w14:schemeClr w14:val="tx1"/>
                  </w14:solidFill>
                </w14:textFill>
              </w:rPr>
              <w:t>雕刻机、</w:t>
            </w:r>
            <w:r>
              <w:rPr>
                <w:rFonts w:hint="eastAsia"/>
                <w:color w:val="000000" w:themeColor="text1"/>
                <w:highlight w:val="none"/>
                <w:lang w:val="en-US"/>
                <w14:textFill>
                  <w14:solidFill>
                    <w14:schemeClr w14:val="tx1"/>
                  </w14:solidFill>
                </w14:textFill>
              </w:rPr>
              <w:t>精锯、砂光等产生粉尘颗粒物的</w:t>
            </w:r>
            <w:r>
              <w:rPr>
                <w:rFonts w:hint="eastAsia"/>
                <w:color w:val="000000" w:themeColor="text1"/>
                <w:highlight w:val="none"/>
                <w14:textFill>
                  <w14:solidFill>
                    <w14:schemeClr w14:val="tx1"/>
                  </w14:solidFill>
                </w14:textFill>
              </w:rPr>
              <w:t>设备上方及</w:t>
            </w:r>
            <w:r>
              <w:rPr>
                <w:rFonts w:hint="eastAsia"/>
                <w:color w:val="000000" w:themeColor="text1"/>
                <w:highlight w:val="none"/>
                <w:lang w:val="en-US"/>
                <w14:textFill>
                  <w14:solidFill>
                    <w14:schemeClr w14:val="tx1"/>
                  </w14:solidFill>
                </w14:textFill>
              </w:rPr>
              <w:t>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w:t>
            </w:r>
            <w:r>
              <w:rPr>
                <w:rFonts w:hint="eastAsia"/>
                <w:color w:val="000000" w:themeColor="text1"/>
                <w:highlight w:val="none"/>
                <w14:textFill>
                  <w14:solidFill>
                    <w14:schemeClr w14:val="tx1"/>
                  </w14:solidFill>
                </w14:textFill>
              </w:rPr>
              <w:t>DA001</w:t>
            </w:r>
            <w:r>
              <w:rPr>
                <w:color w:val="000000" w:themeColor="text1"/>
                <w:highlight w:val="none"/>
                <w14:textFill>
                  <w14:solidFill>
                    <w14:schemeClr w14:val="tx1"/>
                  </w14:solidFill>
                </w14:textFill>
              </w:rPr>
              <w:t>）排放。</w:t>
            </w:r>
            <w:r>
              <w:rPr>
                <w:rFonts w:hint="eastAsia"/>
                <w:color w:val="000000" w:themeColor="text1"/>
                <w:highlight w:val="none"/>
                <w14:textFill>
                  <w14:solidFill>
                    <w14:schemeClr w14:val="tx1"/>
                  </w14:solidFill>
                </w14:textFill>
              </w:rPr>
              <w:t>项目设置</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台布袋除尘设备，用于处理车间的木颗粒物，布袋除尘设备配</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个风机，风量为200</w:t>
            </w:r>
            <w:r>
              <w:rPr>
                <w:color w:val="000000" w:themeColor="text1"/>
                <w:highlight w:val="none"/>
                <w14:textFill>
                  <w14:solidFill>
                    <w14:schemeClr w14:val="tx1"/>
                  </w14:solidFill>
                </w14:textFill>
              </w:rPr>
              <w:t>00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，各产尘点的设计收集效率取值</w:t>
            </w:r>
            <w:r>
              <w:rPr>
                <w:color w:val="000000" w:themeColor="text1"/>
                <w:highlight w:val="none"/>
                <w14:textFill>
                  <w14:solidFill>
                    <w14:schemeClr w14:val="tx1"/>
                  </w14:solidFill>
                </w14:textFill>
              </w:rPr>
              <w:t>85%</w:t>
            </w:r>
            <w:r>
              <w:rPr>
                <w:rFonts w:hint="eastAsia"/>
                <w:color w:val="000000" w:themeColor="text1"/>
                <w:highlight w:val="none"/>
                <w14:textFill>
                  <w14:solidFill>
                    <w14:schemeClr w14:val="tx1"/>
                  </w14:solidFill>
                </w14:textFill>
              </w:rPr>
              <w:t>，布袋除尘设备对颗粒物的处理效率取值</w:t>
            </w:r>
            <w:r>
              <w:rPr>
                <w:color w:val="000000" w:themeColor="text1"/>
                <w:highlight w:val="none"/>
                <w14:textFill>
                  <w14:solidFill>
                    <w14:schemeClr w14:val="tx1"/>
                  </w14:solidFill>
                </w14:textFill>
              </w:rPr>
              <w:t>90%</w:t>
            </w:r>
            <w:r>
              <w:rPr>
                <w:rFonts w:hint="eastAsia"/>
                <w:color w:val="000000" w:themeColor="text1"/>
                <w:highlight w:val="none"/>
                <w14:textFill>
                  <w14:solidFill>
                    <w14:schemeClr w14:val="tx1"/>
                  </w14:solidFill>
                </w14:textFill>
              </w:rPr>
              <w:t>。因此，本项目</w:t>
            </w:r>
            <w:r>
              <w:rPr>
                <w:rFonts w:hint="eastAsia"/>
                <w:color w:val="000000" w:themeColor="text1"/>
                <w:highlight w:val="none"/>
                <w:lang w:eastAsia="zh-CN"/>
                <w14:textFill>
                  <w14:solidFill>
                    <w14:schemeClr w14:val="tx1"/>
                  </w14:solidFill>
                </w14:textFill>
              </w:rPr>
              <w:t>扩建后木工区</w:t>
            </w:r>
            <w:r>
              <w:rPr>
                <w:rFonts w:hint="eastAsia"/>
                <w:color w:val="000000" w:themeColor="text1"/>
                <w:highlight w:val="none"/>
                <w14:textFill>
                  <w14:solidFill>
                    <w14:schemeClr w14:val="tx1"/>
                  </w14:solidFill>
                </w14:textFill>
              </w:rPr>
              <w:t>颗粒物产排情况详见表4</w:t>
            </w:r>
            <w:r>
              <w:rPr>
                <w:rFonts w:hint="eastAsia"/>
                <w:color w:val="000000" w:themeColor="text1"/>
                <w:highlight w:val="none"/>
                <w:lang w:val="en-US"/>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val="en-US"/>
                <w14:textFill>
                  <w14:solidFill>
                    <w14:schemeClr w14:val="tx1"/>
                  </w14:solidFill>
                </w14:textFill>
              </w:rPr>
              <w:t>5。</w:t>
            </w:r>
          </w:p>
          <w:p>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表4.2-5 </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木工区</w:t>
            </w: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38"/>
              <w:gridCol w:w="914"/>
              <w:gridCol w:w="779"/>
              <w:gridCol w:w="699"/>
              <w:gridCol w:w="702"/>
              <w:gridCol w:w="1396"/>
              <w:gridCol w:w="560"/>
              <w:gridCol w:w="838"/>
              <w:gridCol w:w="805"/>
              <w:gridCol w:w="701"/>
              <w:gridCol w:w="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11"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527"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257" w:type="pct"/>
                  <w:gridSpan w:val="3"/>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产生状况</w:t>
                  </w:r>
                </w:p>
              </w:tc>
              <w:tc>
                <w:tcPr>
                  <w:tcW w:w="805"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措施</w:t>
                  </w:r>
                </w:p>
              </w:tc>
              <w:tc>
                <w:tcPr>
                  <w:tcW w:w="323"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去除率</w:t>
                  </w:r>
                </w:p>
              </w:tc>
              <w:tc>
                <w:tcPr>
                  <w:tcW w:w="1351" w:type="pct"/>
                  <w:gridSpan w:val="3"/>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排放状况</w:t>
                  </w:r>
                </w:p>
              </w:tc>
              <w:tc>
                <w:tcPr>
                  <w:tcW w:w="422"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排气量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11"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27"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449"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03"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805"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323"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483"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64"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422"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1"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527"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2.4366 </w:t>
                  </w:r>
                </w:p>
              </w:tc>
              <w:tc>
                <w:tcPr>
                  <w:tcW w:w="70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0.0487 </w:t>
                  </w:r>
                </w:p>
              </w:tc>
              <w:tc>
                <w:tcPr>
                  <w:tcW w:w="705"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0.1014 </w:t>
                  </w:r>
                </w:p>
              </w:tc>
              <w:tc>
                <w:tcPr>
                  <w:tcW w:w="805"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集气设备+布袋除尘设备+15m排气筒（DA001）</w:t>
                  </w:r>
                </w:p>
              </w:tc>
              <w:tc>
                <w:tcPr>
                  <w:tcW w:w="323"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90%</w:t>
                  </w:r>
                </w:p>
              </w:tc>
              <w:tc>
                <w:tcPr>
                  <w:tcW w:w="84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0.2437 </w:t>
                  </w:r>
                </w:p>
              </w:tc>
              <w:tc>
                <w:tcPr>
                  <w:tcW w:w="80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0.0049 </w:t>
                  </w:r>
                </w:p>
              </w:tc>
              <w:tc>
                <w:tcPr>
                  <w:tcW w:w="703"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0.0101 </w:t>
                  </w:r>
                </w:p>
              </w:tc>
              <w:tc>
                <w:tcPr>
                  <w:tcW w:w="422"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1"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527"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8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70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705"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805"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车间密闭降低无组织排放</w:t>
                  </w:r>
                </w:p>
              </w:tc>
              <w:tc>
                <w:tcPr>
                  <w:tcW w:w="323"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w:t>
                  </w:r>
                </w:p>
              </w:tc>
              <w:tc>
                <w:tcPr>
                  <w:tcW w:w="841"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80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703"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422"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r>
          </w:tbl>
          <w:p>
            <w:pPr>
              <w:pStyle w:val="332"/>
              <w:rPr>
                <w:color w:val="000000" w:themeColor="text1"/>
                <w:highlight w:val="none"/>
                <w14:textFill>
                  <w14:solidFill>
                    <w14:schemeClr w14:val="tx1"/>
                  </w14:solidFill>
                </w14:textFill>
              </w:rPr>
            </w:pPr>
            <w:r>
              <w:rPr>
                <w:rFonts w:hint="eastAsia" w:hAnsi="宋体"/>
                <w:bCs/>
                <w:color w:val="000000" w:themeColor="text1"/>
                <w:szCs w:val="24"/>
                <w:highlight w:val="none"/>
                <w14:textFill>
                  <w14:solidFill>
                    <w14:schemeClr w14:val="tx1"/>
                  </w14:solidFill>
                </w14:textFill>
              </w:rPr>
              <w:t>③</w:t>
            </w:r>
            <w:r>
              <w:rPr>
                <w:rFonts w:hint="eastAsia"/>
                <w:color w:val="000000" w:themeColor="text1"/>
                <w:highlight w:val="none"/>
                <w:lang w:val="en-US"/>
                <w14:textFill>
                  <w14:solidFill>
                    <w14:schemeClr w14:val="tx1"/>
                  </w14:solidFill>
                </w14:textFill>
              </w:rPr>
              <w:t>打磨区颗粒物</w:t>
            </w:r>
          </w:p>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14:textFill>
                  <w14:solidFill>
                    <w14:schemeClr w14:val="tx1"/>
                  </w14:solidFill>
                </w14:textFill>
              </w:rPr>
              <w:t>3楼</w:t>
            </w:r>
            <w:r>
              <w:rPr>
                <w:rFonts w:hint="eastAsia"/>
                <w:color w:val="000000" w:themeColor="text1"/>
                <w:highlight w:val="none"/>
                <w14:textFill>
                  <w14:solidFill>
                    <w14:schemeClr w14:val="tx1"/>
                  </w14:solidFill>
                </w14:textFill>
              </w:rPr>
              <w:t>设置</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套密闭环保打磨房。打磨过程中经收集木尘（颗粒物废气收集效率约为</w:t>
            </w:r>
            <w:r>
              <w:rPr>
                <w:color w:val="000000" w:themeColor="text1"/>
                <w:highlight w:val="none"/>
                <w14:textFill>
                  <w14:solidFill>
                    <w14:schemeClr w14:val="tx1"/>
                  </w14:solidFill>
                </w14:textFill>
              </w:rPr>
              <w:t>90%</w:t>
            </w:r>
            <w:r>
              <w:rPr>
                <w:rFonts w:hint="eastAsia"/>
                <w:color w:val="000000" w:themeColor="text1"/>
                <w:highlight w:val="none"/>
                <w14:textFill>
                  <w14:solidFill>
                    <w14:schemeClr w14:val="tx1"/>
                  </w14:solidFill>
                </w14:textFill>
              </w:rPr>
              <w:t>）由水喷淋除尘设备（去除率</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）处理后无组织排放于打磨车间内。经过水喷淋除尘设备处理后剩余颗粒物和</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未收集颗粒物将无组织排放散落在打磨房内部及周围地面，部分随着打磨房自然通风而无组织排出密闭区外。产污系数参考《排放源统计调查产排污核算方法和系数手册》（公告2021年第24号，2021.6.11）中的“21</w:t>
            </w:r>
            <w:r>
              <w:rPr>
                <w:rFonts w:hint="eastAsia"/>
                <w:color w:val="000000" w:themeColor="text1"/>
                <w:highlight w:val="none"/>
                <w:lang w:val="en-US"/>
                <w14:textFill>
                  <w14:solidFill>
                    <w14:schemeClr w14:val="tx1"/>
                  </w14:solidFill>
                </w14:textFill>
              </w:rPr>
              <w:t>1</w:t>
            </w:r>
            <w:r>
              <w:rPr>
                <w:rFonts w:hint="eastAsia"/>
                <w:color w:val="000000" w:themeColor="text1"/>
                <w:highlight w:val="none"/>
                <w14:textFill>
                  <w14:solidFill>
                    <w14:schemeClr w14:val="tx1"/>
                  </w14:solidFill>
                </w14:textFill>
              </w:rPr>
              <w:t>、木质家具制造行业系数手册2110木质家具制造行业系数表”中“磨光”的产排污系数表，颗粒物产污系数为</w:t>
            </w:r>
            <w:r>
              <w:rPr>
                <w:rFonts w:hint="eastAsia"/>
                <w:color w:val="000000" w:themeColor="text1"/>
                <w:highlight w:val="none"/>
                <w:lang w:val="en-US"/>
                <w14:textFill>
                  <w14:solidFill>
                    <w14:schemeClr w14:val="tx1"/>
                  </w14:solidFill>
                </w14:textFill>
              </w:rPr>
              <w:t>23.5</w:t>
            </w:r>
            <w:r>
              <w:rPr>
                <w:rFonts w:hint="eastAsia"/>
                <w:color w:val="000000" w:themeColor="text1"/>
                <w:highlight w:val="none"/>
                <w14:textFill>
                  <w14:solidFill>
                    <w14:schemeClr w14:val="tx1"/>
                  </w14:solidFill>
                </w14:textFill>
              </w:rPr>
              <w:t>g/</w:t>
            </w:r>
            <w:r>
              <w:rPr>
                <w:rFonts w:hint="eastAsia"/>
                <w:color w:val="000000" w:themeColor="text1"/>
                <w:highlight w:val="none"/>
                <w:lang w:val="en-US"/>
                <w14:textFill>
                  <w14:solidFill>
                    <w14:schemeClr w14:val="tx1"/>
                  </w14:solidFill>
                </w14:textFill>
              </w:rPr>
              <w:t>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—产品”，本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项目打磨粉尘产生量</w:t>
            </w:r>
            <w:r>
              <w:rPr>
                <w:rFonts w:hint="eastAsia"/>
                <w:color w:val="000000" w:themeColor="text1"/>
                <w:highlight w:val="none"/>
                <w:lang w:val="en-US"/>
                <w14:textFill>
                  <w14:solidFill>
                    <w14:schemeClr w14:val="tx1"/>
                  </w14:solidFill>
                </w14:textFill>
              </w:rPr>
              <w:t>约</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0.01875</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，产生速率为</w:t>
            </w:r>
            <w:r>
              <w:rPr>
                <w:color w:val="000000" w:themeColor="text1"/>
                <w:highlight w:val="none"/>
                <w14:textFill>
                  <w14:solidFill>
                    <w14:schemeClr w14:val="tx1"/>
                  </w14:solidFill>
                </w14:textFill>
              </w:rPr>
              <w:t>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；经收集处理后无组织排放量为</w:t>
            </w:r>
            <w:r>
              <w:rPr>
                <w:rFonts w:hint="eastAsia"/>
                <w:color w:val="000000" w:themeColor="text1"/>
                <w:highlight w:val="none"/>
                <w:lang w:val="en-US"/>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338</w:t>
            </w:r>
            <w:r>
              <w:rPr>
                <w:rFonts w:hint="eastAsia"/>
                <w:color w:val="000000" w:themeColor="text1"/>
                <w:highlight w:val="none"/>
                <w:lang w:val="en-US"/>
                <w14:textFill>
                  <w14:solidFill>
                    <w14:schemeClr w14:val="tx1"/>
                  </w14:solidFill>
                </w14:textFill>
              </w:rPr>
              <w:t>t/a，未收集无组织排放量为0.00</w:t>
            </w:r>
            <w:r>
              <w:rPr>
                <w:rFonts w:hint="eastAsia"/>
                <w:color w:val="000000" w:themeColor="text1"/>
                <w:highlight w:val="none"/>
                <w:lang w:val="en-US" w:eastAsia="zh-CN"/>
                <w14:textFill>
                  <w14:solidFill>
                    <w14:schemeClr w14:val="tx1"/>
                  </w14:solidFill>
                </w14:textFill>
              </w:rPr>
              <w:t>188</w:t>
            </w:r>
            <w:r>
              <w:rPr>
                <w:rFonts w:hint="eastAsia"/>
                <w:color w:val="000000" w:themeColor="text1"/>
                <w:highlight w:val="none"/>
                <w:lang w:val="en-US"/>
                <w14:textFill>
                  <w14:solidFill>
                    <w14:schemeClr w14:val="tx1"/>
                  </w14:solidFill>
                </w14:textFill>
              </w:rPr>
              <w:t>t/a，则打磨区</w:t>
            </w:r>
            <w:r>
              <w:rPr>
                <w:rFonts w:hint="eastAsia"/>
                <w:color w:val="000000" w:themeColor="text1"/>
                <w:highlight w:val="none"/>
                <w14:textFill>
                  <w14:solidFill>
                    <w14:schemeClr w14:val="tx1"/>
                  </w14:solidFill>
                </w14:textFill>
              </w:rPr>
              <w:t>无组织排放量为0.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526</w:t>
            </w:r>
            <w:r>
              <w:rPr>
                <w:rFonts w:hint="eastAsia"/>
                <w:color w:val="000000" w:themeColor="text1"/>
                <w:highlight w:val="none"/>
                <w14:textFill>
                  <w14:solidFill>
                    <w14:schemeClr w14:val="tx1"/>
                  </w14:solidFill>
                </w14:textFill>
              </w:rPr>
              <w:t>t/a，排放速率为0.</w:t>
            </w:r>
            <w:r>
              <w:rPr>
                <w:rFonts w:hint="eastAsia"/>
                <w:color w:val="000000" w:themeColor="text1"/>
                <w:highlight w:val="none"/>
                <w:lang w:val="en-US"/>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253</w:t>
            </w:r>
            <w:r>
              <w:rPr>
                <w:color w:val="000000" w:themeColor="text1"/>
                <w:highlight w:val="none"/>
                <w14:textFill>
                  <w14:solidFill>
                    <w14:schemeClr w14:val="tx1"/>
                  </w14:solidFill>
                </w14:textFill>
              </w:rPr>
              <w:t>kg/h</w:t>
            </w:r>
            <w:r>
              <w:rPr>
                <w:rFonts w:hint="eastAsia"/>
                <w:color w:val="000000" w:themeColor="text1"/>
                <w:highlight w:val="none"/>
                <w14:textFill>
                  <w14:solidFill>
                    <w14:schemeClr w14:val="tx1"/>
                  </w14:solidFill>
                </w14:textFill>
              </w:rPr>
              <w:t>。</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④</w:t>
            </w:r>
            <w:r>
              <w:rPr>
                <w:rFonts w:hint="eastAsia"/>
                <w:color w:val="000000" w:themeColor="text1"/>
                <w:highlight w:val="none"/>
                <w14:textFill>
                  <w14:solidFill>
                    <w14:schemeClr w14:val="tx1"/>
                  </w14:solidFill>
                </w14:textFill>
              </w:rPr>
              <w:t>调漆</w:t>
            </w:r>
            <w:r>
              <w:rPr>
                <w:rFonts w:hint="eastAsia"/>
                <w:color w:val="000000" w:themeColor="text1"/>
                <w:highlight w:val="none"/>
                <w:lang w:val="en-US"/>
                <w14:textFill>
                  <w14:solidFill>
                    <w14:schemeClr w14:val="tx1"/>
                  </w14:solidFill>
                </w14:textFill>
              </w:rPr>
              <w:t>喷</w:t>
            </w:r>
            <w:r>
              <w:rPr>
                <w:rFonts w:hint="eastAsia"/>
                <w:color w:val="000000" w:themeColor="text1"/>
                <w:highlight w:val="none"/>
                <w14:textFill>
                  <w14:solidFill>
                    <w14:schemeClr w14:val="tx1"/>
                  </w14:solidFill>
                </w14:textFill>
              </w:rPr>
              <w:t>漆及烘干工序有机废气</w:t>
            </w:r>
          </w:p>
          <w:p>
            <w:pPr>
              <w:pStyle w:val="164"/>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生产过程</w:t>
            </w:r>
            <w:r>
              <w:rPr>
                <w:rFonts w:hint="eastAsia"/>
                <w:color w:val="000000" w:themeColor="text1"/>
                <w:highlight w:val="none"/>
                <w14:textFill>
                  <w14:solidFill>
                    <w14:schemeClr w14:val="tx1"/>
                  </w14:solidFill>
                </w14:textFill>
              </w:rPr>
              <w:t>使用水性漆及聚氨酯漆均符合</w:t>
            </w:r>
            <w:r>
              <w:rPr>
                <w:rFonts w:hint="eastAsia"/>
                <w:color w:val="000000" w:themeColor="text1"/>
                <w:highlight w:val="none"/>
                <w:lang w:val="en-GB"/>
                <w14:textFill>
                  <w14:solidFill>
                    <w14:schemeClr w14:val="tx1"/>
                  </w14:solidFill>
                </w14:textFill>
              </w:rPr>
              <w:t>《低挥发性有机化合物含量涂料产品技术要求》(GB T38597-2020)中表</w:t>
            </w:r>
            <w:r>
              <w:rPr>
                <w:rFonts w:hint="eastAsia"/>
                <w:color w:val="000000" w:themeColor="text1"/>
                <w:highlight w:val="none"/>
                <w14:textFill>
                  <w14:solidFill>
                    <w14:schemeClr w14:val="tx1"/>
                  </w14:solidFill>
                </w14:textFill>
              </w:rPr>
              <w:t>1及</w:t>
            </w:r>
            <w:r>
              <w:rPr>
                <w:rFonts w:hint="eastAsia"/>
                <w:color w:val="000000" w:themeColor="text1"/>
                <w:highlight w:val="none"/>
                <w:lang w:val="en-GB"/>
                <w14:textFill>
                  <w14:solidFill>
                    <w14:schemeClr w14:val="tx1"/>
                  </w14:solidFill>
                </w14:textFill>
              </w:rPr>
              <w:t>表2中对应涂料VOCs含量的要求，属于</w:t>
            </w:r>
            <w:r>
              <w:rPr>
                <w:color w:val="000000" w:themeColor="text1"/>
                <w:highlight w:val="none"/>
                <w14:textFill>
                  <w14:solidFill>
                    <w14:schemeClr w14:val="tx1"/>
                  </w14:solidFill>
                </w14:textFill>
              </w:rPr>
              <w:t>低VOCs</w:t>
            </w:r>
            <w:r>
              <w:rPr>
                <w:rFonts w:hint="eastAsia"/>
                <w:color w:val="000000" w:themeColor="text1"/>
                <w:highlight w:val="none"/>
                <w14:textFill>
                  <w14:solidFill>
                    <w14:schemeClr w14:val="tx1"/>
                  </w14:solidFill>
                </w14:textFill>
              </w:rPr>
              <w:t>涂料</w:t>
            </w:r>
            <w:r>
              <w:rPr>
                <w:rFonts w:hint="eastAsia"/>
                <w:color w:val="000000" w:themeColor="text1"/>
                <w:kern w:val="0"/>
                <w:szCs w:val="22"/>
                <w:highlight w:val="none"/>
                <w14:textFill>
                  <w14:solidFill>
                    <w14:schemeClr w14:val="tx1"/>
                  </w14:solidFill>
                </w14:textFill>
              </w:rPr>
              <w:t>。</w:t>
            </w:r>
            <w:r>
              <w:rPr>
                <w:rFonts w:hint="eastAsia"/>
                <w:color w:val="000000" w:themeColor="text1"/>
                <w:highlight w:val="none"/>
                <w14:textFill>
                  <w14:solidFill>
                    <w14:schemeClr w14:val="tx1"/>
                  </w14:solidFill>
                </w14:textFill>
              </w:rPr>
              <w:t>根据建设单位提供的资料，本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项目年耗水性漆0.</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聚氨酯清漆0.0</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t、聚氨酯清漆稀释剂0.0</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t、聚氨酯清漆固化剂0.1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t。喷漆工序于操作台独立完成，</w:t>
            </w:r>
            <w:r>
              <w:rPr>
                <w:color w:val="000000" w:themeColor="text1"/>
                <w:highlight w:val="none"/>
                <w14:textFill>
                  <w14:solidFill>
                    <w14:schemeClr w14:val="tx1"/>
                  </w14:solidFill>
                </w14:textFill>
              </w:rPr>
              <w:t>根据喷漆工艺的特点和技术人员的介绍，</w:t>
            </w:r>
            <w:r>
              <w:rPr>
                <w:rFonts w:hint="eastAsia"/>
                <w:color w:val="000000" w:themeColor="text1"/>
                <w:highlight w:val="none"/>
                <w14:textFill>
                  <w14:solidFill>
                    <w14:schemeClr w14:val="tx1"/>
                  </w14:solidFill>
                </w14:textFill>
              </w:rPr>
              <w:t>喷漆</w:t>
            </w:r>
            <w:r>
              <w:rPr>
                <w:color w:val="000000" w:themeColor="text1"/>
                <w:highlight w:val="none"/>
                <w14:textFill>
                  <w14:solidFill>
                    <w14:schemeClr w14:val="tx1"/>
                  </w14:solidFill>
                </w14:textFill>
              </w:rPr>
              <w:t>过程中产品附着率为80%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形成漆雾于喷漆中过程中损失，</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于车间喷漆工作台面沉降形成漆渣，其余可挥发性成分按全部挥发计。</w:t>
            </w:r>
            <w:r>
              <w:rPr>
                <w:rFonts w:hint="eastAsia"/>
                <w:color w:val="000000" w:themeColor="text1"/>
                <w:kern w:val="0"/>
                <w:szCs w:val="22"/>
                <w:highlight w:val="none"/>
                <w14:textFill>
                  <w14:solidFill>
                    <w14:schemeClr w14:val="tx1"/>
                  </w14:solidFill>
                </w14:textFill>
              </w:rPr>
              <w:t>根据</w:t>
            </w:r>
            <w:r>
              <w:rPr>
                <w:rFonts w:hint="eastAsia"/>
                <w:color w:val="000000" w:themeColor="text1"/>
                <w:kern w:val="0"/>
                <w:szCs w:val="22"/>
                <w:highlight w:val="none"/>
                <w:lang w:eastAsia="zh-CN"/>
                <w14:textFill>
                  <w14:solidFill>
                    <w14:schemeClr w14:val="tx1"/>
                  </w14:solidFill>
                </w14:textFill>
              </w:rPr>
              <w:t>扩建</w:t>
            </w:r>
            <w:r>
              <w:rPr>
                <w:rFonts w:hint="eastAsia"/>
                <w:color w:val="000000" w:themeColor="text1"/>
                <w:kern w:val="0"/>
                <w:szCs w:val="22"/>
                <w:highlight w:val="none"/>
                <w14:textFill>
                  <w14:solidFill>
                    <w14:schemeClr w14:val="tx1"/>
                  </w14:solidFill>
                </w14:textFill>
              </w:rPr>
              <w:t>项目使用涂料成分，估算有机废气、</w:t>
            </w:r>
            <w:r>
              <w:rPr>
                <w:rFonts w:hint="eastAsia"/>
                <w:color w:val="000000" w:themeColor="text1"/>
                <w:highlight w:val="none"/>
                <w14:textFill>
                  <w14:solidFill>
                    <w14:schemeClr w14:val="tx1"/>
                  </w14:solidFill>
                </w14:textFill>
              </w:rPr>
              <w:t>漆雾（颗粒物），</w:t>
            </w:r>
            <w:r>
              <w:rPr>
                <w:rFonts w:hint="eastAsia"/>
                <w:color w:val="000000" w:themeColor="text1"/>
                <w:kern w:val="0"/>
                <w:szCs w:val="22"/>
                <w:highlight w:val="none"/>
                <w14:textFill>
                  <w14:solidFill>
                    <w14:schemeClr w14:val="tx1"/>
                  </w14:solidFill>
                </w14:textFill>
              </w:rPr>
              <w:t>具体</w:t>
            </w:r>
            <w:r>
              <w:rPr>
                <w:color w:val="000000" w:themeColor="text1"/>
                <w:kern w:val="0"/>
                <w:szCs w:val="22"/>
                <w:highlight w:val="none"/>
                <w14:textFill>
                  <w14:solidFill>
                    <w14:schemeClr w14:val="tx1"/>
                  </w14:solidFill>
                </w14:textFill>
              </w:rPr>
              <w:t>详见表</w:t>
            </w:r>
            <w:r>
              <w:rPr>
                <w:rFonts w:hint="eastAsia"/>
                <w:color w:val="000000" w:themeColor="text1"/>
                <w:kern w:val="0"/>
                <w:szCs w:val="22"/>
                <w:highlight w:val="none"/>
                <w14:textFill>
                  <w14:solidFill>
                    <w14:schemeClr w14:val="tx1"/>
                  </w14:solidFill>
                </w14:textFill>
              </w:rPr>
              <w:t>4.2-6</w:t>
            </w:r>
            <w:r>
              <w:rPr>
                <w:color w:val="000000" w:themeColor="text1"/>
                <w:kern w:val="0"/>
                <w:szCs w:val="22"/>
                <w:highlight w:val="none"/>
                <w14:textFill>
                  <w14:solidFill>
                    <w14:schemeClr w14:val="tx1"/>
                  </w14:solidFill>
                </w14:textFill>
              </w:rPr>
              <w:t>。</w:t>
            </w:r>
          </w:p>
          <w:p>
            <w:pPr>
              <w:pStyle w:val="277"/>
              <w:ind w:left="0"/>
              <w:rPr>
                <w:rFonts w:eastAsia="宋体"/>
                <w:b/>
                <w:bCs/>
                <w:color w:val="000000" w:themeColor="text1"/>
                <w:highlight w:val="none"/>
                <w14:textFill>
                  <w14:solidFill>
                    <w14:schemeClr w14:val="tx1"/>
                  </w14:solidFill>
                </w14:textFill>
              </w:rPr>
            </w:pPr>
            <w:r>
              <w:rPr>
                <w:rFonts w:eastAsia="宋体"/>
                <w:b/>
                <w:color w:val="000000" w:themeColor="text1"/>
                <w:szCs w:val="21"/>
                <w:highlight w:val="none"/>
                <w14:textFill>
                  <w14:solidFill>
                    <w14:schemeClr w14:val="tx1"/>
                  </w14:solidFill>
                </w14:textFill>
              </w:rPr>
              <w:t>表</w:t>
            </w:r>
            <w:r>
              <w:rPr>
                <w:rFonts w:hint="eastAsia" w:eastAsia="宋体"/>
                <w:b/>
                <w:color w:val="000000" w:themeColor="text1"/>
                <w:szCs w:val="21"/>
                <w:highlight w:val="none"/>
                <w14:textFill>
                  <w14:solidFill>
                    <w14:schemeClr w14:val="tx1"/>
                  </w14:solidFill>
                </w14:textFill>
              </w:rPr>
              <w:t xml:space="preserve">4.2-6 </w:t>
            </w:r>
            <w:r>
              <w:rPr>
                <w:rFonts w:hint="eastAsia" w:eastAsia="宋体"/>
                <w:b/>
                <w:color w:val="000000" w:themeColor="text1"/>
                <w:szCs w:val="21"/>
                <w:highlight w:val="none"/>
                <w:lang w:eastAsia="zh-CN"/>
                <w14:textFill>
                  <w14:solidFill>
                    <w14:schemeClr w14:val="tx1"/>
                  </w14:solidFill>
                </w14:textFill>
              </w:rPr>
              <w:t>扩建</w:t>
            </w:r>
            <w:r>
              <w:rPr>
                <w:rFonts w:hint="eastAsia" w:eastAsia="宋体"/>
                <w:b/>
                <w:bCs/>
                <w:color w:val="000000" w:themeColor="text1"/>
                <w:highlight w:val="none"/>
                <w14:textFill>
                  <w14:solidFill>
                    <w14:schemeClr w14:val="tx1"/>
                  </w14:solidFill>
                </w14:textFill>
              </w:rPr>
              <w:t>项目使用油漆</w:t>
            </w:r>
            <w:r>
              <w:rPr>
                <w:rFonts w:eastAsia="宋体"/>
                <w:b/>
                <w:bCs/>
                <w:color w:val="000000" w:themeColor="text1"/>
                <w:highlight w:val="none"/>
                <w14:textFill>
                  <w14:solidFill>
                    <w14:schemeClr w14:val="tx1"/>
                  </w14:solidFill>
                </w14:textFill>
              </w:rPr>
              <w:t>中</w:t>
            </w:r>
            <w:r>
              <w:rPr>
                <w:rFonts w:hint="eastAsia" w:eastAsia="宋体"/>
                <w:b/>
                <w:bCs/>
                <w:color w:val="000000" w:themeColor="text1"/>
                <w:highlight w:val="none"/>
                <w14:textFill>
                  <w14:solidFill>
                    <w14:schemeClr w14:val="tx1"/>
                  </w14:solidFill>
                </w14:textFill>
              </w:rPr>
              <w:t>各成分</w:t>
            </w:r>
            <w:r>
              <w:rPr>
                <w:rFonts w:eastAsia="宋体"/>
                <w:b/>
                <w:bCs/>
                <w:color w:val="000000" w:themeColor="text1"/>
                <w:highlight w:val="none"/>
                <w14:textFill>
                  <w14:solidFill>
                    <w14:schemeClr w14:val="tx1"/>
                  </w14:solidFill>
                </w14:textFill>
              </w:rPr>
              <w:t>含量</w:t>
            </w:r>
            <w:r>
              <w:rPr>
                <w:rFonts w:hint="eastAsia" w:eastAsia="宋体"/>
                <w:b/>
                <w:bCs/>
                <w:color w:val="000000" w:themeColor="text1"/>
                <w:highlight w:val="none"/>
                <w14:textFill>
                  <w14:solidFill>
                    <w14:schemeClr w14:val="tx1"/>
                  </w14:solidFill>
                </w14:textFill>
              </w:rPr>
              <w:t>及废气产生量一览表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113"/>
              <w:gridCol w:w="1879"/>
              <w:gridCol w:w="1338"/>
              <w:gridCol w:w="1463"/>
              <w:gridCol w:w="14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Align w:val="center"/>
                </w:tcPr>
                <w:p>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lang w:val="en-US" w:eastAsia="zh-CN"/>
                      <w14:textFill>
                        <w14:solidFill>
                          <w14:schemeClr w14:val="tx1"/>
                        </w14:solidFill>
                      </w14:textFill>
                    </w:rPr>
                    <w:t>0.05</w:t>
                  </w:r>
                  <w:r>
                    <w:rPr>
                      <w:rFonts w:hint="eastAsia" w:ascii="Times New Roman" w:hAnsi="宋体" w:eastAsia="宋体" w:cs="Times New Roman"/>
                      <w:b/>
                      <w:color w:val="000000" w:themeColor="text1"/>
                      <w:sz w:val="21"/>
                      <w:szCs w:val="21"/>
                      <w:highlight w:val="none"/>
                      <w14:textFill>
                        <w14:solidFill>
                          <w14:schemeClr w14:val="tx1"/>
                        </w14:solidFill>
                      </w14:textFill>
                    </w:rPr>
                    <w:t>类别</w:t>
                  </w:r>
                </w:p>
              </w:tc>
              <w:tc>
                <w:tcPr>
                  <w:tcW w:w="642" w:type="pct"/>
                  <w:vAlign w:val="center"/>
                </w:tcPr>
                <w:p>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用量（t/a）</w:t>
                  </w:r>
                </w:p>
              </w:tc>
              <w:tc>
                <w:tcPr>
                  <w:tcW w:w="1084" w:type="pct"/>
                  <w:vAlign w:val="center"/>
                </w:tcPr>
                <w:p>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废气污染物</w:t>
                  </w:r>
                </w:p>
                <w:p>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主要</w:t>
                  </w:r>
                  <w:r>
                    <w:rPr>
                      <w:rFonts w:ascii="Times New Roman" w:hAnsi="宋体" w:eastAsia="宋体" w:cs="Times New Roman"/>
                      <w:b/>
                      <w:color w:val="000000" w:themeColor="text1"/>
                      <w:sz w:val="21"/>
                      <w:szCs w:val="21"/>
                      <w:highlight w:val="none"/>
                      <w14:textFill>
                        <w14:solidFill>
                          <w14:schemeClr w14:val="tx1"/>
                        </w14:solidFill>
                      </w14:textFill>
                    </w:rPr>
                    <w:t>成分</w:t>
                  </w:r>
                </w:p>
              </w:tc>
              <w:tc>
                <w:tcPr>
                  <w:tcW w:w="772" w:type="pct"/>
                  <w:vAlign w:val="center"/>
                </w:tcPr>
                <w:p>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成分</w:t>
                  </w:r>
                  <w:r>
                    <w:rPr>
                      <w:rFonts w:ascii="Times New Roman" w:hAnsi="宋体" w:eastAsia="宋体" w:cs="Times New Roman"/>
                      <w:b/>
                      <w:color w:val="000000" w:themeColor="text1"/>
                      <w:sz w:val="21"/>
                      <w:szCs w:val="21"/>
                      <w:highlight w:val="none"/>
                      <w14:textFill>
                        <w14:solidFill>
                          <w14:schemeClr w14:val="tx1"/>
                        </w14:solidFill>
                      </w14:textFill>
                    </w:rPr>
                    <w:t>比例（</w:t>
                  </w:r>
                  <w:r>
                    <w:rPr>
                      <w:rFonts w:ascii="Times New Roman" w:hAnsi="Times New Roman" w:eastAsia="宋体" w:cs="Times New Roman"/>
                      <w:b/>
                      <w:color w:val="000000" w:themeColor="text1"/>
                      <w:sz w:val="21"/>
                      <w:szCs w:val="21"/>
                      <w:highlight w:val="none"/>
                      <w14:textFill>
                        <w14:solidFill>
                          <w14:schemeClr w14:val="tx1"/>
                        </w14:solidFill>
                      </w14:textFill>
                    </w:rPr>
                    <w:t>%</w:t>
                  </w:r>
                  <w:r>
                    <w:rPr>
                      <w:rFonts w:ascii="Times New Roman" w:hAnsi="宋体" w:eastAsia="宋体" w:cs="Times New Roman"/>
                      <w:b/>
                      <w:color w:val="000000" w:themeColor="text1"/>
                      <w:sz w:val="21"/>
                      <w:szCs w:val="21"/>
                      <w:highlight w:val="none"/>
                      <w14:textFill>
                        <w14:solidFill>
                          <w14:schemeClr w14:val="tx1"/>
                        </w14:solidFill>
                      </w14:textFill>
                    </w:rPr>
                    <w:t>）</w:t>
                  </w:r>
                </w:p>
              </w:tc>
              <w:tc>
                <w:tcPr>
                  <w:tcW w:w="843" w:type="pct"/>
                  <w:vAlign w:val="center"/>
                </w:tcPr>
                <w:p>
                  <w:pPr>
                    <w:pStyle w:val="320"/>
                    <w:ind w:firstLine="0" w:firstLineChars="0"/>
                    <w:jc w:val="center"/>
                    <w:rPr>
                      <w:rFonts w:hint="eastAsia" w:ascii="Times New Roman" w:hAnsi="宋体" w:eastAsia="宋体" w:cs="Times New Roman"/>
                      <w:b/>
                      <w:color w:val="000000" w:themeColor="text1"/>
                      <w:sz w:val="21"/>
                      <w:szCs w:val="21"/>
                      <w:highlight w:val="none"/>
                      <w14:textFill>
                        <w14:solidFill>
                          <w14:schemeClr w14:val="tx1"/>
                        </w14:solidFill>
                      </w14:textFill>
                    </w:rPr>
                  </w:pPr>
                  <w:r>
                    <w:rPr>
                      <w:rFonts w:hint="eastAsia" w:ascii="Times New Roman" w:hAnsi="宋体" w:eastAsia="宋体" w:cs="Times New Roman"/>
                      <w:b/>
                      <w:color w:val="000000" w:themeColor="text1"/>
                      <w:sz w:val="21"/>
                      <w:szCs w:val="21"/>
                      <w:highlight w:val="none"/>
                      <w14:textFill>
                        <w14:solidFill>
                          <w14:schemeClr w14:val="tx1"/>
                        </w14:solidFill>
                      </w14:textFill>
                    </w:rPr>
                    <w:t>进入废气比例（%）</w:t>
                  </w:r>
                </w:p>
              </w:tc>
              <w:tc>
                <w:tcPr>
                  <w:tcW w:w="837" w:type="pct"/>
                  <w:vAlign w:val="center"/>
                </w:tcPr>
                <w:p>
                  <w:pPr>
                    <w:pStyle w:val="320"/>
                    <w:ind w:firstLine="0" w:firstLineChars="0"/>
                    <w:jc w:val="center"/>
                    <w:rPr>
                      <w:rFonts w:ascii="Times New Roman" w:hAnsi="Times New Roman" w:eastAsia="宋体" w:cs="Times New Roman"/>
                      <w:b/>
                      <w:color w:val="000000" w:themeColor="text1"/>
                      <w:sz w:val="21"/>
                      <w:szCs w:val="21"/>
                      <w:highlight w:val="none"/>
                      <w14:textFill>
                        <w14:solidFill>
                          <w14:schemeClr w14:val="tx1"/>
                        </w14:solidFill>
                      </w14:textFill>
                    </w:rPr>
                  </w:pPr>
                  <w:r>
                    <w:rPr>
                      <w:rFonts w:ascii="Times New Roman" w:hAnsi="宋体" w:eastAsia="宋体" w:cs="Times New Roman"/>
                      <w:b/>
                      <w:color w:val="000000" w:themeColor="text1"/>
                      <w:sz w:val="21"/>
                      <w:szCs w:val="21"/>
                      <w:highlight w:val="none"/>
                      <w14:textFill>
                        <w14:solidFill>
                          <w14:schemeClr w14:val="tx1"/>
                        </w14:solidFill>
                      </w14:textFill>
                    </w:rPr>
                    <w:t>产生量（</w:t>
                  </w:r>
                  <w:r>
                    <w:rPr>
                      <w:rFonts w:ascii="Times New Roman" w:hAnsi="Times New Roman" w:eastAsia="宋体" w:cs="Times New Roman"/>
                      <w:b/>
                      <w:color w:val="000000" w:themeColor="text1"/>
                      <w:sz w:val="21"/>
                      <w:szCs w:val="21"/>
                      <w:highlight w:val="none"/>
                      <w14:textFill>
                        <w14:solidFill>
                          <w14:schemeClr w14:val="tx1"/>
                        </w14:solidFill>
                      </w14:textFill>
                    </w:rPr>
                    <w:t>t/a</w:t>
                  </w:r>
                  <w:r>
                    <w:rPr>
                      <w:rFonts w:ascii="Times New Roman" w:hAnsi="宋体" w:eastAsia="宋体" w:cs="Times New Roman"/>
                      <w:b/>
                      <w:color w:val="000000" w:themeColor="text1"/>
                      <w:sz w:val="2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水性漆</w:t>
                  </w:r>
                </w:p>
              </w:tc>
              <w:tc>
                <w:tcPr>
                  <w:tcW w:w="642" w:type="pct"/>
                  <w:vMerge w:val="restar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78</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6.5</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w:t>
                  </w:r>
                </w:p>
              </w:tc>
              <w:tc>
                <w:tcPr>
                  <w:tcW w:w="642" w:type="pct"/>
                  <w:vMerge w:val="restart"/>
                  <w:vAlign w:val="center"/>
                </w:tcPr>
                <w:p>
                  <w:pPr>
                    <w:pStyle w:val="320"/>
                    <w:ind w:firstLine="0" w:firstLineChars="0"/>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0.0</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9</w:t>
                  </w: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75</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二甲苯</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5</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聚氨酯清漆稀释剂</w:t>
                  </w:r>
                </w:p>
              </w:tc>
              <w:tc>
                <w:tcPr>
                  <w:tcW w:w="642" w:type="pct"/>
                  <w:vMerge w:val="restart"/>
                  <w:vAlign w:val="center"/>
                </w:tcPr>
                <w:p>
                  <w:pPr>
                    <w:pStyle w:val="320"/>
                    <w:ind w:firstLine="0" w:firstLineChars="0"/>
                    <w:jc w:val="center"/>
                    <w:rPr>
                      <w:rFonts w:hint="eastAsia" w:ascii="Times New Roman" w:hAnsi="宋体" w:eastAsia="宋体" w:cs="Times New Roman"/>
                      <w:color w:val="000000" w:themeColor="text1"/>
                      <w:sz w:val="21"/>
                      <w:szCs w:val="21"/>
                      <w:highlight w:val="none"/>
                      <w:lang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0.0</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6</w:t>
                  </w: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70</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二甲苯</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30</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聚氨酯清漆固化剂</w:t>
                  </w:r>
                </w:p>
              </w:tc>
              <w:tc>
                <w:tcPr>
                  <w:tcW w:w="642" w:type="pct"/>
                  <w:vMerge w:val="restart"/>
                  <w:vAlign w:val="center"/>
                </w:tcPr>
                <w:p>
                  <w:pPr>
                    <w:pStyle w:val="320"/>
                    <w:ind w:firstLine="0" w:firstLineChars="0"/>
                    <w:jc w:val="cente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0.1</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5</w:t>
                  </w: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颗粒物</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80</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15</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p>
              </w:tc>
              <w:tc>
                <w:tcPr>
                  <w:tcW w:w="642" w:type="pct"/>
                  <w:vMerge w:val="continue"/>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p>
              </w:tc>
              <w:tc>
                <w:tcPr>
                  <w:tcW w:w="1084"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非甲烷总烃</w:t>
                  </w:r>
                </w:p>
              </w:tc>
              <w:tc>
                <w:tcPr>
                  <w:tcW w:w="772"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20</w:t>
                  </w:r>
                </w:p>
              </w:tc>
              <w:tc>
                <w:tcPr>
                  <w:tcW w:w="843" w:type="pct"/>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100</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颗粒物</w:t>
                  </w:r>
                  <w:r>
                    <w:rPr>
                      <w:rFonts w:ascii="Times New Roman" w:hAnsi="宋体" w:eastAsia="宋体" w:cs="Times New Roman"/>
                      <w:color w:val="000000" w:themeColor="text1"/>
                      <w:sz w:val="21"/>
                      <w:szCs w:val="21"/>
                      <w:highlight w:val="none"/>
                      <w14:textFill>
                        <w14:solidFill>
                          <w14:schemeClr w14:val="tx1"/>
                        </w14:solidFill>
                      </w14:textFill>
                    </w:rPr>
                    <w:t>合计</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ascii="Times New Roman" w:hAnsi="宋体" w:eastAsia="宋体" w:cs="Times New Roman"/>
                      <w:color w:val="000000" w:themeColor="text1"/>
                      <w:sz w:val="21"/>
                      <w:szCs w:val="21"/>
                      <w:highlight w:val="none"/>
                      <w14:textFill>
                        <w14:solidFill>
                          <w14:schemeClr w14:val="tx1"/>
                        </w14:solidFill>
                      </w14:textFill>
                    </w:rPr>
                    <w:t>非甲烷总烃合计</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62" w:type="pct"/>
                  <w:gridSpan w:val="5"/>
                  <w:vAlign w:val="center"/>
                </w:tcPr>
                <w:p>
                  <w:pPr>
                    <w:pStyle w:val="320"/>
                    <w:ind w:firstLine="0" w:firstLineChars="0"/>
                    <w:jc w:val="center"/>
                    <w:rPr>
                      <w:rFonts w:hint="eastAsia" w:ascii="Times New Roman" w:hAnsi="宋体" w:eastAsia="宋体" w:cs="Times New Roman"/>
                      <w:color w:val="000000" w:themeColor="text1"/>
                      <w:sz w:val="21"/>
                      <w:szCs w:val="21"/>
                      <w:highlight w:val="none"/>
                      <w14:textFill>
                        <w14:solidFill>
                          <w14:schemeClr w14:val="tx1"/>
                        </w14:solidFill>
                      </w14:textFill>
                    </w:rPr>
                  </w:pPr>
                  <w:r>
                    <w:rPr>
                      <w:rFonts w:hint="eastAsia" w:ascii="Times New Roman" w:hAnsi="宋体" w:eastAsia="宋体" w:cs="Times New Roman"/>
                      <w:color w:val="000000" w:themeColor="text1"/>
                      <w:sz w:val="21"/>
                      <w:szCs w:val="21"/>
                      <w:highlight w:val="none"/>
                      <w14:textFill>
                        <w14:solidFill>
                          <w14:schemeClr w14:val="tx1"/>
                        </w14:solidFill>
                      </w14:textFill>
                    </w:rPr>
                    <w:t>二甲苯</w:t>
                  </w:r>
                  <w:r>
                    <w:rPr>
                      <w:rFonts w:ascii="Times New Roman" w:hAnsi="宋体" w:eastAsia="宋体" w:cs="Times New Roman"/>
                      <w:color w:val="000000" w:themeColor="text1"/>
                      <w:sz w:val="21"/>
                      <w:szCs w:val="21"/>
                      <w:highlight w:val="none"/>
                      <w14:textFill>
                        <w14:solidFill>
                          <w14:schemeClr w14:val="tx1"/>
                        </w14:solidFill>
                      </w14:textFill>
                    </w:rPr>
                    <w:t>合计</w:t>
                  </w:r>
                </w:p>
              </w:tc>
              <w:tc>
                <w:tcPr>
                  <w:tcW w:w="1451" w:type="dxa"/>
                  <w:vAlign w:val="center"/>
                </w:tcPr>
                <w:p>
                  <w:pPr>
                    <w:keepNext w:val="0"/>
                    <w:keepLines w:val="0"/>
                    <w:widowControl/>
                    <w:suppressLineNumbers w:val="0"/>
                    <w:jc w:val="center"/>
                    <w:textAlignment w:val="center"/>
                    <w:rPr>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0.116 </w:t>
                  </w:r>
                </w:p>
              </w:tc>
            </w:tr>
          </w:tbl>
          <w:p>
            <w:pPr>
              <w:pStyle w:val="332"/>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调漆</w:t>
            </w:r>
            <w:r>
              <w:rPr>
                <w:rFonts w:hint="eastAsia"/>
                <w:color w:val="000000" w:themeColor="text1"/>
                <w:highlight w:val="none"/>
                <w14:textFill>
                  <w14:solidFill>
                    <w14:schemeClr w14:val="tx1"/>
                  </w14:solidFill>
                </w14:textFill>
              </w:rPr>
              <w:t>喷漆废气经喷漆水帘柜处理后和烘干废气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由抽风机经管道抽送至“水喷淋+活性炭二级吸附”设备处理后，通过</w:t>
            </w:r>
            <w:r>
              <w:rPr>
                <w:rFonts w:hint="eastAsia"/>
                <w:color w:val="000000" w:themeColor="text1"/>
                <w:highlight w:val="none"/>
                <w:lang w:val="en-US"/>
                <w14:textFill>
                  <w14:solidFill>
                    <w14:schemeClr w14:val="tx1"/>
                  </w14:solidFill>
                </w14:textFill>
              </w:rPr>
              <w:t>1根15m高排气筒（DA002）</w:t>
            </w:r>
            <w:r>
              <w:rPr>
                <w:rFonts w:hint="eastAsia"/>
                <w:color w:val="000000" w:themeColor="text1"/>
                <w:highlight w:val="none"/>
                <w14:textFill>
                  <w14:solidFill>
                    <w14:schemeClr w14:val="tx1"/>
                  </w14:solidFill>
                </w14:textFill>
              </w:rPr>
              <w:t>排放。本</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项目处理设施设计风机量</w:t>
            </w:r>
            <w:r>
              <w:rPr>
                <w:rFonts w:hint="eastAsia"/>
                <w:color w:val="000000" w:themeColor="text1"/>
                <w:highlight w:val="none"/>
                <w:lang w:val="en-US"/>
                <w14:textFill>
                  <w14:solidFill>
                    <w14:schemeClr w14:val="tx1"/>
                  </w14:solidFill>
                </w14:textFill>
              </w:rPr>
              <w:t>15</w:t>
            </w:r>
            <w:r>
              <w:rPr>
                <w:color w:val="000000" w:themeColor="text1"/>
                <w:highlight w:val="none"/>
                <w14:textFill>
                  <w14:solidFill>
                    <w14:schemeClr w14:val="tx1"/>
                  </w14:solidFill>
                </w14:textFill>
              </w:rPr>
              <w:t>000</w:t>
            </w:r>
            <w:r>
              <w:rPr>
                <w:rFonts w:hint="eastAsia"/>
                <w:color w:val="000000" w:themeColor="text1"/>
                <w:highlight w:val="none"/>
                <w14:textFill>
                  <w14:solidFill>
                    <w14:schemeClr w14:val="tx1"/>
                  </w14:solidFill>
                </w14:textFill>
              </w:rPr>
              <w:t>m³</w:t>
            </w: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进行评价，喷漆强度为最低按</w:t>
            </w:r>
            <w:r>
              <w:rPr>
                <w:rFonts w:hint="eastAsia"/>
                <w:color w:val="000000" w:themeColor="text1"/>
                <w:highlight w:val="none"/>
                <w:lang w:val="en-US"/>
                <w14:textFill>
                  <w14:solidFill>
                    <w14:schemeClr w14:val="tx1"/>
                  </w14:solidFill>
                </w14:textFill>
              </w:rPr>
              <w:t>8</w:t>
            </w:r>
            <w:r>
              <w:rPr>
                <w:rFonts w:hint="eastAsia"/>
                <w:color w:val="000000" w:themeColor="text1"/>
                <w:highlight w:val="none"/>
                <w14:textFill>
                  <w14:solidFill>
                    <w14:schemeClr w14:val="tx1"/>
                  </w14:solidFill>
                </w14:textFill>
              </w:rPr>
              <w:t>小时</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班计算，年工作日2</w:t>
            </w:r>
            <w:r>
              <w:rPr>
                <w:rFonts w:hint="eastAsia"/>
                <w:color w:val="000000" w:themeColor="text1"/>
                <w:highlight w:val="none"/>
                <w:lang w:val="en-US"/>
                <w14:textFill>
                  <w14:solidFill>
                    <w14:schemeClr w14:val="tx1"/>
                  </w14:solidFill>
                </w14:textFill>
              </w:rPr>
              <w:t>6</w:t>
            </w:r>
            <w:r>
              <w:rPr>
                <w:rFonts w:hint="eastAsia"/>
                <w:color w:val="000000" w:themeColor="text1"/>
                <w:highlight w:val="none"/>
                <w14:textFill>
                  <w14:solidFill>
                    <w14:schemeClr w14:val="tx1"/>
                  </w14:solidFill>
                </w14:textFill>
              </w:rPr>
              <w:t>0天。</w:t>
            </w:r>
            <w:r>
              <w:rPr>
                <w:bCs/>
                <w:color w:val="000000" w:themeColor="text1"/>
                <w:highlight w:val="none"/>
                <w14:textFill>
                  <w14:solidFill>
                    <w14:schemeClr w14:val="tx1"/>
                  </w14:solidFill>
                </w14:textFill>
              </w:rPr>
              <w:t>根据《福建省环保厅关于印发福建省重点行业挥发</w:t>
            </w:r>
            <w:r>
              <w:rPr>
                <w:rFonts w:hAnsi="宋体"/>
                <w:bCs/>
                <w:color w:val="000000" w:themeColor="text1"/>
                <w:highlight w:val="none"/>
                <w14:textFill>
                  <w14:solidFill>
                    <w14:schemeClr w14:val="tx1"/>
                  </w14:solidFill>
                </w14:textFill>
              </w:rPr>
              <w:t>性有机物排放控制要求（试行）的通知》（闽环保大气〔</w:t>
            </w:r>
            <w:r>
              <w:rPr>
                <w:bCs/>
                <w:color w:val="000000" w:themeColor="text1"/>
                <w:highlight w:val="none"/>
                <w14:textFill>
                  <w14:solidFill>
                    <w14:schemeClr w14:val="tx1"/>
                  </w14:solidFill>
                </w14:textFill>
              </w:rPr>
              <w:t>2017</w:t>
            </w:r>
            <w:r>
              <w:rPr>
                <w:rFonts w:hAnsi="宋体"/>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9</w:t>
            </w:r>
            <w:r>
              <w:rPr>
                <w:rFonts w:hAnsi="宋体"/>
                <w:bCs/>
                <w:color w:val="000000" w:themeColor="text1"/>
                <w:highlight w:val="none"/>
                <w14:textFill>
                  <w14:solidFill>
                    <w14:schemeClr w14:val="tx1"/>
                  </w14:solidFill>
                </w14:textFill>
              </w:rPr>
              <w:t>号）要求，项目有机废气应集中收集后治理排放</w:t>
            </w:r>
            <w:r>
              <w:rPr>
                <w:rFonts w:hint="eastAsia" w:hAnsi="宋体"/>
                <w:bCs/>
                <w:color w:val="000000" w:themeColor="text1"/>
                <w:highlight w:val="none"/>
                <w:lang w:eastAsia="zh-CN"/>
                <w14:textFill>
                  <w14:solidFill>
                    <w14:schemeClr w14:val="tx1"/>
                  </w14:solidFill>
                </w14:textFill>
              </w:rPr>
              <w:t>且</w:t>
            </w:r>
            <w:r>
              <w:rPr>
                <w:rFonts w:hAnsi="宋体"/>
                <w:bCs/>
                <w:color w:val="000000" w:themeColor="text1"/>
                <w:highlight w:val="none"/>
                <w14:textFill>
                  <w14:solidFill>
                    <w14:schemeClr w14:val="tx1"/>
                  </w14:solidFill>
                </w14:textFill>
              </w:rPr>
              <w:t>要求密闭式局部收集的逸散的有机</w:t>
            </w:r>
            <w:r>
              <w:rPr>
                <w:rFonts w:hint="eastAsia" w:hAnsi="宋体"/>
                <w:bCs/>
                <w:color w:val="000000" w:themeColor="text1"/>
                <w:highlight w:val="none"/>
                <w:lang w:eastAsia="zh-CN"/>
                <w14:textFill>
                  <w14:solidFill>
                    <w14:schemeClr w14:val="tx1"/>
                  </w14:solidFill>
                </w14:textFill>
              </w:rPr>
              <w:t>废气</w:t>
            </w:r>
            <w:r>
              <w:rPr>
                <w:rFonts w:hAnsi="宋体"/>
                <w:bCs/>
                <w:color w:val="000000" w:themeColor="text1"/>
                <w:highlight w:val="none"/>
                <w14:textFill>
                  <w14:solidFill>
                    <w14:schemeClr w14:val="tx1"/>
                  </w14:solidFill>
                </w14:textFill>
              </w:rPr>
              <w:t>收集率应达到</w:t>
            </w:r>
            <w:r>
              <w:rPr>
                <w:bCs/>
                <w:color w:val="000000" w:themeColor="text1"/>
                <w:highlight w:val="none"/>
                <w14:textFill>
                  <w14:solidFill>
                    <w14:schemeClr w14:val="tx1"/>
                  </w14:solidFill>
                </w14:textFill>
              </w:rPr>
              <w:t>80%</w:t>
            </w:r>
            <w:r>
              <w:rPr>
                <w:rFonts w:hAnsi="宋体"/>
                <w:bCs/>
                <w:color w:val="000000" w:themeColor="text1"/>
                <w:highlight w:val="none"/>
                <w14:textFill>
                  <w14:solidFill>
                    <w14:schemeClr w14:val="tx1"/>
                  </w14:solidFill>
                </w14:textFill>
              </w:rPr>
              <w:t>以上</w:t>
            </w:r>
            <w:r>
              <w:rPr>
                <w:rFonts w:hint="eastAsia" w:hAnsi="宋体"/>
                <w:bCs/>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喷漆</w:t>
            </w:r>
            <w:r>
              <w:rPr>
                <w:color w:val="000000" w:themeColor="text1"/>
                <w:highlight w:val="none"/>
                <w14:textFill>
                  <w14:solidFill>
                    <w14:schemeClr w14:val="tx1"/>
                  </w14:solidFill>
                </w14:textFill>
              </w:rPr>
              <w:t>区</w:t>
            </w:r>
            <w:r>
              <w:rPr>
                <w:rFonts w:hint="eastAsia"/>
                <w:color w:val="000000" w:themeColor="text1"/>
                <w:highlight w:val="none"/>
                <w14:textFill>
                  <w14:solidFill>
                    <w14:schemeClr w14:val="tx1"/>
                  </w14:solidFill>
                </w14:textFill>
              </w:rPr>
              <w:t>（含喷漆、调漆），烘干区</w:t>
            </w:r>
            <w:r>
              <w:rPr>
                <w:rFonts w:hint="eastAsia" w:hAnsi="宋体"/>
                <w:bCs/>
                <w:color w:val="000000" w:themeColor="text1"/>
                <w:highlight w:val="none"/>
                <w14:textFill>
                  <w14:solidFill>
                    <w14:schemeClr w14:val="tx1"/>
                  </w14:solidFill>
                </w14:textFill>
              </w:rPr>
              <w:t>拟设置独立密闭区域，故本评价收集效率按90%计；</w:t>
            </w:r>
            <w:r>
              <w:rPr>
                <w:rFonts w:hint="eastAsia" w:hAnsi="宋体"/>
                <w:bCs/>
                <w:color w:val="000000" w:themeColor="text1"/>
                <w:highlight w:val="none"/>
                <w:lang w:eastAsia="zh-CN"/>
                <w14:textFill>
                  <w14:solidFill>
                    <w14:schemeClr w14:val="tx1"/>
                  </w14:solidFill>
                </w14:textFill>
              </w:rPr>
              <w:t>扩建</w:t>
            </w:r>
            <w:r>
              <w:rPr>
                <w:rFonts w:hint="eastAsia" w:hAnsi="宋体"/>
                <w:bCs/>
                <w:color w:val="000000" w:themeColor="text1"/>
                <w:highlight w:val="none"/>
                <w14:textFill>
                  <w14:solidFill>
                    <w14:schemeClr w14:val="tx1"/>
                  </w14:solidFill>
                </w14:textFill>
              </w:rPr>
              <w:t>项目水帘柜及水喷淋净化塔针对漆雾的处理效率约为90%，有机废气</w:t>
            </w:r>
            <w:r>
              <w:rPr>
                <w:rFonts w:hint="eastAsia"/>
                <w:bCs/>
                <w:color w:val="000000" w:themeColor="text1"/>
                <w:highlight w:val="none"/>
                <w14:textFill>
                  <w14:solidFill>
                    <w14:schemeClr w14:val="tx1"/>
                  </w14:solidFill>
                </w14:textFill>
              </w:rPr>
              <w:t>处理设施（水喷淋净化塔+二级活性炭吸附箱）针对挥发性有机物的平均处理效率约为</w:t>
            </w:r>
            <w:r>
              <w:rPr>
                <w:rFonts w:hint="eastAsia"/>
                <w:bCs/>
                <w:color w:val="000000" w:themeColor="text1"/>
                <w:highlight w:val="none"/>
                <w:lang w:val="en-US"/>
                <w14:textFill>
                  <w14:solidFill>
                    <w14:schemeClr w14:val="tx1"/>
                  </w14:solidFill>
                </w14:textFill>
              </w:rPr>
              <w:t>8</w:t>
            </w:r>
            <w:r>
              <w:rPr>
                <w:rFonts w:hint="eastAsia"/>
                <w:bCs/>
                <w:color w:val="000000" w:themeColor="text1"/>
                <w:highlight w:val="none"/>
                <w14:textFill>
                  <w14:solidFill>
                    <w14:schemeClr w14:val="tx1"/>
                  </w14:solidFill>
                </w14:textFill>
              </w:rPr>
              <w:t>0%。</w:t>
            </w:r>
            <w:r>
              <w:rPr>
                <w:rFonts w:hint="eastAsia"/>
                <w:color w:val="000000" w:themeColor="text1"/>
                <w:highlight w:val="none"/>
                <w14:textFill>
                  <w14:solidFill>
                    <w14:schemeClr w14:val="tx1"/>
                  </w14:solidFill>
                </w14:textFill>
              </w:rPr>
              <w:t>因此，</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调漆喷漆及烘干工序产生的</w:t>
            </w:r>
            <w:r>
              <w:rPr>
                <w:color w:val="000000" w:themeColor="text1"/>
                <w:highlight w:val="none"/>
                <w14:textFill>
                  <w14:solidFill>
                    <w14:schemeClr w14:val="tx1"/>
                  </w14:solidFill>
                </w14:textFill>
              </w:rPr>
              <w:t>废气产排情况见</w:t>
            </w:r>
            <w:r>
              <w:rPr>
                <w:rFonts w:hint="eastAsia"/>
                <w:color w:val="000000" w:themeColor="text1"/>
                <w:highlight w:val="none"/>
                <w:lang w:val="en-US"/>
                <w14:textFill>
                  <w14:solidFill>
                    <w14:schemeClr w14:val="tx1"/>
                  </w14:solidFill>
                </w14:textFill>
              </w:rPr>
              <w:t>4.2-7</w:t>
            </w:r>
            <w:r>
              <w:rPr>
                <w:rFonts w:hint="eastAsia"/>
                <w:color w:val="000000" w:themeColor="text1"/>
                <w:highlight w:val="none"/>
                <w14:textFill>
                  <w14:solidFill>
                    <w14:schemeClr w14:val="tx1"/>
                  </w14:solidFill>
                </w14:textFill>
              </w:rPr>
              <w:t>。</w:t>
            </w:r>
          </w:p>
          <w:p>
            <w:pPr>
              <w:pStyle w:val="8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表4.2-7  </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调漆喷漆及烘干废气</w:t>
            </w:r>
            <w:r>
              <w:rPr>
                <w:color w:val="000000" w:themeColor="text1"/>
                <w:highlight w:val="none"/>
                <w14:textFill>
                  <w14:solidFill>
                    <w14:schemeClr w14:val="tx1"/>
                  </w14:solidFill>
                </w14:textFill>
              </w:rPr>
              <w:t>产排情况一览表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14"/>
              <w:gridCol w:w="1037"/>
              <w:gridCol w:w="778"/>
              <w:gridCol w:w="699"/>
              <w:gridCol w:w="704"/>
              <w:gridCol w:w="1396"/>
              <w:gridCol w:w="560"/>
              <w:gridCol w:w="837"/>
              <w:gridCol w:w="804"/>
              <w:gridCol w:w="702"/>
              <w:gridCol w:w="7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9"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污染源</w:t>
                  </w:r>
                </w:p>
              </w:tc>
              <w:tc>
                <w:tcPr>
                  <w:tcW w:w="598"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w:t>
                  </w:r>
                </w:p>
              </w:tc>
              <w:tc>
                <w:tcPr>
                  <w:tcW w:w="1258" w:type="pct"/>
                  <w:gridSpan w:val="3"/>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产生状况</w:t>
                  </w:r>
                </w:p>
              </w:tc>
              <w:tc>
                <w:tcPr>
                  <w:tcW w:w="805"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措施</w:t>
                  </w:r>
                </w:p>
              </w:tc>
              <w:tc>
                <w:tcPr>
                  <w:tcW w:w="323"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去除率</w:t>
                  </w:r>
                </w:p>
              </w:tc>
              <w:tc>
                <w:tcPr>
                  <w:tcW w:w="1352" w:type="pct"/>
                  <w:gridSpan w:val="3"/>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排放状况</w:t>
                  </w:r>
                </w:p>
              </w:tc>
              <w:tc>
                <w:tcPr>
                  <w:tcW w:w="422"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排气量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239"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98"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449"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03"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5"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805"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323"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483"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浓度</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(mg/m³)</w:t>
                  </w:r>
                </w:p>
              </w:tc>
              <w:tc>
                <w:tcPr>
                  <w:tcW w:w="464"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速率</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(kg/h)</w:t>
                  </w:r>
                </w:p>
              </w:tc>
              <w:tc>
                <w:tcPr>
                  <w:tcW w:w="404"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(t/a)</w:t>
                  </w:r>
                </w:p>
              </w:tc>
              <w:tc>
                <w:tcPr>
                  <w:tcW w:w="422" w:type="pct"/>
                  <w:tcBorders>
                    <w:tl2br w:val="nil"/>
                    <w:tr2bl w:val="nil"/>
                  </w:tcBorders>
                  <w:vAlign w:val="center"/>
                </w:tcPr>
                <w:p>
                  <w:pPr>
                    <w:pStyle w:val="33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(m³/h)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有组织</w:t>
                  </w: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78"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3.3425 </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0.0501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0.1043 </w:t>
                  </w:r>
                </w:p>
              </w:tc>
              <w:tc>
                <w:tcPr>
                  <w:tcW w:w="805"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水帘柜+水喷淋+二级活性炭吸附设备+15m排气筒（DA002）</w:t>
                  </w:r>
                </w:p>
              </w:tc>
              <w:tc>
                <w:tcPr>
                  <w:tcW w:w="323" w:type="pc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90%</w:t>
                  </w: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422"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239"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NMHC</w:t>
                  </w:r>
                </w:p>
              </w:tc>
              <w:tc>
                <w:tcPr>
                  <w:tcW w:w="778"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4.0024 </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0.0600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0.1249 </w:t>
                  </w:r>
                </w:p>
              </w:tc>
              <w:tc>
                <w:tcPr>
                  <w:tcW w:w="805"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集气设备+水喷淋+二级活性炭吸附设备+15m排气筒（DA002）</w:t>
                  </w:r>
                </w:p>
              </w:tc>
              <w:tc>
                <w:tcPr>
                  <w:tcW w:w="323"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80%</w:t>
                  </w: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422"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778"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0.6490 </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0.0097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0.0203 </w:t>
                  </w:r>
                </w:p>
              </w:tc>
              <w:tc>
                <w:tcPr>
                  <w:tcW w:w="805"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323"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422"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restar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778"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805"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车间密闭降低无组织排放</w:t>
                  </w:r>
                </w:p>
              </w:tc>
              <w:tc>
                <w:tcPr>
                  <w:tcW w:w="323"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0%</w:t>
                  </w: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422" w:type="pct"/>
                  <w:vMerge w:val="restart"/>
                  <w:tcBorders>
                    <w:tl2br w:val="nil"/>
                    <w:tr2bl w:val="nil"/>
                  </w:tcBorders>
                  <w:vAlign w:val="center"/>
                </w:tcPr>
                <w:p>
                  <w:pPr>
                    <w:pStyle w:val="331"/>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NMHC</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805"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23"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422"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39"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c>
                <w:tcPr>
                  <w:tcW w:w="598" w:type="pct"/>
                  <w:tcBorders>
                    <w:tl2br w:val="nil"/>
                    <w:tr2bl w:val="nil"/>
                  </w:tcBorders>
                  <w:vAlign w:val="center"/>
                </w:tcPr>
                <w:p>
                  <w:pPr>
                    <w:pStyle w:val="331"/>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778" w:type="dxa"/>
                  <w:tcBorders>
                    <w:tl2br w:val="nil"/>
                    <w:tr2bl w:val="nil"/>
                  </w:tcBorders>
                  <w:vAlign w:val="center"/>
                </w:tcPr>
                <w:p>
                  <w:pPr>
                    <w:pStyle w:val="320"/>
                    <w:ind w:firstLine="0" w:firstLineChars="0"/>
                    <w:jc w:val="center"/>
                    <w:rPr>
                      <w:rFonts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699"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704"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805"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323" w:type="pct"/>
                  <w:vMerge w:val="continue"/>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837"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804"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702" w:type="dxa"/>
                  <w:tcBorders>
                    <w:tl2br w:val="nil"/>
                    <w:tr2bl w:val="nil"/>
                  </w:tcBorders>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422" w:type="pct"/>
                  <w:vMerge w:val="continue"/>
                  <w:tcBorders>
                    <w:tl2br w:val="nil"/>
                    <w:tr2bl w:val="nil"/>
                  </w:tcBorders>
                  <w:vAlign w:val="center"/>
                </w:tcPr>
                <w:p>
                  <w:pPr>
                    <w:pStyle w:val="331"/>
                    <w:rPr>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p>
          <w:p>
            <w:pPr>
              <w:pStyle w:val="86"/>
              <w:numPr>
                <w:ilvl w:val="0"/>
                <w:numId w:val="4"/>
              </w:numPr>
              <w:ind w:firstLine="482"/>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废气收集处理及排放情况</w:t>
            </w:r>
          </w:p>
          <w:p>
            <w:pPr>
              <w:pStyle w:val="86"/>
              <w:ind w:firstLine="48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t>①木工区废气：</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项目拟在1F精锯、砂光等产生粉尘颗粒物的设备上方及3F砂光设备上方设置集气罩（本评价收集效率按85%计），集中收集的木工</w:t>
            </w:r>
            <w:r>
              <w:rPr>
                <w:rFonts w:hint="eastAsia"/>
                <w:color w:val="000000" w:themeColor="text1"/>
                <w:highlight w:val="none"/>
                <w:lang w:eastAsia="zh-CN"/>
                <w14:textFill>
                  <w14:solidFill>
                    <w14:schemeClr w14:val="tx1"/>
                  </w14:solidFill>
                </w14:textFill>
              </w:rPr>
              <w:t>区</w:t>
            </w:r>
            <w:r>
              <w:rPr>
                <w:color w:val="000000" w:themeColor="text1"/>
                <w:highlight w:val="none"/>
                <w14:textFill>
                  <w14:solidFill>
                    <w14:schemeClr w14:val="tx1"/>
                  </w14:solidFill>
                </w14:textFill>
              </w:rPr>
              <w:t>废气通过1套中央除尘器（布袋除尘设施）处理后有组织排放，通过1根15m高排气筒（DA001）排放。拟配套风机风量20000m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lang w:val="en-GB"/>
                <w14:textFill>
                  <w14:solidFill>
                    <w14:schemeClr w14:val="tx1"/>
                  </w14:solidFill>
                </w14:textFill>
              </w:rPr>
              <w:t>。</w:t>
            </w:r>
          </w:p>
          <w:p>
            <w:pPr>
              <w:pStyle w:val="86"/>
              <w:ind w:firstLine="480"/>
              <w:rPr>
                <w:color w:val="000000" w:themeColor="text1"/>
                <w:highlight w:val="none"/>
                <w:lang w:val="en-GB"/>
                <w14:textFill>
                  <w14:solidFill>
                    <w14:schemeClr w14:val="tx1"/>
                  </w14:solidFill>
                </w14:textFill>
              </w:rPr>
            </w:pPr>
            <w:r>
              <w:rPr>
                <w:color w:val="000000" w:themeColor="text1"/>
                <w:highlight w:val="none"/>
                <w14:textFill>
                  <w14:solidFill>
                    <w14:schemeClr w14:val="tx1"/>
                  </w14:solidFill>
                </w14:textFill>
              </w:rPr>
              <w:t>②调漆喷漆及烘干工序有机废气：</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项目拟设置相对独立的调漆喷漆及烘干区域（本评价收集效率按90%计），调漆喷漆废气经水帘柜除漆雾后，同烘干工序有机废气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color w:val="000000" w:themeColor="text1"/>
                <w:highlight w:val="none"/>
                <w14:textFill>
                  <w14:solidFill>
                    <w14:schemeClr w14:val="tx1"/>
                  </w14:solidFill>
                </w14:textFill>
              </w:rPr>
              <w:t>一同经1套“水喷淋+二级活性炭吸附”设备处理后有组织排放，通过1根15m高排气筒（DA002）排放。拟配套风机风量15000m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lang w:val="en-GB"/>
                <w14:textFill>
                  <w14:solidFill>
                    <w14:schemeClr w14:val="tx1"/>
                  </w14:solidFill>
                </w14:textFill>
              </w:rPr>
              <w:t>。</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③打磨区废气：</w:t>
            </w:r>
            <w:r>
              <w:rPr>
                <w:rFonts w:hint="eastAsia"/>
                <w:color w:val="000000" w:themeColor="text1"/>
                <w:highlight w:val="none"/>
                <w:lang w:eastAsia="zh-CN"/>
                <w14:textFill>
                  <w14:solidFill>
                    <w14:schemeClr w14:val="tx1"/>
                  </w14:solidFill>
                </w14:textFill>
              </w:rPr>
              <w:t>扩建项目</w:t>
            </w:r>
            <w:r>
              <w:rPr>
                <w:color w:val="000000" w:themeColor="text1"/>
                <w:highlight w:val="none"/>
                <w14:textFill>
                  <w14:solidFill>
                    <w14:schemeClr w14:val="tx1"/>
                  </w14:solidFill>
                </w14:textFill>
              </w:rPr>
              <w:t>设置环保喷淋打磨房，打磨粉尘经密闭打磨房内水除尘系统除尘后，少量颗粒物在车间内无组织排放。</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（3）废气污染物汇总</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项目运营期废气产生及排放情况详见表</w:t>
            </w:r>
            <w:r>
              <w:rPr>
                <w:rFonts w:hint="eastAsia"/>
                <w:color w:val="000000" w:themeColor="text1"/>
                <w:highlight w:val="none"/>
                <w14:textFill>
                  <w14:solidFill>
                    <w14:schemeClr w14:val="tx1"/>
                  </w14:solidFill>
                </w14:textFill>
              </w:rPr>
              <w:t>4.2-8，废气</w:t>
            </w:r>
            <w:r>
              <w:rPr>
                <w:color w:val="000000" w:themeColor="text1"/>
                <w:highlight w:val="none"/>
                <w:lang w:val="en-GB"/>
                <w14:textFill>
                  <w14:solidFill>
                    <w14:schemeClr w14:val="tx1"/>
                  </w14:solidFill>
                </w14:textFill>
              </w:rPr>
              <w:t>排放口基本情况见表4.2-</w:t>
            </w:r>
            <w:r>
              <w:rPr>
                <w:rFonts w:hint="eastAsia"/>
                <w:color w:val="000000" w:themeColor="text1"/>
                <w:highlight w:val="none"/>
                <w14:textFill>
                  <w14:solidFill>
                    <w14:schemeClr w14:val="tx1"/>
                  </w14:solidFill>
                </w14:textFill>
              </w:rPr>
              <w:t>9</w:t>
            </w:r>
            <w:r>
              <w:rPr>
                <w:color w:val="000000" w:themeColor="text1"/>
                <w:highlight w:val="none"/>
                <w:lang w:val="en-GB"/>
                <w14:textFill>
                  <w14:solidFill>
                    <w14:schemeClr w14:val="tx1"/>
                  </w14:solidFill>
                </w14:textFill>
              </w:rPr>
              <w:t>。</w:t>
            </w:r>
          </w:p>
        </w:tc>
      </w:tr>
    </w:tbl>
    <w:p>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134"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表</w:t>
      </w:r>
      <w:r>
        <w:rPr>
          <w:b/>
          <w:color w:val="000000" w:themeColor="text1"/>
          <w:sz w:val="24"/>
          <w:highlight w:val="none"/>
          <w14:textFill>
            <w14:solidFill>
              <w14:schemeClr w14:val="tx1"/>
            </w14:solidFill>
          </w14:textFill>
        </w:rPr>
        <w:t>4.</w:t>
      </w:r>
      <w:r>
        <w:rPr>
          <w:rFonts w:hint="eastAsia"/>
          <w:b/>
          <w:color w:val="000000" w:themeColor="text1"/>
          <w:sz w:val="24"/>
          <w:highlight w:val="none"/>
          <w14:textFill>
            <w14:solidFill>
              <w14:schemeClr w14:val="tx1"/>
            </w14:solidFill>
          </w14:textFill>
        </w:rPr>
        <w:t>2</w:t>
      </w:r>
      <w:r>
        <w:rPr>
          <w:b/>
          <w:color w:val="000000" w:themeColor="text1"/>
          <w:sz w:val="24"/>
          <w:highlight w:val="none"/>
          <w14:textFill>
            <w14:solidFill>
              <w14:schemeClr w14:val="tx1"/>
            </w14:solidFill>
          </w14:textFill>
        </w:rPr>
        <w:t>-</w:t>
      </w:r>
      <w:r>
        <w:rPr>
          <w:rFonts w:hint="eastAsia"/>
          <w:b/>
          <w:color w:val="000000" w:themeColor="text1"/>
          <w:sz w:val="24"/>
          <w:highlight w:val="none"/>
          <w14:textFill>
            <w14:solidFill>
              <w14:schemeClr w14:val="tx1"/>
            </w14:solidFill>
          </w14:textFill>
        </w:rPr>
        <w:t>8  废气污染源源强核算结果及相关参数一览表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64"/>
        <w:gridCol w:w="880"/>
        <w:gridCol w:w="928"/>
        <w:gridCol w:w="1055"/>
        <w:gridCol w:w="1077"/>
        <w:gridCol w:w="880"/>
        <w:gridCol w:w="2115"/>
        <w:gridCol w:w="734"/>
        <w:gridCol w:w="945"/>
        <w:gridCol w:w="1105"/>
        <w:gridCol w:w="1204"/>
        <w:gridCol w:w="1260"/>
        <w:gridCol w:w="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产污环节</w:t>
            </w:r>
          </w:p>
        </w:tc>
        <w:tc>
          <w:tcPr>
            <w:tcW w:w="313"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污染物种类</w:t>
            </w:r>
          </w:p>
        </w:tc>
        <w:tc>
          <w:tcPr>
            <w:tcW w:w="1088" w:type="pct"/>
            <w:gridSpan w:val="3"/>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产生情况</w:t>
            </w:r>
          </w:p>
        </w:tc>
        <w:tc>
          <w:tcPr>
            <w:tcW w:w="313"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排放形式</w:t>
            </w:r>
          </w:p>
        </w:tc>
        <w:tc>
          <w:tcPr>
            <w:tcW w:w="752"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治理措施</w:t>
            </w:r>
          </w:p>
        </w:tc>
        <w:tc>
          <w:tcPr>
            <w:tcW w:w="261"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处理</w:t>
            </w:r>
          </w:p>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效率</w:t>
            </w:r>
          </w:p>
        </w:tc>
        <w:tc>
          <w:tcPr>
            <w:tcW w:w="336"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是否为可行性技术</w:t>
            </w:r>
          </w:p>
        </w:tc>
        <w:tc>
          <w:tcPr>
            <w:tcW w:w="1269" w:type="pct"/>
            <w:gridSpan w:val="3"/>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排放情况</w:t>
            </w:r>
          </w:p>
        </w:tc>
        <w:tc>
          <w:tcPr>
            <w:tcW w:w="322"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330"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375"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产生速率(kg/h)</w:t>
            </w:r>
          </w:p>
        </w:tc>
        <w:tc>
          <w:tcPr>
            <w:tcW w:w="383"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产生量</w:t>
            </w:r>
          </w:p>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752" w:type="pct"/>
            <w:vMerge w:val="continue"/>
            <w:vAlign w:val="center"/>
          </w:tcPr>
          <w:p>
            <w:pPr>
              <w:pStyle w:val="67"/>
              <w:rPr>
                <w:color w:val="000000" w:themeColor="text1"/>
                <w:szCs w:val="21"/>
                <w:highlight w:val="none"/>
                <w14:textFill>
                  <w14:solidFill>
                    <w14:schemeClr w14:val="tx1"/>
                  </w14:solidFill>
                </w14:textFill>
              </w:rPr>
            </w:pPr>
          </w:p>
        </w:tc>
        <w:tc>
          <w:tcPr>
            <w:tcW w:w="261" w:type="pct"/>
            <w:vMerge w:val="continue"/>
            <w:vAlign w:val="center"/>
          </w:tcPr>
          <w:p>
            <w:pPr>
              <w:pStyle w:val="67"/>
              <w:rPr>
                <w:color w:val="000000" w:themeColor="text1"/>
                <w:szCs w:val="21"/>
                <w:highlight w:val="none"/>
                <w14:textFill>
                  <w14:solidFill>
                    <w14:schemeClr w14:val="tx1"/>
                  </w14:solidFill>
                </w14:textFill>
              </w:rPr>
            </w:pPr>
          </w:p>
        </w:tc>
        <w:tc>
          <w:tcPr>
            <w:tcW w:w="336" w:type="pct"/>
            <w:vMerge w:val="continue"/>
            <w:vAlign w:val="center"/>
          </w:tcPr>
          <w:p>
            <w:pPr>
              <w:pStyle w:val="67"/>
              <w:rPr>
                <w:color w:val="000000" w:themeColor="text1"/>
                <w:szCs w:val="21"/>
                <w:highlight w:val="none"/>
                <w14:textFill>
                  <w14:solidFill>
                    <w14:schemeClr w14:val="tx1"/>
                  </w14:solidFill>
                </w14:textFill>
              </w:rPr>
            </w:pPr>
          </w:p>
        </w:tc>
        <w:tc>
          <w:tcPr>
            <w:tcW w:w="393"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排放浓度(mg/m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w:t>
            </w:r>
          </w:p>
        </w:tc>
        <w:tc>
          <w:tcPr>
            <w:tcW w:w="428"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排放速率(kg/h)</w:t>
            </w:r>
          </w:p>
        </w:tc>
        <w:tc>
          <w:tcPr>
            <w:tcW w:w="448"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排放量</w:t>
            </w:r>
          </w:p>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322" w:type="pct"/>
            <w:vMerge w:val="continue"/>
            <w:vAlign w:val="center"/>
          </w:tcPr>
          <w:p>
            <w:pPr>
              <w:pStyle w:val="67"/>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木工加工工序</w:t>
            </w:r>
          </w:p>
        </w:tc>
        <w:tc>
          <w:tcPr>
            <w:tcW w:w="313"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2.4366 </w:t>
            </w:r>
          </w:p>
        </w:tc>
        <w:tc>
          <w:tcPr>
            <w:tcW w:w="1055"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0.0487 </w:t>
            </w:r>
          </w:p>
        </w:tc>
        <w:tc>
          <w:tcPr>
            <w:tcW w:w="1077"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0.1014 </w:t>
            </w:r>
          </w:p>
        </w:tc>
        <w:tc>
          <w:tcPr>
            <w:tcW w:w="313"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752"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集气设备+布袋除尘设备+15m排气筒</w:t>
            </w:r>
          </w:p>
        </w:tc>
        <w:tc>
          <w:tcPr>
            <w:tcW w:w="261"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90</w:t>
            </w:r>
            <w:r>
              <w:rPr>
                <w:color w:val="000000" w:themeColor="text1"/>
                <w:szCs w:val="21"/>
                <w:highlight w:val="none"/>
                <w14:textFill>
                  <w14:solidFill>
                    <w14:schemeClr w14:val="tx1"/>
                  </w14:solidFill>
                </w14:textFill>
              </w:rPr>
              <w:t>%</w:t>
            </w:r>
          </w:p>
        </w:tc>
        <w:tc>
          <w:tcPr>
            <w:tcW w:w="336"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0.2437 </w:t>
            </w:r>
          </w:p>
        </w:tc>
        <w:tc>
          <w:tcPr>
            <w:tcW w:w="1204"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0.0049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0.0101 </w:t>
            </w:r>
          </w:p>
        </w:tc>
        <w:tc>
          <w:tcPr>
            <w:tcW w:w="322"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9"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928"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055"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1077"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313" w:type="pc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752"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加强车间</w:t>
            </w:r>
            <w:r>
              <w:rPr>
                <w:color w:val="000000" w:themeColor="text1"/>
                <w:szCs w:val="21"/>
                <w:highlight w:val="none"/>
                <w14:textFill>
                  <w14:solidFill>
                    <w14:schemeClr w14:val="tx1"/>
                  </w14:solidFill>
                </w14:textFill>
              </w:rPr>
              <w:t>密闭性</w:t>
            </w:r>
          </w:p>
        </w:tc>
        <w:tc>
          <w:tcPr>
            <w:tcW w:w="261"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36"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204"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0.0086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0.0179 </w:t>
            </w:r>
          </w:p>
        </w:tc>
        <w:tc>
          <w:tcPr>
            <w:tcW w:w="322"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调漆喷漆及烘干工序</w:t>
            </w: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3.3425 </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0.0501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0.1043 </w:t>
            </w:r>
          </w:p>
        </w:tc>
        <w:tc>
          <w:tcPr>
            <w:tcW w:w="313"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752" w:type="pct"/>
            <w:vAlign w:val="center"/>
          </w:tcPr>
          <w:p>
            <w:pPr>
              <w:pStyle w:val="331"/>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水帘柜+水喷淋+二级活性炭吸附设备+15m排气筒</w:t>
            </w:r>
          </w:p>
        </w:tc>
        <w:tc>
          <w:tcPr>
            <w:tcW w:w="261"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90</w:t>
            </w:r>
            <w:r>
              <w:rPr>
                <w:color w:val="000000" w:themeColor="text1"/>
                <w:szCs w:val="21"/>
                <w:highlight w:val="none"/>
                <w14:textFill>
                  <w14:solidFill>
                    <w14:schemeClr w14:val="tx1"/>
                  </w14:solidFill>
                </w14:textFill>
              </w:rPr>
              <w:t>%</w:t>
            </w:r>
          </w:p>
        </w:tc>
        <w:tc>
          <w:tcPr>
            <w:tcW w:w="336" w:type="pct"/>
            <w:vAlign w:val="center"/>
          </w:tcPr>
          <w:p>
            <w:pPr>
              <w:jc w:val="center"/>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1204"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322" w:type="pct"/>
            <w:vMerge w:val="restart"/>
            <w:vAlign w:val="center"/>
          </w:tcPr>
          <w:p>
            <w:pPr>
              <w:pStyle w:val="67"/>
              <w:adjustRightInd w:val="0"/>
              <w:spacing w:line="320" w:lineRule="exact"/>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28"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4.0024 </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0.0600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0.1249 </w:t>
            </w: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752" w:type="pct"/>
            <w:vMerge w:val="restart"/>
            <w:vAlign w:val="center"/>
          </w:tcPr>
          <w:p>
            <w:pPr>
              <w:pStyle w:val="331"/>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集气设备+水喷淋+二级活性炭吸附设备+15m排气筒</w:t>
            </w:r>
          </w:p>
        </w:tc>
        <w:tc>
          <w:tcPr>
            <w:tcW w:w="261"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80%</w:t>
            </w:r>
          </w:p>
        </w:tc>
        <w:tc>
          <w:tcPr>
            <w:tcW w:w="336"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1204"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1260" w:type="dxa"/>
            <w:vAlign w:val="center"/>
          </w:tcPr>
          <w:p>
            <w:pPr>
              <w:pStyle w:val="331"/>
              <w:rPr>
                <w:color w:val="000000" w:themeColor="text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322" w:type="pct"/>
            <w:vMerge w:val="continue"/>
            <w:vAlign w:val="center"/>
          </w:tcPr>
          <w:p>
            <w:pPr>
              <w:pStyle w:val="67"/>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28"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0.6490 </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0.0097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0.0203 </w:t>
            </w: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752" w:type="pct"/>
            <w:vMerge w:val="continue"/>
            <w:vAlign w:val="center"/>
          </w:tcPr>
          <w:p>
            <w:pPr>
              <w:pStyle w:val="331"/>
              <w:rPr>
                <w:color w:val="000000" w:themeColor="text1"/>
                <w:szCs w:val="21"/>
                <w:highlight w:val="none"/>
                <w14:textFill>
                  <w14:solidFill>
                    <w14:schemeClr w14:val="tx1"/>
                  </w14:solidFill>
                </w14:textFill>
              </w:rPr>
            </w:pPr>
          </w:p>
        </w:tc>
        <w:tc>
          <w:tcPr>
            <w:tcW w:w="261" w:type="pct"/>
            <w:vMerge w:val="continue"/>
            <w:vAlign w:val="center"/>
          </w:tcPr>
          <w:p>
            <w:pPr>
              <w:pStyle w:val="67"/>
              <w:rPr>
                <w:color w:val="000000" w:themeColor="text1"/>
                <w:szCs w:val="21"/>
                <w:highlight w:val="none"/>
                <w14:textFill>
                  <w14:solidFill>
                    <w14:schemeClr w14:val="tx1"/>
                  </w14:solidFill>
                </w14:textFill>
              </w:rPr>
            </w:pPr>
          </w:p>
        </w:tc>
        <w:tc>
          <w:tcPr>
            <w:tcW w:w="336" w:type="pct"/>
            <w:vMerge w:val="continue"/>
            <w:vAlign w:val="center"/>
          </w:tcPr>
          <w:p>
            <w:pPr>
              <w:pStyle w:val="67"/>
              <w:rPr>
                <w:color w:val="000000" w:themeColor="text1"/>
                <w:szCs w:val="21"/>
                <w:highlight w:val="none"/>
                <w14:textFill>
                  <w14:solidFill>
                    <w14:schemeClr w14:val="tx1"/>
                  </w14:solidFill>
                </w14:textFill>
              </w:rPr>
            </w:pPr>
          </w:p>
        </w:tc>
        <w:tc>
          <w:tcPr>
            <w:tcW w:w="1105"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1204"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322" w:type="pct"/>
            <w:vMerge w:val="continue"/>
            <w:vAlign w:val="center"/>
          </w:tcPr>
          <w:p>
            <w:pPr>
              <w:pStyle w:val="67"/>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28"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313" w:type="pct"/>
            <w:vMerge w:val="restart"/>
            <w:vAlign w:val="center"/>
          </w:tcPr>
          <w:p>
            <w:pPr>
              <w:pStyle w:val="67"/>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752"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加强车间</w:t>
            </w:r>
            <w:r>
              <w:rPr>
                <w:color w:val="000000" w:themeColor="text1"/>
                <w:szCs w:val="21"/>
                <w:highlight w:val="none"/>
                <w14:textFill>
                  <w14:solidFill>
                    <w14:schemeClr w14:val="tx1"/>
                  </w14:solidFill>
                </w14:textFill>
              </w:rPr>
              <w:t>密闭性</w:t>
            </w:r>
          </w:p>
        </w:tc>
        <w:tc>
          <w:tcPr>
            <w:tcW w:w="261"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336"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c>
          <w:tcPr>
            <w:tcW w:w="1105"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w:t>
            </w:r>
          </w:p>
        </w:tc>
        <w:tc>
          <w:tcPr>
            <w:tcW w:w="1204"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0.0056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0.0116 </w:t>
            </w:r>
          </w:p>
        </w:tc>
        <w:tc>
          <w:tcPr>
            <w:tcW w:w="322" w:type="pct"/>
            <w:vMerge w:val="restar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28" w:type="dxa"/>
            <w:vAlign w:val="center"/>
          </w:tcPr>
          <w:p>
            <w:pPr>
              <w:pStyle w:val="320"/>
              <w:ind w:firstLine="0" w:firstLineChars="0"/>
              <w:jc w:val="center"/>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752" w:type="pct"/>
            <w:vMerge w:val="continue"/>
            <w:vAlign w:val="center"/>
          </w:tcPr>
          <w:p>
            <w:pPr>
              <w:pStyle w:val="67"/>
              <w:rPr>
                <w:color w:val="000000" w:themeColor="text1"/>
                <w:szCs w:val="21"/>
                <w:highlight w:val="none"/>
                <w14:textFill>
                  <w14:solidFill>
                    <w14:schemeClr w14:val="tx1"/>
                  </w14:solidFill>
                </w14:textFill>
              </w:rPr>
            </w:pPr>
          </w:p>
        </w:tc>
        <w:tc>
          <w:tcPr>
            <w:tcW w:w="261" w:type="pct"/>
            <w:vMerge w:val="continue"/>
            <w:vAlign w:val="center"/>
          </w:tcPr>
          <w:p>
            <w:pPr>
              <w:pStyle w:val="67"/>
              <w:rPr>
                <w:color w:val="000000" w:themeColor="text1"/>
                <w:szCs w:val="21"/>
                <w:highlight w:val="none"/>
                <w14:textFill>
                  <w14:solidFill>
                    <w14:schemeClr w14:val="tx1"/>
                  </w14:solidFill>
                </w14:textFill>
              </w:rPr>
            </w:pPr>
          </w:p>
        </w:tc>
        <w:tc>
          <w:tcPr>
            <w:tcW w:w="336" w:type="pct"/>
            <w:vMerge w:val="continue"/>
            <w:vAlign w:val="center"/>
          </w:tcPr>
          <w:p>
            <w:pPr>
              <w:pStyle w:val="67"/>
              <w:rPr>
                <w:color w:val="000000" w:themeColor="text1"/>
                <w:szCs w:val="21"/>
                <w:highlight w:val="none"/>
                <w14:textFill>
                  <w14:solidFill>
                    <w14:schemeClr w14:val="tx1"/>
                  </w14:solidFill>
                </w14:textFill>
              </w:rPr>
            </w:pPr>
          </w:p>
        </w:tc>
        <w:tc>
          <w:tcPr>
            <w:tcW w:w="1105"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1204"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0.0067 </w:t>
            </w:r>
          </w:p>
        </w:tc>
        <w:tc>
          <w:tcPr>
            <w:tcW w:w="1260" w:type="dxa"/>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0.0139 </w:t>
            </w:r>
          </w:p>
        </w:tc>
        <w:tc>
          <w:tcPr>
            <w:tcW w:w="322" w:type="pct"/>
            <w:vMerge w:val="continue"/>
            <w:vAlign w:val="center"/>
          </w:tcPr>
          <w:p>
            <w:pPr>
              <w:pStyle w:val="67"/>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Merge w:val="continue"/>
            <w:vAlign w:val="center"/>
          </w:tcPr>
          <w:p>
            <w:pPr>
              <w:pStyle w:val="67"/>
              <w:rPr>
                <w:color w:val="000000" w:themeColor="text1"/>
                <w:szCs w:val="21"/>
                <w:highlight w:val="none"/>
                <w14:textFill>
                  <w14:solidFill>
                    <w14:schemeClr w14:val="tx1"/>
                  </w14:solidFill>
                </w14:textFill>
              </w:rPr>
            </w:pPr>
          </w:p>
        </w:tc>
        <w:tc>
          <w:tcPr>
            <w:tcW w:w="313"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928" w:type="dxa"/>
            <w:vAlign w:val="center"/>
          </w:tcPr>
          <w:p>
            <w:pPr>
              <w:pStyle w:val="320"/>
              <w:ind w:firstLine="0" w:firstLineChars="0"/>
              <w:jc w:val="center"/>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14:textFill>
                  <w14:solidFill>
                    <w14:schemeClr w14:val="tx1"/>
                  </w14:solidFill>
                </w14:textFill>
              </w:rPr>
              <w:t>/</w:t>
            </w:r>
          </w:p>
        </w:tc>
        <w:tc>
          <w:tcPr>
            <w:tcW w:w="1055"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1077" w:type="dxa"/>
            <w:vAlign w:val="center"/>
          </w:tcPr>
          <w:p>
            <w:pPr>
              <w:pStyle w:val="331"/>
              <w:rPr>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313" w:type="pct"/>
            <w:vMerge w:val="continue"/>
            <w:vAlign w:val="center"/>
          </w:tcPr>
          <w:p>
            <w:pPr>
              <w:pStyle w:val="67"/>
              <w:rPr>
                <w:color w:val="000000" w:themeColor="text1"/>
                <w:szCs w:val="21"/>
                <w:highlight w:val="none"/>
                <w14:textFill>
                  <w14:solidFill>
                    <w14:schemeClr w14:val="tx1"/>
                  </w14:solidFill>
                </w14:textFill>
              </w:rPr>
            </w:pPr>
          </w:p>
        </w:tc>
        <w:tc>
          <w:tcPr>
            <w:tcW w:w="752" w:type="pct"/>
            <w:vMerge w:val="continue"/>
            <w:vAlign w:val="center"/>
          </w:tcPr>
          <w:p>
            <w:pPr>
              <w:pStyle w:val="67"/>
              <w:rPr>
                <w:color w:val="000000" w:themeColor="text1"/>
                <w:szCs w:val="21"/>
                <w:highlight w:val="none"/>
                <w14:textFill>
                  <w14:solidFill>
                    <w14:schemeClr w14:val="tx1"/>
                  </w14:solidFill>
                </w14:textFill>
              </w:rPr>
            </w:pPr>
          </w:p>
        </w:tc>
        <w:tc>
          <w:tcPr>
            <w:tcW w:w="261" w:type="pct"/>
            <w:vMerge w:val="continue"/>
            <w:vAlign w:val="center"/>
          </w:tcPr>
          <w:p>
            <w:pPr>
              <w:pStyle w:val="67"/>
              <w:rPr>
                <w:color w:val="000000" w:themeColor="text1"/>
                <w:szCs w:val="21"/>
                <w:highlight w:val="none"/>
                <w14:textFill>
                  <w14:solidFill>
                    <w14:schemeClr w14:val="tx1"/>
                  </w14:solidFill>
                </w14:textFill>
              </w:rPr>
            </w:pPr>
          </w:p>
        </w:tc>
        <w:tc>
          <w:tcPr>
            <w:tcW w:w="336" w:type="pct"/>
            <w:vMerge w:val="continue"/>
            <w:vAlign w:val="center"/>
          </w:tcPr>
          <w:p>
            <w:pPr>
              <w:pStyle w:val="67"/>
              <w:rPr>
                <w:color w:val="000000" w:themeColor="text1"/>
                <w:szCs w:val="21"/>
                <w:highlight w:val="none"/>
                <w14:textFill>
                  <w14:solidFill>
                    <w14:schemeClr w14:val="tx1"/>
                  </w14:solidFill>
                </w14:textFill>
              </w:rPr>
            </w:pPr>
          </w:p>
        </w:tc>
        <w:tc>
          <w:tcPr>
            <w:tcW w:w="1105" w:type="dxa"/>
            <w:vAlign w:val="center"/>
          </w:tcPr>
          <w:p>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1204" w:type="dxa"/>
            <w:vAlign w:val="center"/>
          </w:tcPr>
          <w:p>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0.0011 </w:t>
            </w:r>
          </w:p>
        </w:tc>
        <w:tc>
          <w:tcPr>
            <w:tcW w:w="1260" w:type="dxa"/>
            <w:vAlign w:val="center"/>
          </w:tcPr>
          <w:p>
            <w:pPr>
              <w:pStyle w:val="331"/>
              <w:rPr>
                <w:rFonts w:ascii="Times New Roman" w:hAnsi="Times New Roman" w:eastAsia="宋体" w:cs="Times New Roman"/>
                <w:color w:val="000000" w:themeColor="text1"/>
                <w:sz w:val="21"/>
                <w:szCs w:val="21"/>
                <w:highlight w:val="none"/>
                <w:lang w:val="en-GB"/>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0.0023 </w:t>
            </w:r>
          </w:p>
        </w:tc>
        <w:tc>
          <w:tcPr>
            <w:tcW w:w="322" w:type="pct"/>
            <w:vMerge w:val="continue"/>
            <w:vAlign w:val="center"/>
          </w:tcPr>
          <w:p>
            <w:pPr>
              <w:pStyle w:val="67"/>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4" w:hRule="atLeast"/>
          <w:jc w:val="center"/>
        </w:trPr>
        <w:tc>
          <w:tcPr>
            <w:tcW w:w="343" w:type="pct"/>
            <w:vAlign w:val="center"/>
          </w:tcPr>
          <w:p>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打磨工序</w:t>
            </w:r>
          </w:p>
        </w:tc>
        <w:tc>
          <w:tcPr>
            <w:tcW w:w="313" w:type="pct"/>
            <w:vAlign w:val="center"/>
          </w:tcPr>
          <w:p>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颗粒物</w:t>
            </w:r>
          </w:p>
        </w:tc>
        <w:tc>
          <w:tcPr>
            <w:tcW w:w="330" w:type="pct"/>
            <w:vAlign w:val="center"/>
          </w:tcPr>
          <w:p>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75" w:type="pct"/>
            <w:vAlign w:val="center"/>
          </w:tcPr>
          <w:p>
            <w:pPr>
              <w:pStyle w:val="320"/>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383" w:type="pct"/>
            <w:vAlign w:val="center"/>
          </w:tcPr>
          <w:p>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1875</w:t>
            </w:r>
          </w:p>
        </w:tc>
        <w:tc>
          <w:tcPr>
            <w:tcW w:w="313" w:type="pct"/>
            <w:vAlign w:val="center"/>
          </w:tcPr>
          <w:p>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无组织</w:t>
            </w:r>
          </w:p>
        </w:tc>
        <w:tc>
          <w:tcPr>
            <w:tcW w:w="752" w:type="pct"/>
            <w:vAlign w:val="center"/>
          </w:tcPr>
          <w:p>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密闭环保打磨房</w:t>
            </w:r>
            <w:r>
              <w:rPr>
                <w:rFonts w:hint="default" w:ascii="Times New Roman" w:hAnsi="Times New Roman" w:cs="Times New Roman"/>
                <w:color w:val="000000" w:themeColor="text1"/>
                <w:szCs w:val="21"/>
                <w:highlight w:val="none"/>
                <w:lang w:eastAsia="zh-CN"/>
                <w14:textFill>
                  <w14:solidFill>
                    <w14:schemeClr w14:val="tx1"/>
                  </w14:solidFill>
                </w14:textFill>
              </w:rPr>
              <w:t>，水喷淋除尘，处理后颗粒物</w:t>
            </w:r>
            <w:r>
              <w:rPr>
                <w:rFonts w:hint="default" w:ascii="Times New Roman" w:hAnsi="Times New Roman" w:cs="Times New Roman"/>
                <w:color w:val="000000" w:themeColor="text1"/>
                <w:highlight w:val="none"/>
                <w14:textFill>
                  <w14:solidFill>
                    <w14:schemeClr w14:val="tx1"/>
                  </w14:solidFill>
                </w14:textFill>
              </w:rPr>
              <w:t>无组织排放散落在打磨房内部及周围地面</w:t>
            </w:r>
          </w:p>
        </w:tc>
        <w:tc>
          <w:tcPr>
            <w:tcW w:w="261" w:type="pct"/>
            <w:vAlign w:val="center"/>
          </w:tcPr>
          <w:p>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90%</w:t>
            </w:r>
          </w:p>
        </w:tc>
        <w:tc>
          <w:tcPr>
            <w:tcW w:w="336" w:type="pct"/>
            <w:vAlign w:val="center"/>
          </w:tcPr>
          <w:p>
            <w:pPr>
              <w:pStyle w:val="67"/>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是</w:t>
            </w:r>
          </w:p>
        </w:tc>
        <w:tc>
          <w:tcPr>
            <w:tcW w:w="1105" w:type="dxa"/>
            <w:vAlign w:val="center"/>
          </w:tcPr>
          <w:p>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04" w:type="dxa"/>
            <w:vAlign w:val="center"/>
          </w:tcPr>
          <w:p>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253</w:t>
            </w:r>
          </w:p>
        </w:tc>
        <w:tc>
          <w:tcPr>
            <w:tcW w:w="1260" w:type="dxa"/>
            <w:vAlign w:val="center"/>
          </w:tcPr>
          <w:p>
            <w:pPr>
              <w:pStyle w:val="320"/>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526</w:t>
            </w:r>
          </w:p>
        </w:tc>
        <w:tc>
          <w:tcPr>
            <w:tcW w:w="322" w:type="pct"/>
            <w:vAlign w:val="center"/>
          </w:tcPr>
          <w:p>
            <w:pPr>
              <w:pStyle w:val="67"/>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bl>
    <w:p>
      <w:pPr>
        <w:rPr>
          <w:b/>
          <w:color w:val="000000" w:themeColor="text1"/>
          <w:sz w:val="24"/>
          <w:highlight w:val="none"/>
          <w14:textFill>
            <w14:solidFill>
              <w14:schemeClr w14:val="tx1"/>
            </w14:solidFill>
          </w14:textFill>
        </w:rPr>
      </w:pPr>
    </w:p>
    <w:p>
      <w:pPr>
        <w:spacing w:line="360" w:lineRule="auto"/>
        <w:jc w:val="center"/>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 xml:space="preserve">表4.2-9 </w:t>
      </w:r>
      <w:r>
        <w:rPr>
          <w:rFonts w:hint="eastAsia"/>
          <w:b/>
          <w:bCs/>
          <w:color w:val="000000" w:themeColor="text1"/>
          <w:sz w:val="24"/>
          <w:highlight w:val="none"/>
          <w14:textFill>
            <w14:solidFill>
              <w14:schemeClr w14:val="tx1"/>
            </w14:solidFill>
          </w14:textFill>
        </w:rPr>
        <w:t>废气排放口基本情况</w:t>
      </w:r>
      <w:r>
        <w:rPr>
          <w:rFonts w:hint="eastAsia"/>
          <w:b/>
          <w:color w:val="000000" w:themeColor="text1"/>
          <w:sz w:val="24"/>
          <w:highlight w:val="none"/>
          <w14:textFill>
            <w14:solidFill>
              <w14:schemeClr w14:val="tx1"/>
            </w14:solidFill>
          </w14:textFill>
        </w:rPr>
        <w:t>表</w:t>
      </w:r>
    </w:p>
    <w:tbl>
      <w:tblPr>
        <w:tblStyle w:val="37"/>
        <w:tblW w:w="50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8"/>
        <w:gridCol w:w="2494"/>
        <w:gridCol w:w="1944"/>
        <w:gridCol w:w="1182"/>
        <w:gridCol w:w="1402"/>
        <w:gridCol w:w="1120"/>
        <w:gridCol w:w="1268"/>
        <w:gridCol w:w="1265"/>
        <w:gridCol w:w="1162"/>
        <w:gridCol w:w="727"/>
        <w:gridCol w:w="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编号</w:t>
            </w:r>
          </w:p>
        </w:tc>
        <w:tc>
          <w:tcPr>
            <w:tcW w:w="877"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名称</w:t>
            </w:r>
          </w:p>
        </w:tc>
        <w:tc>
          <w:tcPr>
            <w:tcW w:w="683"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污染物种类</w:t>
            </w:r>
          </w:p>
        </w:tc>
        <w:tc>
          <w:tcPr>
            <w:tcW w:w="416"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废气量(m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/h)</w:t>
            </w:r>
          </w:p>
        </w:tc>
        <w:tc>
          <w:tcPr>
            <w:tcW w:w="493"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排放浓度(mg/m</w:t>
            </w:r>
            <w:r>
              <w:rPr>
                <w:rFonts w:hint="eastAsia"/>
                <w:color w:val="000000" w:themeColor="text1"/>
                <w:szCs w:val="21"/>
                <w:highlight w:val="none"/>
                <w:vertAlign w:val="superscript"/>
                <w14:textFill>
                  <w14:solidFill>
                    <w14:schemeClr w14:val="tx1"/>
                  </w14:solidFill>
                </w14:textFill>
              </w:rPr>
              <w:t>3</w:t>
            </w:r>
            <w:r>
              <w:rPr>
                <w:rFonts w:hint="eastAsia"/>
                <w:color w:val="000000" w:themeColor="text1"/>
                <w:szCs w:val="21"/>
                <w:highlight w:val="none"/>
                <w14:textFill>
                  <w14:solidFill>
                    <w14:schemeClr w14:val="tx1"/>
                  </w14:solidFill>
                </w14:textFill>
              </w:rPr>
              <w:t>)</w:t>
            </w:r>
          </w:p>
        </w:tc>
        <w:tc>
          <w:tcPr>
            <w:tcW w:w="394"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排放量(t/a)</w:t>
            </w:r>
          </w:p>
        </w:tc>
        <w:tc>
          <w:tcPr>
            <w:tcW w:w="446"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排放速率(kg/h)</w:t>
            </w:r>
          </w:p>
        </w:tc>
        <w:tc>
          <w:tcPr>
            <w:tcW w:w="854" w:type="pct"/>
            <w:gridSpan w:val="2"/>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排气筒底部中心坐标（m）</w:t>
            </w:r>
          </w:p>
        </w:tc>
        <w:tc>
          <w:tcPr>
            <w:tcW w:w="256"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排气筒高度/m</w:t>
            </w:r>
          </w:p>
        </w:tc>
        <w:tc>
          <w:tcPr>
            <w:tcW w:w="334" w:type="pct"/>
            <w:vMerge w:val="restart"/>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排气筒出口内径/m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2"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877"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683"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16"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93"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394"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46"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45" w:type="pc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经度</w:t>
            </w:r>
          </w:p>
        </w:tc>
        <w:tc>
          <w:tcPr>
            <w:tcW w:w="409" w:type="pc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纬度</w:t>
            </w:r>
          </w:p>
        </w:tc>
        <w:tc>
          <w:tcPr>
            <w:tcW w:w="256"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334"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242"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DA001</w:t>
            </w:r>
          </w:p>
        </w:tc>
        <w:tc>
          <w:tcPr>
            <w:tcW w:w="877"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r>
              <w:rPr>
                <w:color w:val="000000" w:themeColor="text1"/>
                <w:szCs w:val="21"/>
                <w:highlight w:val="none"/>
                <w14:textFill>
                  <w14:solidFill>
                    <w14:schemeClr w14:val="tx1"/>
                  </w14:solidFill>
                </w14:textFill>
              </w:rPr>
              <w:t>排气筒</w:t>
            </w:r>
          </w:p>
        </w:tc>
        <w:tc>
          <w:tcPr>
            <w:tcW w:w="683" w:type="pc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16" w:type="pct"/>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2</w:t>
            </w:r>
            <w:r>
              <w:rPr>
                <w:rFonts w:hint="eastAsia"/>
                <w:color w:val="000000" w:themeColor="text1"/>
                <w:szCs w:val="21"/>
                <w:highlight w:val="none"/>
                <w14:textFill>
                  <w14:solidFill>
                    <w14:schemeClr w14:val="tx1"/>
                  </w14:solidFill>
                </w14:textFill>
              </w:rPr>
              <w:t>0000</w:t>
            </w:r>
          </w:p>
        </w:tc>
        <w:tc>
          <w:tcPr>
            <w:tcW w:w="493" w:type="pct"/>
            <w:tcMar>
              <w:left w:w="28" w:type="dxa"/>
              <w:right w:w="28" w:type="dxa"/>
            </w:tcMar>
            <w:vAlign w:val="center"/>
          </w:tcPr>
          <w:p>
            <w:pPr>
              <w:pStyle w:val="331"/>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0.2437</w:t>
            </w:r>
          </w:p>
        </w:tc>
        <w:tc>
          <w:tcPr>
            <w:tcW w:w="394" w:type="pct"/>
            <w:tcMar>
              <w:left w:w="28" w:type="dxa"/>
              <w:right w:w="28" w:type="dxa"/>
            </w:tcMar>
            <w:vAlign w:val="center"/>
          </w:tcPr>
          <w:p>
            <w:pPr>
              <w:pStyle w:val="3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0.0101</w:t>
            </w:r>
          </w:p>
        </w:tc>
        <w:tc>
          <w:tcPr>
            <w:tcW w:w="446" w:type="pct"/>
            <w:tcMar>
              <w:left w:w="28" w:type="dxa"/>
              <w:right w:w="28" w:type="dxa"/>
            </w:tcMar>
            <w:vAlign w:val="center"/>
          </w:tcPr>
          <w:p>
            <w:pPr>
              <w:pStyle w:val="331"/>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0.0049</w:t>
            </w:r>
          </w:p>
        </w:tc>
        <w:tc>
          <w:tcPr>
            <w:tcW w:w="445"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119.</w:t>
            </w:r>
            <w:r>
              <w:rPr>
                <w:rFonts w:hint="eastAsia"/>
                <w:color w:val="000000" w:themeColor="text1"/>
                <w:szCs w:val="21"/>
                <w:highlight w:val="none"/>
                <w:lang w:val="en-US"/>
                <w14:textFill>
                  <w14:solidFill>
                    <w14:schemeClr w14:val="tx1"/>
                  </w14:solidFill>
                </w14:textFill>
              </w:rPr>
              <w:t>402052</w:t>
            </w:r>
            <w:r>
              <w:rPr>
                <w:rFonts w:hint="eastAsia"/>
                <w:color w:val="000000" w:themeColor="text1"/>
                <w:szCs w:val="21"/>
                <w:highlight w:val="none"/>
                <w14:textFill>
                  <w14:solidFill>
                    <w14:schemeClr w14:val="tx1"/>
                  </w14:solidFill>
                </w14:textFill>
              </w:rPr>
              <w:t>°</w:t>
            </w:r>
          </w:p>
        </w:tc>
        <w:tc>
          <w:tcPr>
            <w:tcW w:w="409"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r>
              <w:rPr>
                <w:rFonts w:hint="eastAsia"/>
                <w:color w:val="000000" w:themeColor="text1"/>
                <w:szCs w:val="21"/>
                <w:highlight w:val="none"/>
                <w:lang w:val="en-US"/>
                <w14:textFill>
                  <w14:solidFill>
                    <w14:schemeClr w14:val="tx1"/>
                  </w14:solidFill>
                </w14:textFill>
              </w:rPr>
              <w:t>771696</w:t>
            </w:r>
            <w:r>
              <w:rPr>
                <w:rFonts w:hint="eastAsia"/>
                <w:color w:val="000000" w:themeColor="text1"/>
                <w:szCs w:val="21"/>
                <w:highlight w:val="none"/>
                <w14:textFill>
                  <w14:solidFill>
                    <w14:schemeClr w14:val="tx1"/>
                  </w14:solidFill>
                </w14:textFill>
              </w:rPr>
              <w:t>°</w:t>
            </w:r>
          </w:p>
        </w:tc>
        <w:tc>
          <w:tcPr>
            <w:tcW w:w="256"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334" w:type="pc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restart"/>
            <w:noWrap/>
            <w:tcMar>
              <w:left w:w="28" w:type="dxa"/>
              <w:right w:w="28" w:type="dxa"/>
            </w:tcMar>
            <w:vAlign w:val="center"/>
          </w:tcPr>
          <w:p>
            <w:pPr>
              <w:pStyle w:val="85"/>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DA002</w:t>
            </w:r>
          </w:p>
        </w:tc>
        <w:tc>
          <w:tcPr>
            <w:tcW w:w="877" w:type="pct"/>
            <w:vMerge w:val="restart"/>
            <w:noWrap/>
            <w:tcMar>
              <w:left w:w="28" w:type="dxa"/>
              <w:right w:w="28" w:type="dxa"/>
            </w:tcMar>
            <w:vAlign w:val="center"/>
          </w:tcPr>
          <w:p>
            <w:pPr>
              <w:pStyle w:val="85"/>
              <w:rPr>
                <w:color w:val="000000" w:themeColor="text1"/>
                <w:szCs w:val="21"/>
                <w:highlight w:val="none"/>
                <w14:textFill>
                  <w14:solidFill>
                    <w14:schemeClr w14:val="tx1"/>
                  </w14:solidFill>
                </w14:textFill>
              </w:rPr>
            </w:pPr>
            <w:r>
              <w:rPr>
                <w:color w:val="000000" w:themeColor="text1"/>
                <w:highlight w:val="none"/>
                <w14:textFill>
                  <w14:solidFill>
                    <w14:schemeClr w14:val="tx1"/>
                  </w14:solidFill>
                </w14:textFill>
              </w:rPr>
              <w:t>调漆喷漆及烘干工序有机废气</w:t>
            </w:r>
            <w:r>
              <w:rPr>
                <w:rFonts w:hint="eastAsia"/>
                <w:color w:val="000000" w:themeColor="text1"/>
                <w:highlight w:val="none"/>
                <w14:textFill>
                  <w14:solidFill>
                    <w14:schemeClr w14:val="tx1"/>
                  </w14:solidFill>
                </w14:textFill>
              </w:rPr>
              <w:t>排气筒</w:t>
            </w:r>
          </w:p>
        </w:tc>
        <w:tc>
          <w:tcPr>
            <w:tcW w:w="683" w:type="pct"/>
            <w:tcMar>
              <w:left w:w="28" w:type="dxa"/>
              <w:right w:w="28" w:type="dxa"/>
            </w:tcMar>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16" w:type="pct"/>
            <w:vMerge w:val="restart"/>
            <w:tcMar>
              <w:left w:w="28" w:type="dxa"/>
              <w:right w:w="28" w:type="dxa"/>
            </w:tcMar>
            <w:vAlign w:val="center"/>
          </w:tcPr>
          <w:p>
            <w:pPr>
              <w:pStyle w:val="85"/>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15000</w:t>
            </w:r>
          </w:p>
        </w:tc>
        <w:tc>
          <w:tcPr>
            <w:tcW w:w="1402"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0.3343 </w:t>
            </w:r>
          </w:p>
        </w:tc>
        <w:tc>
          <w:tcPr>
            <w:tcW w:w="1120"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0.0104 </w:t>
            </w:r>
          </w:p>
        </w:tc>
        <w:tc>
          <w:tcPr>
            <w:tcW w:w="1268"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0.0050 </w:t>
            </w:r>
          </w:p>
        </w:tc>
        <w:tc>
          <w:tcPr>
            <w:tcW w:w="445" w:type="pct"/>
            <w:vMerge w:val="restar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119.</w:t>
            </w:r>
            <w:r>
              <w:rPr>
                <w:rFonts w:hint="eastAsia"/>
                <w:color w:val="000000" w:themeColor="text1"/>
                <w:szCs w:val="21"/>
                <w:highlight w:val="none"/>
                <w:lang w:val="en-US"/>
                <w14:textFill>
                  <w14:solidFill>
                    <w14:schemeClr w14:val="tx1"/>
                  </w14:solidFill>
                </w14:textFill>
              </w:rPr>
              <w:t>402050</w:t>
            </w:r>
            <w:r>
              <w:rPr>
                <w:rFonts w:hint="eastAsia"/>
                <w:color w:val="000000" w:themeColor="text1"/>
                <w:szCs w:val="21"/>
                <w:highlight w:val="none"/>
                <w14:textFill>
                  <w14:solidFill>
                    <w14:schemeClr w14:val="tx1"/>
                  </w14:solidFill>
                </w14:textFill>
              </w:rPr>
              <w:t>°</w:t>
            </w:r>
          </w:p>
        </w:tc>
        <w:tc>
          <w:tcPr>
            <w:tcW w:w="409" w:type="pct"/>
            <w:vMerge w:val="restar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r>
              <w:rPr>
                <w:rFonts w:hint="eastAsia"/>
                <w:color w:val="000000" w:themeColor="text1"/>
                <w:szCs w:val="21"/>
                <w:highlight w:val="none"/>
                <w:lang w:val="en-US"/>
                <w14:textFill>
                  <w14:solidFill>
                    <w14:schemeClr w14:val="tx1"/>
                  </w14:solidFill>
                </w14:textFill>
              </w:rPr>
              <w:t>771610</w:t>
            </w:r>
            <w:r>
              <w:rPr>
                <w:rFonts w:hint="eastAsia"/>
                <w:color w:val="000000" w:themeColor="text1"/>
                <w:szCs w:val="21"/>
                <w:highlight w:val="none"/>
                <w14:textFill>
                  <w14:solidFill>
                    <w14:schemeClr w14:val="tx1"/>
                  </w14:solidFill>
                </w14:textFill>
              </w:rPr>
              <w:t>°</w:t>
            </w:r>
          </w:p>
        </w:tc>
        <w:tc>
          <w:tcPr>
            <w:tcW w:w="256" w:type="pct"/>
            <w:vMerge w:val="restar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334" w:type="pct"/>
            <w:vMerge w:val="restart"/>
            <w:noWrap/>
            <w:tcMar>
              <w:left w:w="28" w:type="dxa"/>
              <w:right w:w="28" w:type="dxa"/>
            </w:tcMar>
            <w:vAlign w:val="center"/>
          </w:tcPr>
          <w:p>
            <w:pPr>
              <w:pStyle w:val="8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continue"/>
            <w:noWrap/>
            <w:tcMar>
              <w:left w:w="28" w:type="dxa"/>
              <w:right w:w="28" w:type="dxa"/>
            </w:tcMar>
            <w:vAlign w:val="center"/>
          </w:tcPr>
          <w:p>
            <w:pPr>
              <w:pStyle w:val="85"/>
              <w:rPr>
                <w:color w:val="000000" w:themeColor="text1"/>
                <w:szCs w:val="21"/>
                <w:highlight w:val="none"/>
                <w:lang w:val="en-US"/>
                <w14:textFill>
                  <w14:solidFill>
                    <w14:schemeClr w14:val="tx1"/>
                  </w14:solidFill>
                </w14:textFill>
              </w:rPr>
            </w:pPr>
          </w:p>
        </w:tc>
        <w:tc>
          <w:tcPr>
            <w:tcW w:w="877" w:type="pct"/>
            <w:vMerge w:val="continue"/>
            <w:noWrap/>
            <w:tcMar>
              <w:left w:w="28" w:type="dxa"/>
              <w:right w:w="28" w:type="dxa"/>
            </w:tcMar>
            <w:vAlign w:val="center"/>
          </w:tcPr>
          <w:p>
            <w:pPr>
              <w:pStyle w:val="85"/>
              <w:rPr>
                <w:color w:val="000000" w:themeColor="text1"/>
                <w:highlight w:val="none"/>
                <w14:textFill>
                  <w14:solidFill>
                    <w14:schemeClr w14:val="tx1"/>
                  </w14:solidFill>
                </w14:textFill>
              </w:rPr>
            </w:pPr>
          </w:p>
        </w:tc>
        <w:tc>
          <w:tcPr>
            <w:tcW w:w="683" w:type="pct"/>
            <w:tcMar>
              <w:left w:w="28" w:type="dxa"/>
              <w:right w:w="28" w:type="dxa"/>
            </w:tcMar>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416"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1402"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0.8005 </w:t>
            </w:r>
          </w:p>
        </w:tc>
        <w:tc>
          <w:tcPr>
            <w:tcW w:w="1120"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0.0250 </w:t>
            </w:r>
          </w:p>
        </w:tc>
        <w:tc>
          <w:tcPr>
            <w:tcW w:w="1268"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0.0120 </w:t>
            </w:r>
          </w:p>
        </w:tc>
        <w:tc>
          <w:tcPr>
            <w:tcW w:w="445"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09"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256"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334"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42" w:type="pct"/>
            <w:vMerge w:val="continue"/>
            <w:noWrap/>
            <w:tcMar>
              <w:left w:w="28" w:type="dxa"/>
              <w:right w:w="28" w:type="dxa"/>
            </w:tcMar>
            <w:vAlign w:val="center"/>
          </w:tcPr>
          <w:p>
            <w:pPr>
              <w:pStyle w:val="85"/>
              <w:rPr>
                <w:color w:val="000000" w:themeColor="text1"/>
                <w:szCs w:val="21"/>
                <w:highlight w:val="none"/>
                <w:lang w:val="en-US"/>
                <w14:textFill>
                  <w14:solidFill>
                    <w14:schemeClr w14:val="tx1"/>
                  </w14:solidFill>
                </w14:textFill>
              </w:rPr>
            </w:pPr>
          </w:p>
        </w:tc>
        <w:tc>
          <w:tcPr>
            <w:tcW w:w="877" w:type="pct"/>
            <w:vMerge w:val="continue"/>
            <w:noWrap/>
            <w:tcMar>
              <w:left w:w="28" w:type="dxa"/>
              <w:right w:w="28" w:type="dxa"/>
            </w:tcMar>
            <w:vAlign w:val="center"/>
          </w:tcPr>
          <w:p>
            <w:pPr>
              <w:pStyle w:val="85"/>
              <w:rPr>
                <w:color w:val="000000" w:themeColor="text1"/>
                <w:highlight w:val="none"/>
                <w14:textFill>
                  <w14:solidFill>
                    <w14:schemeClr w14:val="tx1"/>
                  </w14:solidFill>
                </w14:textFill>
              </w:rPr>
            </w:pPr>
          </w:p>
        </w:tc>
        <w:tc>
          <w:tcPr>
            <w:tcW w:w="683" w:type="pct"/>
            <w:tcMar>
              <w:left w:w="28" w:type="dxa"/>
              <w:right w:w="28" w:type="dxa"/>
            </w:tcMar>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二甲苯</w:t>
            </w:r>
          </w:p>
        </w:tc>
        <w:tc>
          <w:tcPr>
            <w:tcW w:w="416" w:type="pct"/>
            <w:vMerge w:val="continue"/>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1402"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0.1298 </w:t>
            </w:r>
          </w:p>
        </w:tc>
        <w:tc>
          <w:tcPr>
            <w:tcW w:w="1120"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0.0041 </w:t>
            </w:r>
          </w:p>
        </w:tc>
        <w:tc>
          <w:tcPr>
            <w:tcW w:w="1268" w:type="dxa"/>
            <w:tcMar>
              <w:left w:w="28" w:type="dxa"/>
              <w:right w:w="28" w:type="dxa"/>
            </w:tcMar>
            <w:vAlign w:val="center"/>
          </w:tcPr>
          <w:p>
            <w:pPr>
              <w:pStyle w:val="331"/>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 xml:space="preserve">0.0019 </w:t>
            </w:r>
          </w:p>
        </w:tc>
        <w:tc>
          <w:tcPr>
            <w:tcW w:w="445"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409"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256"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c>
          <w:tcPr>
            <w:tcW w:w="334" w:type="pct"/>
            <w:vMerge w:val="continue"/>
            <w:noWrap/>
            <w:tcMar>
              <w:left w:w="28" w:type="dxa"/>
              <w:right w:w="28" w:type="dxa"/>
            </w:tcMar>
            <w:vAlign w:val="center"/>
          </w:tcPr>
          <w:p>
            <w:pPr>
              <w:pStyle w:val="85"/>
              <w:rPr>
                <w:color w:val="000000" w:themeColor="text1"/>
                <w:szCs w:val="21"/>
                <w:highlight w:val="none"/>
                <w14:textFill>
                  <w14:solidFill>
                    <w14:schemeClr w14:val="tx1"/>
                  </w14:solidFill>
                </w14:textFill>
              </w:rPr>
            </w:pPr>
          </w:p>
        </w:tc>
      </w:tr>
    </w:tbl>
    <w:p>
      <w:pPr>
        <w:spacing w:line="360" w:lineRule="auto"/>
        <w:jc w:val="center"/>
        <w:rPr>
          <w:b/>
          <w:color w:val="000000" w:themeColor="text1"/>
          <w:sz w:val="24"/>
          <w:highlight w:val="none"/>
          <w14:textFill>
            <w14:solidFill>
              <w14:schemeClr w14:val="tx1"/>
            </w14:solidFill>
          </w14:textFill>
        </w:rPr>
      </w:pPr>
    </w:p>
    <w:p>
      <w:pP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p>
    <w:p>
      <w:pPr>
        <w:spacing w:line="360" w:lineRule="auto"/>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表4</w:t>
      </w:r>
      <w:r>
        <w:rPr>
          <w:rFonts w:hint="eastAsia"/>
          <w:b/>
          <w:color w:val="000000" w:themeColor="text1"/>
          <w:sz w:val="24"/>
          <w:highlight w:val="none"/>
          <w14:textFill>
            <w14:solidFill>
              <w14:schemeClr w14:val="tx1"/>
            </w14:solidFill>
          </w14:textFill>
        </w:rPr>
        <w:t>.2-10</w:t>
      </w:r>
      <w:r>
        <w:rPr>
          <w:b/>
          <w:color w:val="000000" w:themeColor="text1"/>
          <w:sz w:val="24"/>
          <w:highlight w:val="none"/>
          <w14:textFill>
            <w14:solidFill>
              <w14:schemeClr w14:val="tx1"/>
            </w14:solidFill>
          </w14:textFill>
        </w:rPr>
        <w:t xml:space="preserve"> </w:t>
      </w:r>
      <w:r>
        <w:rPr>
          <w:rFonts w:hint="eastAsia"/>
          <w:b/>
          <w:color w:val="000000" w:themeColor="text1"/>
          <w:sz w:val="24"/>
          <w:highlight w:val="none"/>
          <w:lang w:eastAsia="zh-CN"/>
          <w14:textFill>
            <w14:solidFill>
              <w14:schemeClr w14:val="tx1"/>
            </w14:solidFill>
          </w14:textFill>
        </w:rPr>
        <w:t>扩建</w:t>
      </w:r>
      <w:r>
        <w:rPr>
          <w:b/>
          <w:color w:val="000000" w:themeColor="text1"/>
          <w:sz w:val="24"/>
          <w:highlight w:val="none"/>
          <w14:textFill>
            <w14:solidFill>
              <w14:schemeClr w14:val="tx1"/>
            </w14:solidFill>
          </w14:textFill>
        </w:rPr>
        <w:t>项目废气环保措施可行性分析表</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1540"/>
        <w:gridCol w:w="2339"/>
        <w:gridCol w:w="1292"/>
        <w:gridCol w:w="3113"/>
        <w:gridCol w:w="1986"/>
        <w:gridCol w:w="1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03"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w:t>
            </w:r>
          </w:p>
        </w:tc>
        <w:tc>
          <w:tcPr>
            <w:tcW w:w="541"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污染物产生</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设施/工艺环节</w:t>
            </w:r>
          </w:p>
        </w:tc>
        <w:tc>
          <w:tcPr>
            <w:tcW w:w="822"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污染物种类</w:t>
            </w:r>
          </w:p>
        </w:tc>
        <w:tc>
          <w:tcPr>
            <w:tcW w:w="454"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排放形式</w:t>
            </w:r>
          </w:p>
        </w:tc>
        <w:tc>
          <w:tcPr>
            <w:tcW w:w="1792" w:type="pct"/>
            <w:gridSpan w:val="2"/>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污染防治设施</w:t>
            </w:r>
          </w:p>
        </w:tc>
        <w:tc>
          <w:tcPr>
            <w:tcW w:w="585"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03"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541"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822"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454"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09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污染防治设施名称及工艺</w:t>
            </w:r>
          </w:p>
        </w:tc>
        <w:tc>
          <w:tcPr>
            <w:tcW w:w="697"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是否为可行技术</w:t>
            </w:r>
          </w:p>
        </w:tc>
        <w:tc>
          <w:tcPr>
            <w:tcW w:w="585"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《排污许可证申请与核发技术规范 </w:t>
            </w:r>
            <w:r>
              <w:rPr>
                <w:rFonts w:hint="eastAsia"/>
                <w:color w:val="000000" w:themeColor="text1"/>
                <w:szCs w:val="21"/>
                <w:highlight w:val="none"/>
                <w14:textFill>
                  <w14:solidFill>
                    <w14:schemeClr w14:val="tx1"/>
                  </w14:solidFill>
                </w14:textFill>
              </w:rPr>
              <w:t>家具制造</w:t>
            </w:r>
            <w:r>
              <w:rPr>
                <w:color w:val="000000" w:themeColor="text1"/>
                <w:szCs w:val="21"/>
                <w:highlight w:val="none"/>
                <w14:textFill>
                  <w14:solidFill>
                    <w14:schemeClr w14:val="tx1"/>
                  </w14:solidFill>
                </w14:textFill>
              </w:rPr>
              <w:t>工业》（HJ</w:t>
            </w:r>
            <w:r>
              <w:rPr>
                <w:rFonts w:hint="eastAsia"/>
                <w:color w:val="000000" w:themeColor="text1"/>
                <w:szCs w:val="21"/>
                <w:highlight w:val="none"/>
                <w14:textFill>
                  <w14:solidFill>
                    <w14:schemeClr w14:val="tx1"/>
                  </w14:solidFill>
                </w14:textFill>
              </w:rPr>
              <w:t>1027</w:t>
            </w:r>
            <w:r>
              <w:rPr>
                <w:color w:val="000000" w:themeColor="text1"/>
                <w:szCs w:val="21"/>
                <w:highlight w:val="none"/>
                <w14:textFill>
                  <w14:solidFill>
                    <w14:schemeClr w14:val="tx1"/>
                  </w14:solidFill>
                </w14:textFill>
              </w:rPr>
              <w:t>-20</w:t>
            </w:r>
            <w:r>
              <w:rPr>
                <w:rFonts w:hint="eastAsia"/>
                <w:color w:val="000000" w:themeColor="text1"/>
                <w:szCs w:val="21"/>
                <w:highlight w:val="none"/>
                <w14:textFill>
                  <w14:solidFill>
                    <w14:schemeClr w14:val="tx1"/>
                  </w14:solidFill>
                </w14:textFill>
              </w:rPr>
              <w:t>19</w:t>
            </w:r>
            <w:r>
              <w:rPr>
                <w:color w:val="000000" w:themeColor="text1"/>
                <w:szCs w:val="21"/>
                <w:highlight w:val="none"/>
                <w14:textFill>
                  <w14:solidFill>
                    <w14:schemeClr w14:val="tx1"/>
                  </w14:solidFill>
                </w14:textFill>
              </w:rPr>
              <w:t>）</w:t>
            </w:r>
          </w:p>
        </w:tc>
        <w:tc>
          <w:tcPr>
            <w:tcW w:w="541"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木工车间废气</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822"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45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109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袋式除尘、中央除尘系统、负压舱、其他</w:t>
            </w:r>
          </w:p>
        </w:tc>
        <w:tc>
          <w:tcPr>
            <w:tcW w:w="697" w:type="pct"/>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√是</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□否</w:t>
            </w:r>
          </w:p>
        </w:tc>
        <w:tc>
          <w:tcPr>
            <w:tcW w:w="58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03"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541"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木工车间废气</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（封边机、指接机、拼板机）</w:t>
            </w:r>
          </w:p>
        </w:tc>
        <w:tc>
          <w:tcPr>
            <w:tcW w:w="822"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挥发性有机物</w:t>
            </w:r>
          </w:p>
        </w:tc>
        <w:tc>
          <w:tcPr>
            <w:tcW w:w="454"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w:t>
            </w:r>
          </w:p>
        </w:tc>
        <w:tc>
          <w:tcPr>
            <w:tcW w:w="109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活性炭吸附、浓缩+燃烧/催化氧化、其他</w:t>
            </w:r>
          </w:p>
        </w:tc>
        <w:tc>
          <w:tcPr>
            <w:tcW w:w="697"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58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lang w:eastAsia="zh-CN"/>
                <w14:textFill>
                  <w14:solidFill>
                    <w14:schemeClr w14:val="tx1"/>
                  </w14:solidFill>
                </w14:textFill>
              </w:rPr>
              <w:t>扩建</w:t>
            </w:r>
            <w:r>
              <w:rPr>
                <w:rFonts w:ascii="Times New Roman" w:eastAsia="宋体" w:cs="Times New Roman"/>
                <w:color w:val="000000" w:themeColor="text1"/>
                <w:kern w:val="2"/>
                <w:sz w:val="21"/>
                <w:szCs w:val="21"/>
                <w:highlight w:val="none"/>
                <w14:textFill>
                  <w14:solidFill>
                    <w14:schemeClr w14:val="tx1"/>
                  </w14:solidFill>
                </w14:textFill>
              </w:rPr>
              <w:t>项目</w:t>
            </w:r>
          </w:p>
        </w:tc>
        <w:tc>
          <w:tcPr>
            <w:tcW w:w="541" w:type="pct"/>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w:t>
            </w:r>
            <w:r>
              <w:rPr>
                <w:rFonts w:hint="eastAsia"/>
                <w:color w:val="000000" w:themeColor="text1"/>
                <w:szCs w:val="21"/>
                <w:highlight w:val="none"/>
                <w:lang w:eastAsia="zh-CN"/>
                <w14:textFill>
                  <w14:solidFill>
                    <w14:schemeClr w14:val="tx1"/>
                  </w14:solidFill>
                </w14:textFill>
              </w:rPr>
              <w:t>区</w:t>
            </w:r>
            <w:r>
              <w:rPr>
                <w:rFonts w:hint="eastAsia"/>
                <w:color w:val="000000" w:themeColor="text1"/>
                <w:szCs w:val="21"/>
                <w:highlight w:val="none"/>
                <w14:textFill>
                  <w14:solidFill>
                    <w14:schemeClr w14:val="tx1"/>
                  </w14:solidFill>
                </w14:textFill>
              </w:rPr>
              <w:t>废气</w:t>
            </w:r>
          </w:p>
        </w:tc>
        <w:tc>
          <w:tcPr>
            <w:tcW w:w="822"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颗粒物</w:t>
            </w:r>
          </w:p>
        </w:tc>
        <w:tc>
          <w:tcPr>
            <w:tcW w:w="45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tc>
        <w:tc>
          <w:tcPr>
            <w:tcW w:w="109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集气设备+布袋除尘设备+15m排气筒（DA001）</w:t>
            </w:r>
          </w:p>
        </w:tc>
        <w:tc>
          <w:tcPr>
            <w:tcW w:w="697" w:type="pct"/>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585" w:type="pc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 xml:space="preserve">《排污许可证申请与核发技术规范 </w:t>
            </w:r>
            <w:r>
              <w:rPr>
                <w:rFonts w:hint="eastAsia" w:ascii="Times New Roman" w:eastAsia="宋体" w:cs="Times New Roman"/>
                <w:color w:val="000000" w:themeColor="text1"/>
                <w:kern w:val="2"/>
                <w:sz w:val="21"/>
                <w:szCs w:val="21"/>
                <w:highlight w:val="none"/>
                <w14:textFill>
                  <w14:solidFill>
                    <w14:schemeClr w14:val="tx1"/>
                  </w14:solidFill>
                </w14:textFill>
              </w:rPr>
              <w:t>家具制造</w:t>
            </w:r>
            <w:r>
              <w:rPr>
                <w:rFonts w:ascii="Times New Roman" w:eastAsia="宋体" w:cs="Times New Roman"/>
                <w:color w:val="000000" w:themeColor="text1"/>
                <w:kern w:val="2"/>
                <w:sz w:val="21"/>
                <w:szCs w:val="21"/>
                <w:highlight w:val="none"/>
                <w14:textFill>
                  <w14:solidFill>
                    <w14:schemeClr w14:val="tx1"/>
                  </w14:solidFill>
                </w14:textFill>
              </w:rPr>
              <w:t>工业》（HJ</w:t>
            </w:r>
            <w:r>
              <w:rPr>
                <w:rFonts w:hint="eastAsia" w:ascii="Times New Roman" w:eastAsia="宋体" w:cs="Times New Roman"/>
                <w:color w:val="000000" w:themeColor="text1"/>
                <w:kern w:val="2"/>
                <w:sz w:val="21"/>
                <w:szCs w:val="21"/>
                <w:highlight w:val="none"/>
                <w14:textFill>
                  <w14:solidFill>
                    <w14:schemeClr w14:val="tx1"/>
                  </w14:solidFill>
                </w14:textFill>
              </w:rPr>
              <w:t>1027</w:t>
            </w:r>
            <w:r>
              <w:rPr>
                <w:rFonts w:ascii="Times New Roman" w:eastAsia="宋体" w:cs="Times New Roman"/>
                <w:color w:val="000000" w:themeColor="text1"/>
                <w:kern w:val="2"/>
                <w:sz w:val="21"/>
                <w:szCs w:val="21"/>
                <w:highlight w:val="none"/>
                <w14:textFill>
                  <w14:solidFill>
                    <w14:schemeClr w14:val="tx1"/>
                  </w14:solidFill>
                </w14:textFill>
              </w:rPr>
              <w:t>-20</w:t>
            </w:r>
            <w:r>
              <w:rPr>
                <w:rFonts w:hint="eastAsia" w:ascii="Times New Roman" w:eastAsia="宋体" w:cs="Times New Roman"/>
                <w:color w:val="000000" w:themeColor="text1"/>
                <w:kern w:val="2"/>
                <w:sz w:val="21"/>
                <w:szCs w:val="21"/>
                <w:highlight w:val="none"/>
                <w14:textFill>
                  <w14:solidFill>
                    <w14:schemeClr w14:val="tx1"/>
                  </w14:solidFill>
                </w14:textFill>
              </w:rPr>
              <w:t>19</w:t>
            </w:r>
            <w:r>
              <w:rPr>
                <w:rFonts w:ascii="Times New Roman" w:eastAsia="宋体" w:cs="Times New Roman"/>
                <w:color w:val="000000" w:themeColor="text1"/>
                <w:kern w:val="2"/>
                <w:sz w:val="21"/>
                <w:szCs w:val="21"/>
                <w:highlight w:val="none"/>
                <w14:textFill>
                  <w14:solidFill>
                    <w14:schemeClr w14:val="tx1"/>
                  </w14:solidFill>
                </w14:textFill>
              </w:rPr>
              <w:t>）</w:t>
            </w:r>
          </w:p>
        </w:tc>
        <w:tc>
          <w:tcPr>
            <w:tcW w:w="541"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喷漆废气、浸涂废气、干燥废气</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（底漆房、面漆房、喷漆枪、干燥室/烘干室等）</w:t>
            </w:r>
          </w:p>
        </w:tc>
        <w:tc>
          <w:tcPr>
            <w:tcW w:w="822"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挥发性有机物、苯、甲苯、二甲苯、颗粒物、特征污染物</w:t>
            </w:r>
          </w:p>
        </w:tc>
        <w:tc>
          <w:tcPr>
            <w:tcW w:w="45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无组织</w:t>
            </w:r>
          </w:p>
        </w:tc>
        <w:tc>
          <w:tcPr>
            <w:tcW w:w="109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集气设施或密闭车间、干式过滤棉/过滤箱、旋风除尘、活性炭吸附、浓缩+燃烧/催化氧化、其他</w:t>
            </w:r>
          </w:p>
        </w:tc>
        <w:tc>
          <w:tcPr>
            <w:tcW w:w="697" w:type="pct"/>
            <w:vMerge w:val="restar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√是</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□否</w:t>
            </w:r>
          </w:p>
        </w:tc>
        <w:tc>
          <w:tcPr>
            <w:tcW w:w="585"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3"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lang w:eastAsia="zh-CN"/>
                <w14:textFill>
                  <w14:solidFill>
                    <w14:schemeClr w14:val="tx1"/>
                  </w14:solidFill>
                </w14:textFill>
              </w:rPr>
              <w:t>扩建</w:t>
            </w:r>
            <w:r>
              <w:rPr>
                <w:rFonts w:ascii="Times New Roman" w:eastAsia="宋体" w:cs="Times New Roman"/>
                <w:color w:val="000000" w:themeColor="text1"/>
                <w:kern w:val="2"/>
                <w:sz w:val="21"/>
                <w:szCs w:val="21"/>
                <w:highlight w:val="none"/>
                <w14:textFill>
                  <w14:solidFill>
                    <w14:schemeClr w14:val="tx1"/>
                  </w14:solidFill>
                </w14:textFill>
              </w:rPr>
              <w:t>项目</w:t>
            </w:r>
          </w:p>
        </w:tc>
        <w:tc>
          <w:tcPr>
            <w:tcW w:w="541"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喷漆废气、干燥废气</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（底漆房、面漆房、喷漆枪、干燥室/烘干室等）</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p>
        </w:tc>
        <w:tc>
          <w:tcPr>
            <w:tcW w:w="822"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挥发性有机物</w:t>
            </w:r>
            <w:r>
              <w:rPr>
                <w:rFonts w:hint="eastAsia" w:ascii="Times New Roman" w:eastAsia="宋体" w:cs="Times New Roman"/>
                <w:color w:val="000000" w:themeColor="text1"/>
                <w:kern w:val="2"/>
                <w:sz w:val="21"/>
                <w:szCs w:val="21"/>
                <w:highlight w:val="none"/>
                <w14:textFill>
                  <w14:solidFill>
                    <w14:schemeClr w14:val="tx1"/>
                  </w14:solidFill>
                </w14:textFill>
              </w:rPr>
              <w:t>、二甲苯</w:t>
            </w:r>
          </w:p>
        </w:tc>
        <w:tc>
          <w:tcPr>
            <w:tcW w:w="45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有组织</w:t>
            </w:r>
          </w:p>
        </w:tc>
        <w:tc>
          <w:tcPr>
            <w:tcW w:w="1094"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颗粒物：水帘柜+水喷淋+二级活性炭吸附设备+15m排气筒；</w:t>
            </w:r>
          </w:p>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hint="eastAsia" w:ascii="Times New Roman" w:eastAsia="宋体" w:cs="Times New Roman"/>
                <w:color w:val="000000" w:themeColor="text1"/>
                <w:kern w:val="2"/>
                <w:sz w:val="21"/>
                <w:szCs w:val="21"/>
                <w:highlight w:val="none"/>
                <w14:textFill>
                  <w14:solidFill>
                    <w14:schemeClr w14:val="tx1"/>
                  </w14:solidFill>
                </w14:textFill>
              </w:rPr>
              <w:t>有机废气：集气设备+水喷淋+二级活性炭吸附设备+15m排气筒</w:t>
            </w:r>
          </w:p>
        </w:tc>
        <w:tc>
          <w:tcPr>
            <w:tcW w:w="697" w:type="pct"/>
            <w:vMerge w:val="continue"/>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p>
        </w:tc>
        <w:tc>
          <w:tcPr>
            <w:tcW w:w="585" w:type="pct"/>
            <w:vAlign w:val="center"/>
          </w:tcPr>
          <w:p>
            <w:pPr>
              <w:pStyle w:val="81"/>
              <w:jc w:val="center"/>
              <w:rPr>
                <w:rFonts w:ascii="Times New Roman" w:eastAsia="宋体" w:cs="Times New Roman"/>
                <w:color w:val="000000" w:themeColor="text1"/>
                <w:kern w:val="2"/>
                <w:sz w:val="21"/>
                <w:szCs w:val="21"/>
                <w:highlight w:val="none"/>
                <w14:textFill>
                  <w14:solidFill>
                    <w14:schemeClr w14:val="tx1"/>
                  </w14:solidFill>
                </w14:textFill>
              </w:rPr>
            </w:pPr>
            <w:r>
              <w:rPr>
                <w:rFonts w:ascii="Times New Roman" w:eastAsia="宋体" w:cs="Times New Roman"/>
                <w:color w:val="000000" w:themeColor="text1"/>
                <w:kern w:val="2"/>
                <w:sz w:val="21"/>
                <w:szCs w:val="21"/>
                <w:highlight w:val="none"/>
                <w14:textFill>
                  <w14:solidFill>
                    <w14:schemeClr w14:val="tx1"/>
                  </w14:solidFill>
                </w14:textFill>
              </w:rPr>
              <w:t>一般排放口</w:t>
            </w:r>
          </w:p>
        </w:tc>
      </w:tr>
    </w:tbl>
    <w:p>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6840" w:h="11907"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37"/>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69" w:type="dxa"/>
            <w:tcMar>
              <w:left w:w="28" w:type="dxa"/>
              <w:right w:w="28" w:type="dxa"/>
            </w:tcMar>
            <w:vAlign w:val="center"/>
          </w:tcPr>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运营</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期环</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境影</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响和</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保护</w:t>
            </w:r>
          </w:p>
          <w:p>
            <w:pPr>
              <w:pStyle w:val="67"/>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措施</w:t>
            </w:r>
          </w:p>
        </w:tc>
        <w:tc>
          <w:tcPr>
            <w:tcW w:w="8638" w:type="dxa"/>
          </w:tcPr>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4.2.2.2</w:t>
            </w:r>
            <w:r>
              <w:rPr>
                <w:rFonts w:hint="eastAsia"/>
                <w:color w:val="000000" w:themeColor="text1"/>
                <w:highlight w:val="none"/>
                <w14:textFill>
                  <w14:solidFill>
                    <w14:schemeClr w14:val="tx1"/>
                  </w14:solidFill>
                </w14:textFill>
              </w:rPr>
              <w:t>大气</w:t>
            </w:r>
            <w:r>
              <w:rPr>
                <w:color w:val="000000" w:themeColor="text1"/>
                <w:highlight w:val="none"/>
                <w14:textFill>
                  <w14:solidFill>
                    <w14:schemeClr w14:val="tx1"/>
                  </w14:solidFill>
                </w14:textFill>
              </w:rPr>
              <w:t>环境影响分析及</w:t>
            </w:r>
            <w:r>
              <w:rPr>
                <w:rFonts w:hint="eastAsia"/>
                <w:color w:val="000000" w:themeColor="text1"/>
                <w:highlight w:val="none"/>
                <w14:textFill>
                  <w14:solidFill>
                    <w14:schemeClr w14:val="tx1"/>
                  </w14:solidFill>
                </w14:textFill>
              </w:rPr>
              <w:t>保护</w:t>
            </w:r>
            <w:r>
              <w:rPr>
                <w:color w:val="000000" w:themeColor="text1"/>
                <w:highlight w:val="none"/>
                <w14:textFill>
                  <w14:solidFill>
                    <w14:schemeClr w14:val="tx1"/>
                  </w14:solidFill>
                </w14:textFill>
              </w:rPr>
              <w:t>措施</w:t>
            </w:r>
          </w:p>
          <w:p>
            <w:pPr>
              <w:spacing w:line="360" w:lineRule="auto"/>
              <w:ind w:firstLine="482" w:firstLineChars="200"/>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br w:type="page"/>
            </w:r>
            <w:r>
              <w:rPr>
                <w:rFonts w:hint="eastAsia"/>
                <w:color w:val="000000" w:themeColor="text1"/>
                <w:sz w:val="24"/>
                <w:highlight w:val="none"/>
                <w14:textFill>
                  <w14:solidFill>
                    <w14:schemeClr w14:val="tx1"/>
                  </w14:solidFill>
                </w14:textFill>
              </w:rPr>
              <w:t>（1）有组织废气</w:t>
            </w:r>
            <w:r>
              <w:rPr>
                <w:color w:val="000000" w:themeColor="text1"/>
                <w:sz w:val="24"/>
                <w:highlight w:val="none"/>
                <w14:textFill>
                  <w14:solidFill>
                    <w14:schemeClr w14:val="tx1"/>
                  </w14:solidFill>
                </w14:textFill>
              </w:rPr>
              <w:t>防治措施</w:t>
            </w:r>
          </w:p>
          <w:p>
            <w:pPr>
              <w:pStyle w:val="86"/>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①木工区废气</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项目拟在1F精锯、砂光等产生粉尘颗粒物的设备上方及3F砂光设备上方设置集气罩，集中收集的木工</w:t>
            </w:r>
            <w:r>
              <w:rPr>
                <w:rFonts w:hint="eastAsia"/>
                <w:color w:val="000000" w:themeColor="text1"/>
                <w:highlight w:val="none"/>
                <w:lang w:eastAsia="zh-CN"/>
                <w14:textFill>
                  <w14:solidFill>
                    <w14:schemeClr w14:val="tx1"/>
                  </w14:solidFill>
                </w14:textFill>
              </w:rPr>
              <w:t>区</w:t>
            </w:r>
            <w:r>
              <w:rPr>
                <w:color w:val="000000" w:themeColor="text1"/>
                <w:highlight w:val="none"/>
                <w14:textFill>
                  <w14:solidFill>
                    <w14:schemeClr w14:val="tx1"/>
                  </w14:solidFill>
                </w14:textFill>
              </w:rPr>
              <w:t>废气通过1套中央除尘器（布袋除尘设施）处理后有组织排放，通过1根15m高排气筒（DA001）排放。</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污染源分析</w:t>
            </w:r>
            <w:r>
              <w:rPr>
                <w:rFonts w:hint="eastAsia"/>
                <w:color w:val="000000" w:themeColor="text1"/>
                <w:highlight w:val="none"/>
                <w14:textFill>
                  <w14:solidFill>
                    <w14:schemeClr w14:val="tx1"/>
                  </w14:solidFill>
                </w14:textFill>
              </w:rPr>
              <w:t>可知</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木工区废气经</w:t>
            </w:r>
            <w:r>
              <w:rPr>
                <w:color w:val="000000" w:themeColor="text1"/>
                <w:highlight w:val="none"/>
                <w14:textFill>
                  <w14:solidFill>
                    <w14:schemeClr w14:val="tx1"/>
                  </w14:solidFill>
                </w14:textFill>
              </w:rPr>
              <w:t>1套中央除尘器（布袋除尘设施）处理后，排气筒</w:t>
            </w:r>
            <w:r>
              <w:rPr>
                <w:rFonts w:hint="eastAsia"/>
                <w:color w:val="000000" w:themeColor="text1"/>
                <w:highlight w:val="none"/>
                <w14:textFill>
                  <w14:solidFill>
                    <w14:schemeClr w14:val="tx1"/>
                  </w14:solidFill>
                </w14:textFill>
              </w:rPr>
              <w:t>（DA001）外排废气</w:t>
            </w:r>
            <w:r>
              <w:rPr>
                <w:color w:val="000000" w:themeColor="text1"/>
                <w:highlight w:val="none"/>
                <w14:textFill>
                  <w14:solidFill>
                    <w14:schemeClr w14:val="tx1"/>
                  </w14:solidFill>
                </w14:textFill>
              </w:rPr>
              <w:t>中</w:t>
            </w:r>
            <w:r>
              <w:rPr>
                <w:rFonts w:hint="eastAsia"/>
                <w:color w:val="000000" w:themeColor="text1"/>
                <w:highlight w:val="none"/>
                <w14:textFill>
                  <w14:solidFill>
                    <w14:schemeClr w14:val="tx1"/>
                  </w14:solidFill>
                </w14:textFill>
              </w:rPr>
              <w:t>颗粒物的排放</w:t>
            </w:r>
            <w:r>
              <w:rPr>
                <w:color w:val="000000" w:themeColor="text1"/>
                <w:highlight w:val="none"/>
                <w14:textFill>
                  <w14:solidFill>
                    <w14:schemeClr w14:val="tx1"/>
                  </w14:solidFill>
                </w14:textFill>
              </w:rPr>
              <w:t>浓度为</w:t>
            </w:r>
            <w:r>
              <w:rPr>
                <w:rFonts w:hint="eastAsia"/>
                <w:color w:val="000000" w:themeColor="text1"/>
                <w:highlight w:val="none"/>
                <w14:textFill>
                  <w14:solidFill>
                    <w14:schemeClr w14:val="tx1"/>
                  </w14:solidFill>
                </w14:textFill>
              </w:rPr>
              <w:t>0.1624</w:t>
            </w:r>
            <w:r>
              <w:rPr>
                <w:color w:val="000000" w:themeColor="text1"/>
                <w:highlight w:val="none"/>
                <w14:textFill>
                  <w14:solidFill>
                    <w14:schemeClr w14:val="tx1"/>
                  </w14:solidFill>
                </w14:textFill>
              </w:rPr>
              <w:t>mg/m</w:t>
            </w:r>
            <w:r>
              <w:rPr>
                <w:color w:val="000000" w:themeColor="text1"/>
                <w:sz w:val="22"/>
                <w:szCs w:val="16"/>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、排放速率为0.0032kg/h，</w:t>
            </w:r>
            <w:r>
              <w:rPr>
                <w:rFonts w:hint="eastAsia"/>
                <w:color w:val="000000" w:themeColor="text1"/>
                <w:szCs w:val="21"/>
                <w:highlight w:val="none"/>
                <w14:textFill>
                  <w14:solidFill>
                    <w14:schemeClr w14:val="tx1"/>
                  </w14:solidFill>
                </w14:textFill>
              </w:rPr>
              <w:t>可</w:t>
            </w:r>
            <w:r>
              <w:rPr>
                <w:rFonts w:hint="eastAsia"/>
                <w:color w:val="000000" w:themeColor="text1"/>
                <w:highlight w:val="none"/>
                <w14:textFill>
                  <w14:solidFill>
                    <w14:schemeClr w14:val="tx1"/>
                  </w14:solidFill>
                </w14:textFill>
              </w:rPr>
              <w:t>满足《大气污染物综合排放标准》（GB16297-1996）二级排放相关标准限值要求（即颗粒物浓度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120</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1.75kg/h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86"/>
              <w:ind w:firstLine="482"/>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②调漆喷漆及烘干工序有机废气</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项目拟设置相对独立的调漆喷漆及烘干区域（调漆喷漆废气经水帘柜除漆雾后，同烘干工序有机废气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color w:val="000000" w:themeColor="text1"/>
                <w:highlight w:val="none"/>
                <w14:textFill>
                  <w14:solidFill>
                    <w14:schemeClr w14:val="tx1"/>
                  </w14:solidFill>
                </w14:textFill>
              </w:rPr>
              <w:t>一同经1套“水喷淋+二级活性炭吸附”设备处理后有组织排放，通过1根15m高排气筒（DA002）排放。</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根据污染源分析可知，</w:t>
            </w:r>
            <w:r>
              <w:rPr>
                <w:color w:val="000000" w:themeColor="text1"/>
                <w:highlight w:val="none"/>
                <w14:textFill>
                  <w14:solidFill>
                    <w14:schemeClr w14:val="tx1"/>
                  </w14:solidFill>
                </w14:textFill>
              </w:rPr>
              <w:t>调漆喷漆及烘干工序有机废气</w:t>
            </w:r>
            <w:r>
              <w:rPr>
                <w:rFonts w:hint="eastAsia"/>
                <w:color w:val="000000" w:themeColor="text1"/>
                <w:highlight w:val="none"/>
                <w14:textFill>
                  <w14:solidFill>
                    <w14:schemeClr w14:val="tx1"/>
                  </w14:solidFill>
                </w14:textFill>
              </w:rPr>
              <w:t>配套净化设施</w:t>
            </w:r>
            <w:r>
              <w:rPr>
                <w:color w:val="000000" w:themeColor="text1"/>
                <w:highlight w:val="none"/>
                <w14:textFill>
                  <w14:solidFill>
                    <w14:schemeClr w14:val="tx1"/>
                  </w14:solidFill>
                </w14:textFill>
              </w:rPr>
              <w:t>处理后</w:t>
            </w:r>
            <w:r>
              <w:rPr>
                <w:rFonts w:hint="eastAsia"/>
                <w:color w:val="000000" w:themeColor="text1"/>
                <w:highlight w:val="none"/>
                <w14:textFill>
                  <w14:solidFill>
                    <w14:schemeClr w14:val="tx1"/>
                  </w14:solidFill>
                </w14:textFill>
              </w:rPr>
              <w:t>，排气筒（DA002）外排废气中颗粒物的排放浓度为0.2228mg/m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、排放速率为0.0033kg/h，可满足《大气污染物综合排放标准》（GB16297-1996）二级排放相关标准限值要求（即颗粒物浓度≤120mg/m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、排放速率≤1.75kg/h）；非甲烷总烃排放浓度为0.5337mg/m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、排放速率为0.0080kg/h，二甲苯排放浓度为0.0865mg/m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、排放速率为0.0013kg/h，均可满足《工业涂装工序挥发性有机物排放标准》(DB35/1783-2018)表1相关标准限值要求（即非甲烷总烃浓度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2.9kg/h，二甲苯浓度</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15</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、排放速率</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0.6kg/h</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w:t>
            </w:r>
            <w:r>
              <w:rPr>
                <w:rFonts w:hint="eastAsia"/>
                <w:color w:val="000000" w:themeColor="text1"/>
                <w:highlight w:val="none"/>
                <w14:textFill>
                  <w14:solidFill>
                    <w14:schemeClr w14:val="tx1"/>
                  </w14:solidFill>
                </w14:textFill>
              </w:rPr>
              <w:t>分析</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运营期</w:t>
            </w:r>
            <w:r>
              <w:rPr>
                <w:color w:val="000000" w:themeColor="text1"/>
                <w:highlight w:val="none"/>
                <w14:textFill>
                  <w14:solidFill>
                    <w14:schemeClr w14:val="tx1"/>
                  </w14:solidFill>
                </w14:textFill>
              </w:rPr>
              <w:t>项目产生的</w:t>
            </w:r>
            <w:r>
              <w:rPr>
                <w:rFonts w:hint="eastAsia"/>
                <w:color w:val="000000" w:themeColor="text1"/>
                <w:highlight w:val="none"/>
                <w14:textFill>
                  <w14:solidFill>
                    <w14:schemeClr w14:val="tx1"/>
                  </w14:solidFill>
                </w14:textFill>
              </w:rPr>
              <w:t>有机</w:t>
            </w:r>
            <w:r>
              <w:rPr>
                <w:color w:val="000000" w:themeColor="text1"/>
                <w:highlight w:val="none"/>
                <w14:textFill>
                  <w14:solidFill>
                    <w14:schemeClr w14:val="tx1"/>
                  </w14:solidFill>
                </w14:textFill>
              </w:rPr>
              <w:t>废气经以上措施处理后均可实现达标排放，对周边大气环境的影响较小</w:t>
            </w:r>
            <w:r>
              <w:rPr>
                <w:rFonts w:hint="eastAsia"/>
                <w:color w:val="000000" w:themeColor="text1"/>
                <w:highlight w:val="none"/>
                <w14:textFill>
                  <w14:solidFill>
                    <w14:schemeClr w14:val="tx1"/>
                  </w14:solidFill>
                </w14:textFill>
              </w:rPr>
              <w:t>。参照</w:t>
            </w:r>
            <w:r>
              <w:rPr>
                <w:color w:val="000000" w:themeColor="text1"/>
                <w:highlight w:val="none"/>
                <w14:textFill>
                  <w14:solidFill>
                    <w14:schemeClr w14:val="tx1"/>
                  </w14:solidFill>
                </w14:textFill>
              </w:rPr>
              <w:t xml:space="preserve">《排污许可证申请与核发技术规范 </w:t>
            </w:r>
            <w:r>
              <w:rPr>
                <w:rFonts w:hint="eastAsia"/>
                <w:color w:val="000000" w:themeColor="text1"/>
                <w:highlight w:val="none"/>
                <w14:textFill>
                  <w14:solidFill>
                    <w14:schemeClr w14:val="tx1"/>
                  </w14:solidFill>
                </w14:textFill>
              </w:rPr>
              <w:t>家具制造</w:t>
            </w:r>
            <w:r>
              <w:rPr>
                <w:color w:val="000000" w:themeColor="text1"/>
                <w:highlight w:val="none"/>
                <w14:textFill>
                  <w14:solidFill>
                    <w14:schemeClr w14:val="tx1"/>
                  </w14:solidFill>
                </w14:textFill>
              </w:rPr>
              <w:t>工业》（HJ</w:t>
            </w:r>
            <w:r>
              <w:rPr>
                <w:rFonts w:hint="eastAsia"/>
                <w:color w:val="000000" w:themeColor="text1"/>
                <w:highlight w:val="none"/>
                <w14:textFill>
                  <w14:solidFill>
                    <w14:schemeClr w14:val="tx1"/>
                  </w14:solidFill>
                </w14:textFill>
              </w:rPr>
              <w:t>1027</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19</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木工区采用的布袋除尘设施、喷漆区</w:t>
            </w:r>
            <w:r>
              <w:rPr>
                <w:color w:val="000000" w:themeColor="text1"/>
                <w:highlight w:val="none"/>
                <w14:textFill>
                  <w14:solidFill>
                    <w14:schemeClr w14:val="tx1"/>
                  </w14:solidFill>
                </w14:textFill>
              </w:rPr>
              <w:t>采用</w:t>
            </w:r>
            <w:r>
              <w:rPr>
                <w:rFonts w:hint="eastAsia"/>
                <w:color w:val="000000" w:themeColor="text1"/>
                <w:highlight w:val="none"/>
                <w14:textFill>
                  <w14:solidFill>
                    <w14:schemeClr w14:val="tx1"/>
                  </w14:solidFill>
                </w14:textFill>
              </w:rPr>
              <w:t>“水喷淋+二级活性炭吸附”设施均属于其推荐</w:t>
            </w:r>
            <w:r>
              <w:rPr>
                <w:color w:val="000000" w:themeColor="text1"/>
                <w:highlight w:val="none"/>
                <w14:textFill>
                  <w14:solidFill>
                    <w14:schemeClr w14:val="tx1"/>
                  </w14:solidFill>
                </w14:textFill>
              </w:rPr>
              <w:t>的污染防治设施名称及工艺</w:t>
            </w:r>
            <w:r>
              <w:rPr>
                <w:rFonts w:hint="eastAsia"/>
                <w:color w:val="000000" w:themeColor="text1"/>
                <w:highlight w:val="none"/>
                <w14:textFill>
                  <w14:solidFill>
                    <w14:schemeClr w14:val="tx1"/>
                  </w14:solidFill>
                </w14:textFill>
              </w:rPr>
              <w:t>，均</w:t>
            </w:r>
            <w:r>
              <w:rPr>
                <w:color w:val="000000" w:themeColor="text1"/>
                <w:highlight w:val="none"/>
                <w14:textFill>
                  <w14:solidFill>
                    <w14:schemeClr w14:val="tx1"/>
                  </w14:solidFill>
                </w14:textFill>
              </w:rPr>
              <w:t>为可行技术</w:t>
            </w:r>
            <w:r>
              <w:rPr>
                <w:rFonts w:hint="eastAsia"/>
                <w:color w:val="000000" w:themeColor="text1"/>
                <w:highlight w:val="none"/>
                <w14:textFill>
                  <w14:solidFill>
                    <w14:schemeClr w14:val="tx1"/>
                  </w14:solidFill>
                </w14:textFill>
              </w:rPr>
              <w:t>。因此，项目废气治理</w:t>
            </w:r>
            <w:r>
              <w:rPr>
                <w:color w:val="000000" w:themeColor="text1"/>
                <w:highlight w:val="none"/>
                <w14:textFill>
                  <w14:solidFill>
                    <w14:schemeClr w14:val="tx1"/>
                  </w14:solidFill>
                </w14:textFill>
              </w:rPr>
              <w:t>措施可行。</w:t>
            </w:r>
          </w:p>
          <w:p>
            <w:pPr>
              <w:pStyle w:val="234"/>
              <w:adjustRightInd/>
              <w:snapToGrid/>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（2）无组织废气</w:t>
            </w:r>
            <w:r>
              <w:rPr>
                <w:color w:val="000000" w:themeColor="text1"/>
                <w:sz w:val="24"/>
                <w:highlight w:val="none"/>
                <w14:textFill>
                  <w14:solidFill>
                    <w14:schemeClr w14:val="tx1"/>
                  </w14:solidFill>
                </w14:textFill>
              </w:rPr>
              <w:t>防治措施</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打磨区废气</w:t>
            </w:r>
          </w:p>
          <w:p>
            <w:pPr>
              <w:pStyle w:val="86"/>
              <w:ind w:firstLine="480"/>
              <w:rPr>
                <w:rFonts w:hint="eastAsia" w:ascii="宋体" w:hAnsi="宋体"/>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设置环保喷淋打磨房，打磨粉尘经密闭打磨房内水除尘系统除尘后，少量颗粒物在车间内无组织排放。</w:t>
            </w:r>
            <w:r>
              <w:rPr>
                <w:rFonts w:hint="eastAsia"/>
                <w:color w:val="000000" w:themeColor="text1"/>
                <w:highlight w:val="none"/>
                <w14:textFill>
                  <w14:solidFill>
                    <w14:schemeClr w14:val="tx1"/>
                  </w14:solidFill>
                </w14:textFill>
              </w:rPr>
              <w:t>运营期间，要求建设单位定期及时清理车间地面沉降的木屑粉尘，项目产生的无组织颗粒物不会对周边环境产生明显影响。</w:t>
            </w:r>
          </w:p>
          <w:p>
            <w:pPr>
              <w:pStyle w:val="234"/>
              <w:adjustRightInd/>
              <w:snapToGrid/>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②无组织有机废气管控要求</w:t>
            </w:r>
          </w:p>
          <w:p>
            <w:pPr>
              <w:pStyle w:val="234"/>
              <w:adjustRightInd/>
              <w:snapToGrid/>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针对</w:t>
            </w:r>
            <w:r>
              <w:rPr>
                <w:rFonts w:hint="eastAsia"/>
                <w:color w:val="000000" w:themeColor="text1"/>
                <w:highlight w:val="none"/>
                <w14:textFill>
                  <w14:solidFill>
                    <w14:schemeClr w14:val="tx1"/>
                  </w14:solidFill>
                </w14:textFill>
              </w:rPr>
              <w:t>喷漆调漆及烘干工序废气中少量</w:t>
            </w:r>
            <w:r>
              <w:rPr>
                <w:color w:val="000000" w:themeColor="text1"/>
                <w:highlight w:val="none"/>
                <w14:textFill>
                  <w14:solidFill>
                    <w14:schemeClr w14:val="tx1"/>
                  </w14:solidFill>
                </w14:textFill>
              </w:rPr>
              <w:t>未经捕集的有机废气</w:t>
            </w:r>
            <w:r>
              <w:rPr>
                <w:rFonts w:hint="eastAsia"/>
                <w:color w:val="000000" w:themeColor="text1"/>
                <w:highlight w:val="none"/>
                <w14:textFill>
                  <w14:solidFill>
                    <w14:schemeClr w14:val="tx1"/>
                  </w14:solidFill>
                </w14:textFill>
              </w:rPr>
              <w:t>，对照《挥发性有机物无组织排放控制标准》（GB37822-2019）、《工业涂装工序挥发性有机物排放标准》(DB35/1783-2018)中关于有机废气无组织排放提出以下控制要求：</w:t>
            </w:r>
          </w:p>
          <w:p>
            <w:pPr>
              <w:pStyle w:val="7"/>
              <w:ind w:firstLine="480"/>
              <w:rPr>
                <w:color w:val="000000" w:themeColor="text1"/>
                <w:kern w:val="2"/>
                <w:szCs w:val="30"/>
                <w:highlight w:val="none"/>
                <w14:textFill>
                  <w14:solidFill>
                    <w14:schemeClr w14:val="tx1"/>
                  </w14:solidFill>
                </w14:textFill>
              </w:rPr>
            </w:pPr>
            <w:r>
              <w:rPr>
                <w:rFonts w:hint="eastAsia"/>
                <w:color w:val="000000" w:themeColor="text1"/>
                <w:kern w:val="2"/>
                <w:szCs w:val="30"/>
                <w:highlight w:val="none"/>
                <w14:textFill>
                  <w14:solidFill>
                    <w14:schemeClr w14:val="tx1"/>
                  </w14:solidFill>
                </w14:textFill>
              </w:rPr>
              <w:t>A、</w:t>
            </w:r>
            <w:r>
              <w:rPr>
                <w:color w:val="000000" w:themeColor="text1"/>
                <w:kern w:val="2"/>
                <w:szCs w:val="30"/>
                <w:highlight w:val="none"/>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p>
            <w:pPr>
              <w:pStyle w:val="7"/>
              <w:ind w:firstLine="480"/>
              <w:rPr>
                <w:color w:val="000000" w:themeColor="text1"/>
                <w:kern w:val="2"/>
                <w:szCs w:val="30"/>
                <w:highlight w:val="none"/>
                <w14:textFill>
                  <w14:solidFill>
                    <w14:schemeClr w14:val="tx1"/>
                  </w14:solidFill>
                </w14:textFill>
              </w:rPr>
            </w:pPr>
            <w:r>
              <w:rPr>
                <w:rFonts w:hint="eastAsia"/>
                <w:color w:val="000000" w:themeColor="text1"/>
                <w:kern w:val="2"/>
                <w:szCs w:val="30"/>
                <w:highlight w:val="none"/>
                <w14:textFill>
                  <w14:solidFill>
                    <w14:schemeClr w14:val="tx1"/>
                  </w14:solidFill>
                </w14:textFill>
              </w:rPr>
              <w:t>B、</w:t>
            </w:r>
            <w:r>
              <w:rPr>
                <w:color w:val="000000" w:themeColor="text1"/>
                <w:kern w:val="2"/>
                <w:szCs w:val="30"/>
                <w:highlight w:val="none"/>
                <w14:textFill>
                  <w14:solidFill>
                    <w14:schemeClr w14:val="tx1"/>
                  </w14:solidFill>
                </w14:textFill>
              </w:rPr>
              <w:t>严格按照生产工序要求，</w:t>
            </w:r>
            <w:r>
              <w:rPr>
                <w:rFonts w:hint="eastAsia"/>
                <w:color w:val="000000" w:themeColor="text1"/>
                <w:highlight w:val="none"/>
                <w14:textFill>
                  <w14:solidFill>
                    <w14:schemeClr w14:val="tx1"/>
                  </w14:solidFill>
                </w14:textFill>
              </w:rPr>
              <w:t>喷漆调漆及烘干工序</w:t>
            </w:r>
            <w:r>
              <w:rPr>
                <w:color w:val="000000" w:themeColor="text1"/>
                <w:kern w:val="2"/>
                <w:szCs w:val="30"/>
                <w:highlight w:val="none"/>
                <w14:textFill>
                  <w14:solidFill>
                    <w14:schemeClr w14:val="tx1"/>
                  </w14:solidFill>
                </w14:textFill>
              </w:rPr>
              <w:t>作业时按照规范操作，严格控制工作时间，采用低毒、低挥发性的</w:t>
            </w:r>
            <w:r>
              <w:rPr>
                <w:rFonts w:hint="eastAsia"/>
                <w:color w:val="000000" w:themeColor="text1"/>
                <w:kern w:val="2"/>
                <w:szCs w:val="30"/>
                <w:highlight w:val="none"/>
                <w14:textFill>
                  <w14:solidFill>
                    <w14:schemeClr w14:val="tx1"/>
                  </w14:solidFill>
                </w14:textFill>
              </w:rPr>
              <w:t>原</w:t>
            </w:r>
            <w:r>
              <w:rPr>
                <w:color w:val="000000" w:themeColor="text1"/>
                <w:kern w:val="2"/>
                <w:szCs w:val="30"/>
                <w:highlight w:val="none"/>
                <w14:textFill>
                  <w14:solidFill>
                    <w14:schemeClr w14:val="tx1"/>
                  </w14:solidFill>
                </w14:textFill>
              </w:rPr>
              <w:t>料，减少生产过程中的易挥发物质的无组织排放；在</w:t>
            </w:r>
            <w:r>
              <w:rPr>
                <w:rFonts w:hint="eastAsia"/>
                <w:color w:val="000000" w:themeColor="text1"/>
                <w:highlight w:val="none"/>
                <w14:textFill>
                  <w14:solidFill>
                    <w14:schemeClr w14:val="tx1"/>
                  </w14:solidFill>
                </w14:textFill>
              </w:rPr>
              <w:t>喷漆调漆及烘干</w:t>
            </w:r>
            <w:r>
              <w:rPr>
                <w:color w:val="000000" w:themeColor="text1"/>
                <w:kern w:val="2"/>
                <w:szCs w:val="30"/>
                <w:highlight w:val="none"/>
                <w14:textFill>
                  <w14:solidFill>
                    <w14:schemeClr w14:val="tx1"/>
                  </w14:solidFill>
                </w14:textFill>
              </w:rPr>
              <w:t>区域内不能完全密闭的部位设置风幕、软帘阻隔设施，提高废气收集效率，降低无组织废气排放</w:t>
            </w:r>
            <w:r>
              <w:rPr>
                <w:rFonts w:hint="eastAsia"/>
                <w:color w:val="000000" w:themeColor="text1"/>
                <w:kern w:val="2"/>
                <w:szCs w:val="30"/>
                <w:highlight w:val="none"/>
                <w14:textFill>
                  <w14:solidFill>
                    <w14:schemeClr w14:val="tx1"/>
                  </w14:solidFill>
                </w14:textFill>
              </w:rPr>
              <w:t>量</w:t>
            </w:r>
            <w:r>
              <w:rPr>
                <w:color w:val="000000" w:themeColor="text1"/>
                <w:kern w:val="2"/>
                <w:szCs w:val="30"/>
                <w:highlight w:val="none"/>
                <w14:textFill>
                  <w14:solidFill>
                    <w14:schemeClr w14:val="tx1"/>
                  </w14:solidFill>
                </w14:textFill>
              </w:rPr>
              <w:t>。</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设置独立、密闭的喷漆调漆及烘干区；保证有机废气的收集效率。通过生产时紧闭门窗，为出入口设置卷帘门或双重门，从源头上缩减无组织废气的产生。同时为了避免影响车间内职工的身体健康，建议为工人配备一定的辅助防护措施。</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D、建议建设单位在运营生产期间应加强生产设备及环保设施的日常维护，避免事故生产，保证设施的正常运行。</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E、企业在后续的生产运营过程中应建立台账，记录含VOCs原辅材料和含VOCs产品的名称，使用量、回收量、废弃量、去向以及VOCs含量等信息，台账保存期限不小于3年。</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F、通风生产设备、操作工位、</w:t>
            </w:r>
            <w:r>
              <w:rPr>
                <w:rFonts w:hint="eastAsia"/>
                <w:color w:val="000000" w:themeColor="text1"/>
                <w:highlight w:val="none"/>
                <w:lang w:eastAsia="zh-CN"/>
                <w14:textFill>
                  <w14:solidFill>
                    <w14:schemeClr w14:val="tx1"/>
                  </w14:solidFill>
                </w14:textFill>
              </w:rPr>
              <w:t>车间</w:t>
            </w:r>
            <w:r>
              <w:rPr>
                <w:rFonts w:hint="eastAsia"/>
                <w:color w:val="000000" w:themeColor="text1"/>
                <w:highlight w:val="none"/>
                <w14:textFill>
                  <w14:solidFill>
                    <w14:schemeClr w14:val="tx1"/>
                  </w14:solidFill>
                </w14:textFill>
              </w:rPr>
              <w:t>等应在符合安全生产、职业卫生相关规定的前提下，根据行业作业规程与标准、工业建筑及洁净车间通风设计规范等的要求，采用合理的通风量。</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G、载有VOCs物料的设备及其管道在开停工(车)、检维修和清洗时，应在退料阶段将残存物料净，并用密闭容器盛装，退料过程废气应排至VOCs废气收集处理系统；请洗及吹扫过程排气应排至VOCs废气收集处理系统。</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H、工艺过程产生的含VOCs废料(渣、液)，如本项目产生的废活性炭和盛装过VOCs物料的废包装容器在贮存、转运过程中应加盖密闭。</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I、</w:t>
            </w:r>
            <w:r>
              <w:rPr>
                <w:color w:val="000000" w:themeColor="text1"/>
                <w:highlight w:val="none"/>
                <w14:textFill>
                  <w14:solidFill>
                    <w14:schemeClr w14:val="tx1"/>
                  </w14:solidFill>
                </w14:textFill>
              </w:rPr>
              <w:t>建设单位应配备环保方面专业人员，并定期检查各环保设施，确保不发生非正常工况下的废气排放。同时项目废气处理应加强管理，防止因处理设施故障造成废气非正常排放。加强对操作工的培训和管理，以减少人为造成的废气无组织排放</w:t>
            </w:r>
            <w:r>
              <w:rPr>
                <w:rFonts w:hint="eastAsia"/>
                <w:color w:val="000000" w:themeColor="text1"/>
                <w:highlight w:val="none"/>
                <w14:textFill>
                  <w14:solidFill>
                    <w14:schemeClr w14:val="tx1"/>
                  </w14:solidFill>
                </w14:textFill>
              </w:rPr>
              <w:t>。</w:t>
            </w:r>
          </w:p>
          <w:p>
            <w:pPr>
              <w:pStyle w:val="294"/>
              <w:ind w:firstLine="480"/>
              <w:jc w:val="left"/>
              <w:rPr>
                <w:color w:val="000000" w:themeColor="text1"/>
                <w:szCs w:val="24"/>
                <w:highlight w:val="none"/>
                <w14:textFill>
                  <w14:solidFill>
                    <w14:schemeClr w14:val="tx1"/>
                  </w14:solidFill>
                </w14:textFill>
              </w:rPr>
            </w:pPr>
            <w:r>
              <w:rPr>
                <w:color w:val="000000" w:themeColor="text1"/>
                <w:highlight w:val="none"/>
                <w14:textFill>
                  <w14:solidFill>
                    <w14:schemeClr w14:val="tx1"/>
                  </w14:solidFill>
                </w14:textFill>
              </w:rPr>
              <w:t>通过上述措施，项目产生的有机废气</w:t>
            </w:r>
            <w:r>
              <w:rPr>
                <w:rFonts w:hint="eastAsia"/>
                <w:color w:val="000000" w:themeColor="text1"/>
                <w:highlight w:val="none"/>
                <w14:textFill>
                  <w14:solidFill>
                    <w14:schemeClr w14:val="tx1"/>
                  </w14:solidFill>
                </w14:textFill>
              </w:rPr>
              <w:t>（以</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、二甲苯为主）</w:t>
            </w:r>
            <w:r>
              <w:rPr>
                <w:color w:val="000000" w:themeColor="text1"/>
                <w:highlight w:val="none"/>
                <w14:textFill>
                  <w14:solidFill>
                    <w14:schemeClr w14:val="tx1"/>
                  </w14:solidFill>
                </w14:textFill>
              </w:rPr>
              <w:t>排放指标和废气处置设施的要求均符合</w:t>
            </w:r>
            <w:r>
              <w:rPr>
                <w:rFonts w:hint="eastAsia"/>
                <w:color w:val="000000" w:themeColor="text1"/>
                <w:highlight w:val="none"/>
                <w14:textFill>
                  <w14:solidFill>
                    <w14:schemeClr w14:val="tx1"/>
                  </w14:solidFill>
                </w14:textFill>
              </w:rPr>
              <w:t>《工业涂装工序挥发性有机物排放标准》(DB35/1783-2018)</w:t>
            </w:r>
            <w:r>
              <w:rPr>
                <w:rFonts w:hint="eastAsia"/>
                <w:bCs/>
                <w:color w:val="000000" w:themeColor="text1"/>
                <w:highlight w:val="none"/>
                <w14:textFill>
                  <w14:solidFill>
                    <w14:schemeClr w14:val="tx1"/>
                  </w14:solidFill>
                </w14:textFill>
              </w:rPr>
              <w:t>表4</w:t>
            </w:r>
            <w:r>
              <w:rPr>
                <w:color w:val="000000" w:themeColor="text1"/>
                <w:highlight w:val="none"/>
                <w14:textFill>
                  <w14:solidFill>
                    <w14:schemeClr w14:val="tx1"/>
                  </w14:solidFill>
                </w14:textFill>
              </w:rPr>
              <w:t>中要求的污染物排放限值</w:t>
            </w:r>
            <w:r>
              <w:rPr>
                <w:rFonts w:hint="eastAsia"/>
                <w:color w:val="000000" w:themeColor="text1"/>
                <w:highlight w:val="none"/>
                <w14:textFill>
                  <w14:solidFill>
                    <w14:schemeClr w14:val="tx1"/>
                  </w14:solidFill>
                </w14:textFill>
              </w:rPr>
              <w:t>及</w:t>
            </w:r>
            <w:r>
              <w:rPr>
                <w:rFonts w:hint="eastAsia"/>
                <w:color w:val="000000" w:themeColor="text1"/>
                <w:szCs w:val="24"/>
                <w:highlight w:val="none"/>
                <w14:textFill>
                  <w14:solidFill>
                    <w14:schemeClr w14:val="tx1"/>
                  </w14:solidFill>
                </w14:textFill>
              </w:rPr>
              <w:t>《挥发性有机物无组织排放控制标准》(GB37822-2019）中特别排放限值要求。</w:t>
            </w:r>
          </w:p>
          <w:p>
            <w:pPr>
              <w:pStyle w:val="294"/>
              <w:ind w:firstLine="48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w:t>
            </w:r>
            <w:r>
              <w:rPr>
                <w:color w:val="000000" w:themeColor="text1"/>
                <w:highlight w:val="none"/>
                <w14:textFill>
                  <w14:solidFill>
                    <w14:schemeClr w14:val="tx1"/>
                  </w14:solidFill>
                </w14:textFill>
              </w:rPr>
              <w:t>分析可知，项目运营期采取的大气污染防治措施可行。</w:t>
            </w:r>
          </w:p>
          <w:p>
            <w:pPr>
              <w:pStyle w:val="89"/>
              <w:spacing w:before="120" w:beforeLines="50" w:after="120" w:afterLines="50"/>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4.2.2.</w:t>
            </w:r>
            <w:r>
              <w:rPr>
                <w:rFonts w:hint="eastAsia" w:ascii="Times New Roman" w:hAnsi="Times New Roman" w:eastAsia="宋体" w:cs="Times New Roman"/>
                <w:color w:val="000000" w:themeColor="text1"/>
                <w:highlight w:val="none"/>
                <w14:textFill>
                  <w14:solidFill>
                    <w14:schemeClr w14:val="tx1"/>
                  </w14:solidFill>
                </w14:textFill>
              </w:rPr>
              <w:t>3环境防护距离设置要求</w:t>
            </w:r>
          </w:p>
          <w:p>
            <w:pPr>
              <w:pStyle w:val="294"/>
              <w:ind w:firstLine="480"/>
              <w:jc w:val="lef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根据《建设项目环境影响报告表编制技术指南(污染影响类)(试行)》(</w:t>
            </w:r>
            <w:r>
              <w:rPr>
                <w:rFonts w:hint="eastAsia" w:ascii="Times New Roman" w:hAnsi="Times New Roman" w:eastAsia="宋体" w:cs="Times New Roman"/>
                <w:color w:val="000000" w:themeColor="text1"/>
                <w:highlight w:val="none"/>
                <w:lang w:val="zh-CN"/>
                <w14:textFill>
                  <w14:solidFill>
                    <w14:schemeClr w14:val="tx1"/>
                  </w14:solidFill>
                </w14:textFill>
              </w:rPr>
              <w:t>环办环评〔2020〕33号</w:t>
            </w:r>
            <w:r>
              <w:rPr>
                <w:rFonts w:hint="eastAsia" w:ascii="Times New Roman" w:hAnsi="Times New Roman" w:eastAsia="宋体" w:cs="Times New Roman"/>
                <w:color w:val="000000" w:themeColor="text1"/>
                <w:highlight w:val="none"/>
                <w14:textFill>
                  <w14:solidFill>
                    <w14:schemeClr w14:val="tx1"/>
                  </w14:solidFill>
                </w14:textFill>
              </w:rPr>
              <w:t>)要求可知，目前不对项目大气环境防护距离及卫生防护距离进行要求。根据环境影响评价网(</w:t>
            </w:r>
            <w:r>
              <w:rPr>
                <w:rFonts w:hint="eastAsia" w:ascii="Times New Roman" w:hAnsi="Times New Roman" w:eastAsia="宋体" w:cs="Times New Roman"/>
                <w:color w:val="000000" w:themeColor="text1"/>
                <w:highlight w:val="none"/>
                <w:lang w:val="zh-CN"/>
                <w14:textFill>
                  <w14:solidFill>
                    <w14:schemeClr w14:val="tx1"/>
                  </w14:solidFill>
                </w14:textFill>
              </w:rPr>
              <w:t>生态环境部环境工程评估中心</w:t>
            </w:r>
            <w:r>
              <w:rPr>
                <w:rFonts w:hint="eastAsia" w:ascii="Times New Roman" w:hAnsi="Times New Roman" w:eastAsia="宋体" w:cs="Times New Roman"/>
                <w:color w:val="000000" w:themeColor="text1"/>
                <w:highlight w:val="none"/>
                <w14:textFill>
                  <w14:solidFill>
                    <w14:schemeClr w14:val="tx1"/>
                  </w14:solidFill>
                </w14:textFill>
              </w:rPr>
              <w:t>)关于</w:t>
            </w:r>
            <w:r>
              <w:rPr>
                <w:rFonts w:hint="eastAsia" w:ascii="Times New Roman" w:hAnsi="Times New Roman" w:eastAsia="宋体" w:cs="Times New Roman"/>
                <w:color w:val="000000" w:themeColor="text1"/>
                <w:highlight w:val="none"/>
                <w:lang w:val="zh-CN"/>
                <w14:textFill>
                  <w14:solidFill>
                    <w14:schemeClr w14:val="tx1"/>
                  </w14:solidFill>
                </w14:textFill>
              </w:rPr>
              <w:t>《建设项目环境影响报告表》内容、格式及编制技术指南常见问题解答：</w:t>
            </w:r>
            <w:r>
              <w:rPr>
                <w:rFonts w:hint="eastAsia" w:ascii="Times New Roman" w:hAnsi="Times New Roman" w:eastAsia="宋体" w:cs="Times New Roman"/>
                <w:color w:val="000000" w:themeColor="text1"/>
                <w:highlight w:val="none"/>
                <w14:textFill>
                  <w14:solidFill>
                    <w14:schemeClr w14:val="tx1"/>
                  </w14:solidFill>
                </w14:textFill>
              </w:rPr>
              <w:t>“《建设项目环境影响评价技术导则 总纲》(HJ2.1-2016)未对卫生防护距离提出评价要求，建设项目环境影响报告表编制技术指南(以下简称技术指南)不做要求。对于判定为需要开展大气专项评价的建设项目，根据《环境影响评价技术导则 大气环境》(HJ2.2-2018)需要计算大气环境防护距离的，应按要求计算”。</w:t>
            </w:r>
            <w:r>
              <w:rPr>
                <w:rFonts w:hint="eastAsia"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14:textFill>
                  <w14:solidFill>
                    <w14:schemeClr w14:val="tx1"/>
                  </w14:solidFill>
                </w14:textFill>
              </w:rPr>
              <w:t>项目不涉及大气专项评价，因此，在企业落实有效的废气收集、处理措施的前提下，本项目可不设置大气环境防护距离和卫生防护距离。</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4.2.3</w:t>
            </w:r>
            <w:r>
              <w:rPr>
                <w:rFonts w:hint="eastAsia"/>
                <w:color w:val="000000" w:themeColor="text1"/>
                <w:sz w:val="28"/>
                <w:szCs w:val="28"/>
                <w:highlight w:val="none"/>
                <w14:textFill>
                  <w14:solidFill>
                    <w14:schemeClr w14:val="tx1"/>
                  </w14:solidFill>
                </w14:textFill>
              </w:rPr>
              <w:t>噪声</w:t>
            </w:r>
          </w:p>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4.2.3.1</w:t>
            </w:r>
            <w:r>
              <w:rPr>
                <w:rFonts w:hint="eastAsia"/>
                <w:color w:val="000000" w:themeColor="text1"/>
                <w:highlight w:val="none"/>
                <w14:textFill>
                  <w14:solidFill>
                    <w14:schemeClr w14:val="tx1"/>
                  </w14:solidFill>
                </w14:textFill>
              </w:rPr>
              <w:t>噪声污染源强</w:t>
            </w:r>
            <w:r>
              <w:rPr>
                <w:color w:val="000000" w:themeColor="text1"/>
                <w:highlight w:val="none"/>
                <w14:textFill>
                  <w14:solidFill>
                    <w14:schemeClr w14:val="tx1"/>
                  </w14:solidFill>
                </w14:textFill>
              </w:rPr>
              <w:t>分析</w:t>
            </w:r>
          </w:p>
          <w:p>
            <w:pPr>
              <w:pStyle w:val="237"/>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项目主要</w:t>
            </w:r>
            <w:r>
              <w:rPr>
                <w:rFonts w:hint="eastAsia"/>
                <w:color w:val="000000" w:themeColor="text1"/>
                <w:highlight w:val="none"/>
                <w14:textFill>
                  <w14:solidFill>
                    <w14:schemeClr w14:val="tx1"/>
                  </w14:solidFill>
                </w14:textFill>
              </w:rPr>
              <w:t>生产</w:t>
            </w:r>
            <w:r>
              <w:rPr>
                <w:color w:val="000000" w:themeColor="text1"/>
                <w:highlight w:val="none"/>
                <w14:textFill>
                  <w14:solidFill>
                    <w14:schemeClr w14:val="tx1"/>
                  </w14:solidFill>
                </w14:textFill>
              </w:rPr>
              <w:t>设备</w:t>
            </w:r>
            <w:r>
              <w:rPr>
                <w:rFonts w:hint="eastAsia"/>
                <w:color w:val="000000" w:themeColor="text1"/>
                <w:highlight w:val="none"/>
                <w14:textFill>
                  <w14:solidFill>
                    <w14:schemeClr w14:val="tx1"/>
                  </w14:solidFill>
                </w14:textFill>
              </w:rPr>
              <w:t>机械</w:t>
            </w:r>
            <w:r>
              <w:rPr>
                <w:color w:val="000000" w:themeColor="text1"/>
                <w:highlight w:val="none"/>
                <w14:textFill>
                  <w14:solidFill>
                    <w14:schemeClr w14:val="tx1"/>
                  </w14:solidFill>
                </w14:textFill>
              </w:rPr>
              <w:t>噪声</w:t>
            </w:r>
            <w:r>
              <w:rPr>
                <w:rFonts w:hint="eastAsia"/>
                <w:color w:val="000000" w:themeColor="text1"/>
                <w:highlight w:val="none"/>
                <w14:textFill>
                  <w14:solidFill>
                    <w14:schemeClr w14:val="tx1"/>
                  </w14:solidFill>
                </w14:textFill>
              </w:rPr>
              <w:t>源强详见</w:t>
            </w:r>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4.2-11，</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拟</w:t>
            </w:r>
            <w:r>
              <w:rPr>
                <w:color w:val="000000" w:themeColor="text1"/>
                <w:highlight w:val="none"/>
                <w14:textFill>
                  <w14:solidFill>
                    <w14:schemeClr w14:val="tx1"/>
                  </w14:solidFill>
                </w14:textFill>
              </w:rPr>
              <w:t>对运营期间的生产噪声采取</w:t>
            </w:r>
            <w:r>
              <w:rPr>
                <w:rFonts w:hint="eastAsia"/>
                <w:color w:val="000000" w:themeColor="text1"/>
                <w:highlight w:val="none"/>
                <w14:textFill>
                  <w14:solidFill>
                    <w14:schemeClr w14:val="tx1"/>
                  </w14:solidFill>
                </w14:textFill>
              </w:rPr>
              <w:t>设备基础</w:t>
            </w:r>
            <w:r>
              <w:rPr>
                <w:color w:val="000000" w:themeColor="text1"/>
                <w:highlight w:val="none"/>
                <w14:textFill>
                  <w14:solidFill>
                    <w14:schemeClr w14:val="tx1"/>
                  </w14:solidFill>
                </w14:textFill>
              </w:rPr>
              <w:t>减振</w:t>
            </w:r>
            <w:r>
              <w:rPr>
                <w:rFonts w:hint="eastAsia"/>
                <w:color w:val="000000" w:themeColor="text1"/>
                <w:highlight w:val="none"/>
                <w14:textFill>
                  <w14:solidFill>
                    <w14:schemeClr w14:val="tx1"/>
                  </w14:solidFill>
                </w14:textFill>
              </w:rPr>
              <w:t>及厂房</w:t>
            </w:r>
            <w:r>
              <w:rPr>
                <w:color w:val="000000" w:themeColor="text1"/>
                <w:highlight w:val="none"/>
                <w14:textFill>
                  <w14:solidFill>
                    <w14:schemeClr w14:val="tx1"/>
                  </w14:solidFill>
                </w14:textFill>
              </w:rPr>
              <w:t>隔声等</w:t>
            </w:r>
            <w:r>
              <w:rPr>
                <w:rFonts w:hint="eastAsia"/>
                <w:color w:val="000000" w:themeColor="text1"/>
                <w:highlight w:val="none"/>
                <w14:textFill>
                  <w14:solidFill>
                    <w14:schemeClr w14:val="tx1"/>
                  </w14:solidFill>
                </w14:textFill>
              </w:rPr>
              <w:t>综合</w:t>
            </w:r>
            <w:r>
              <w:rPr>
                <w:color w:val="000000" w:themeColor="text1"/>
                <w:highlight w:val="none"/>
                <w14:textFill>
                  <w14:solidFill>
                    <w14:schemeClr w14:val="tx1"/>
                  </w14:solidFill>
                </w14:textFill>
              </w:rPr>
              <w:t>措施</w:t>
            </w:r>
            <w:r>
              <w:rPr>
                <w:rFonts w:hint="eastAsia"/>
                <w:color w:val="000000" w:themeColor="text1"/>
                <w:highlight w:val="none"/>
                <w14:textFill>
                  <w14:solidFill>
                    <w14:schemeClr w14:val="tx1"/>
                  </w14:solidFill>
                </w14:textFill>
              </w:rPr>
              <w:t>进行</w:t>
            </w:r>
            <w:r>
              <w:rPr>
                <w:color w:val="000000" w:themeColor="text1"/>
                <w:highlight w:val="none"/>
                <w14:textFill>
                  <w14:solidFill>
                    <w14:schemeClr w14:val="tx1"/>
                  </w14:solidFill>
                </w14:textFill>
              </w:rPr>
              <w:t>降噪，降噪效果约为</w:t>
            </w:r>
            <w:r>
              <w:rPr>
                <w:rFonts w:hint="eastAsia"/>
                <w:color w:val="000000" w:themeColor="text1"/>
                <w:highlight w:val="none"/>
                <w14:textFill>
                  <w14:solidFill>
                    <w14:schemeClr w14:val="tx1"/>
                  </w14:solidFill>
                </w14:textFill>
              </w:rPr>
              <w:t>20</w:t>
            </w:r>
            <w:r>
              <w:rPr>
                <w:color w:val="000000" w:themeColor="text1"/>
                <w:highlight w:val="none"/>
                <w14:textFill>
                  <w14:solidFill>
                    <w14:schemeClr w14:val="tx1"/>
                  </w14:solidFill>
                </w14:textFill>
              </w:rPr>
              <w:t>dB</w:t>
            </w:r>
            <w:r>
              <w:rPr>
                <w:rFonts w:hint="eastAsia"/>
                <w:color w:val="000000" w:themeColor="text1"/>
                <w:highlight w:val="none"/>
                <w14:textFill>
                  <w14:solidFill>
                    <w14:schemeClr w14:val="tx1"/>
                  </w14:solidFill>
                </w14:textFill>
              </w:rPr>
              <w:t>。</w:t>
            </w:r>
          </w:p>
          <w:p>
            <w:pPr>
              <w:pStyle w:val="237"/>
              <w:ind w:firstLine="482"/>
              <w:jc w:val="center"/>
              <w:rPr>
                <w:b/>
                <w:bCs/>
                <w:color w:val="000000" w:themeColor="text1"/>
                <w:szCs w:val="22"/>
                <w:highlight w:val="none"/>
                <w14:textFill>
                  <w14:solidFill>
                    <w14:schemeClr w14:val="tx1"/>
                  </w14:solidFill>
                </w14:textFill>
              </w:rPr>
            </w:pPr>
            <w:r>
              <w:rPr>
                <w:b/>
                <w:bCs/>
                <w:color w:val="000000" w:themeColor="text1"/>
                <w:szCs w:val="22"/>
                <w:highlight w:val="none"/>
                <w14:textFill>
                  <w14:solidFill>
                    <w14:schemeClr w14:val="tx1"/>
                  </w14:solidFill>
                </w14:textFill>
              </w:rPr>
              <w:t>表4.2-</w:t>
            </w:r>
            <w:r>
              <w:rPr>
                <w:rFonts w:hint="eastAsia"/>
                <w:b/>
                <w:bCs/>
                <w:color w:val="000000" w:themeColor="text1"/>
                <w:szCs w:val="22"/>
                <w:highlight w:val="none"/>
                <w14:textFill>
                  <w14:solidFill>
                    <w14:schemeClr w14:val="tx1"/>
                  </w14:solidFill>
                </w14:textFill>
              </w:rPr>
              <w:t>11</w:t>
            </w:r>
            <w:r>
              <w:rPr>
                <w:b/>
                <w:bCs/>
                <w:color w:val="000000" w:themeColor="text1"/>
                <w:szCs w:val="22"/>
                <w:highlight w:val="none"/>
                <w14:textFill>
                  <w14:solidFill>
                    <w14:schemeClr w14:val="tx1"/>
                  </w14:solidFill>
                </w14:textFill>
              </w:rPr>
              <w:t>工程主要</w:t>
            </w:r>
            <w:r>
              <w:rPr>
                <w:rFonts w:hint="eastAsia"/>
                <w:b/>
                <w:bCs/>
                <w:color w:val="000000" w:themeColor="text1"/>
                <w:szCs w:val="22"/>
                <w:highlight w:val="none"/>
                <w14:textFill>
                  <w14:solidFill>
                    <w14:schemeClr w14:val="tx1"/>
                  </w14:solidFill>
                </w14:textFill>
              </w:rPr>
              <w:t>机械</w:t>
            </w:r>
            <w:r>
              <w:rPr>
                <w:b/>
                <w:bCs/>
                <w:color w:val="000000" w:themeColor="text1"/>
                <w:szCs w:val="22"/>
                <w:highlight w:val="none"/>
                <w14:textFill>
                  <w14:solidFill>
                    <w14:schemeClr w14:val="tx1"/>
                  </w14:solidFill>
                </w14:textFill>
              </w:rPr>
              <w:t>设备噪声</w:t>
            </w:r>
            <w:r>
              <w:rPr>
                <w:rFonts w:hint="eastAsia"/>
                <w:b/>
                <w:bCs/>
                <w:color w:val="000000" w:themeColor="text1"/>
                <w:szCs w:val="22"/>
                <w:highlight w:val="none"/>
                <w14:textFill>
                  <w14:solidFill>
                    <w14:schemeClr w14:val="tx1"/>
                  </w14:solidFill>
                </w14:textFill>
              </w:rPr>
              <w:t>一览表</w:t>
            </w:r>
          </w:p>
          <w:tbl>
            <w:tblPr>
              <w:tblStyle w:val="3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8"/>
              <w:gridCol w:w="1849"/>
              <w:gridCol w:w="576"/>
              <w:gridCol w:w="905"/>
              <w:gridCol w:w="1354"/>
              <w:gridCol w:w="1204"/>
              <w:gridCol w:w="985"/>
              <w:gridCol w:w="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101"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噪声源名称</w:t>
                  </w:r>
                </w:p>
              </w:tc>
              <w:tc>
                <w:tcPr>
                  <w:tcW w:w="34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数量</w:t>
                  </w:r>
                </w:p>
              </w:tc>
              <w:tc>
                <w:tcPr>
                  <w:tcW w:w="539"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治理前声级dB(A)</w:t>
                  </w:r>
                </w:p>
              </w:tc>
              <w:tc>
                <w:tcPr>
                  <w:tcW w:w="806"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治理措施</w:t>
                  </w:r>
                </w:p>
              </w:tc>
              <w:tc>
                <w:tcPr>
                  <w:tcW w:w="717"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降噪效果</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dB(A)</w:t>
                  </w:r>
                </w:p>
              </w:tc>
              <w:tc>
                <w:tcPr>
                  <w:tcW w:w="586"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治理后声级dB(A)</w:t>
                  </w:r>
                </w:p>
              </w:tc>
              <w:tc>
                <w:tcPr>
                  <w:tcW w:w="542"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持续时间(h/d)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封边机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restar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设备减振、厂房隔声等综合治理措施</w:t>
                  </w:r>
                </w:p>
              </w:tc>
              <w:tc>
                <w:tcPr>
                  <w:tcW w:w="717" w:type="pct"/>
                  <w:vMerge w:val="restar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586"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数控裁板锯</w:t>
                  </w:r>
                </w:p>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数控六面钻孔</w:t>
                  </w:r>
                </w:p>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(数控钻孔中心）</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排钻</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台钻</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空压机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70</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冷压机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电脑数控雕刻机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精锯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压刨机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54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11</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平刨机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12</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双面锯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重锯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线条机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带锯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16</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五叠锯</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17</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立铣</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18</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打眼机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19</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侧眼机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地锣</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21</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弧形封边机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22</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倒角机</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23</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砂光机</w:t>
                  </w:r>
                </w:p>
              </w:tc>
              <w:tc>
                <w:tcPr>
                  <w:tcW w:w="343" w:type="pct"/>
                  <w:vAlign w:val="center"/>
                </w:tcPr>
                <w:p>
                  <w:pPr>
                    <w:pStyle w:val="67"/>
                    <w:adjustRightInd w:val="0"/>
                    <w:snapToGrid w:val="0"/>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24</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手持打磨机</w:t>
                  </w:r>
                </w:p>
              </w:tc>
              <w:tc>
                <w:tcPr>
                  <w:tcW w:w="343" w:type="pct"/>
                  <w:vAlign w:val="center"/>
                </w:tcPr>
                <w:p>
                  <w:pPr>
                    <w:pStyle w:val="67"/>
                    <w:adjustRightInd w:val="0"/>
                    <w:snapToGrid w:val="0"/>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25</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水帘喷漆台</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80</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60</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26</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无尘表干房</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362"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27</w:t>
                  </w:r>
                </w:p>
              </w:tc>
              <w:tc>
                <w:tcPr>
                  <w:tcW w:w="1101"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水性漆烤房</w:t>
                  </w:r>
                </w:p>
              </w:tc>
              <w:tc>
                <w:tcPr>
                  <w:tcW w:w="343"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539" w:type="pct"/>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w:t>
                  </w:r>
                </w:p>
              </w:tc>
              <w:tc>
                <w:tcPr>
                  <w:tcW w:w="806"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717" w:type="pct"/>
                  <w:vMerge w:val="continue"/>
                  <w:vAlign w:val="center"/>
                </w:tcPr>
                <w:p>
                  <w:pPr>
                    <w:pStyle w:val="67"/>
                    <w:adjustRightInd w:val="0"/>
                    <w:snapToGrid w:val="0"/>
                    <w:textAlignment w:val="center"/>
                    <w:rPr>
                      <w:color w:val="000000" w:themeColor="text1"/>
                      <w:szCs w:val="21"/>
                      <w:highlight w:val="none"/>
                      <w14:textFill>
                        <w14:solidFill>
                          <w14:schemeClr w14:val="tx1"/>
                        </w14:solidFill>
                      </w14:textFill>
                    </w:rPr>
                  </w:pPr>
                </w:p>
              </w:tc>
              <w:tc>
                <w:tcPr>
                  <w:tcW w:w="586" w:type="pct"/>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55</w:t>
                  </w:r>
                </w:p>
              </w:tc>
              <w:tc>
                <w:tcPr>
                  <w:tcW w:w="911" w:type="dxa"/>
                  <w:vAlign w:val="center"/>
                </w:tcPr>
                <w:p>
                  <w:pPr>
                    <w:pStyle w:val="67"/>
                    <w:adjustRightInd w:val="0"/>
                    <w:snapToGrid w:val="0"/>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r>
          </w:tbl>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4.2.3.2</w:t>
            </w:r>
            <w:r>
              <w:rPr>
                <w:rFonts w:hint="eastAsia"/>
                <w:color w:val="000000" w:themeColor="text1"/>
                <w:highlight w:val="none"/>
                <w14:textFill>
                  <w14:solidFill>
                    <w14:schemeClr w14:val="tx1"/>
                  </w14:solidFill>
                </w14:textFill>
              </w:rPr>
              <w:t>噪声达标</w:t>
            </w:r>
            <w:r>
              <w:rPr>
                <w:color w:val="000000" w:themeColor="text1"/>
                <w:highlight w:val="none"/>
                <w14:textFill>
                  <w14:solidFill>
                    <w14:schemeClr w14:val="tx1"/>
                  </w14:solidFill>
                </w14:textFill>
              </w:rPr>
              <w:t>分析</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噪声点源距离衰减公式</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根据工业噪声源的特点，本次评价采用无指向性点源的集几何可近似认为是半发散衰减公式进行预测：</w:t>
            </w:r>
          </w:p>
          <w:p>
            <w:pPr>
              <w:pStyle w:val="86"/>
              <w:ind w:firstLine="480"/>
              <w:jc w:val="center"/>
              <w:rPr>
                <w:color w:val="000000" w:themeColor="text1"/>
                <w:highlight w:val="none"/>
                <w14:textFill>
                  <w14:solidFill>
                    <w14:schemeClr w14:val="tx1"/>
                  </w14:solidFill>
                </w14:textFill>
              </w:rPr>
            </w:pPr>
            <w:r>
              <w:rPr>
                <w:color w:val="000000" w:themeColor="text1"/>
                <w:position w:val="-32"/>
                <w:highlight w:val="none"/>
                <w14:textFill>
                  <w14:solidFill>
                    <w14:schemeClr w14:val="tx1"/>
                  </w14:solidFill>
                </w14:textFill>
              </w:rPr>
              <w:object>
                <v:shape id="_x0000_i1028" o:spt="75" type="#_x0000_t75" style="height:38.6pt;width:155.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w:t>
            </w:r>
            <w:r>
              <w:rPr>
                <w:color w:val="000000" w:themeColor="text1"/>
                <w:highlight w:val="none"/>
                <w:vertAlign w:val="subscript"/>
                <w14:textFill>
                  <w14:solidFill>
                    <w14:schemeClr w14:val="tx1"/>
                  </w14:solidFill>
                </w14:textFill>
              </w:rPr>
              <w:t>A(r)</w:t>
            </w:r>
            <w:r>
              <w:rPr>
                <w:color w:val="000000" w:themeColor="text1"/>
                <w:highlight w:val="none"/>
                <w14:textFill>
                  <w14:solidFill>
                    <w14:schemeClr w14:val="tx1"/>
                  </w14:solidFill>
                </w14:textFill>
              </w:rPr>
              <w:t>——距声源r处的A声级，dB；</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color w:val="000000" w:themeColor="text1"/>
                <w:highlight w:val="none"/>
                <w:vertAlign w:val="subscript"/>
                <w14:textFill>
                  <w14:solidFill>
                    <w14:schemeClr w14:val="tx1"/>
                  </w14:solidFill>
                </w14:textFill>
              </w:rPr>
              <w:t>A(r0)</w:t>
            </w:r>
            <w:r>
              <w:rPr>
                <w:color w:val="000000" w:themeColor="text1"/>
                <w:highlight w:val="none"/>
                <w14:textFill>
                  <w14:solidFill>
                    <w14:schemeClr w14:val="tx1"/>
                  </w14:solidFill>
                </w14:textFill>
              </w:rPr>
              <w:t>——参考位置r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处的A声级，dB；</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r——预测点距声源的距离，m；</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w:t>
            </w:r>
            <w:r>
              <w:rPr>
                <w:color w:val="000000" w:themeColor="text1"/>
                <w:highlight w:val="none"/>
                <w:vertAlign w:val="subscript"/>
                <w14:textFill>
                  <w14:solidFill>
                    <w14:schemeClr w14:val="tx1"/>
                  </w14:solidFill>
                </w14:textFill>
              </w:rPr>
              <w:t>0</w:t>
            </w:r>
            <w:r>
              <w:rPr>
                <w:color w:val="000000" w:themeColor="text1"/>
                <w:highlight w:val="none"/>
                <w14:textFill>
                  <w14:solidFill>
                    <w14:schemeClr w14:val="tx1"/>
                  </w14:solidFill>
                </w14:textFill>
              </w:rPr>
              <w:t>——参考位置距声源的距离，m；</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ΔL</w:t>
            </w:r>
            <w:r>
              <w:rPr>
                <w:color w:val="000000" w:themeColor="text1"/>
                <w:highlight w:val="none"/>
                <w:vertAlign w:val="subscript"/>
                <w14:textFill>
                  <w14:solidFill>
                    <w14:schemeClr w14:val="tx1"/>
                  </w14:solidFill>
                </w14:textFill>
              </w:rPr>
              <w:t>A</w:t>
            </w:r>
            <w:r>
              <w:rPr>
                <w:color w:val="000000" w:themeColor="text1"/>
                <w:highlight w:val="none"/>
                <w14:textFill>
                  <w14:solidFill>
                    <w14:schemeClr w14:val="tx1"/>
                  </w14:solidFill>
                </w14:textFill>
              </w:rPr>
              <w:t>——因各种因素引起的衰减量，dB。</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多声源叠加公式</w:t>
            </w:r>
          </w:p>
          <w:p>
            <w:pPr>
              <w:pStyle w:val="86"/>
              <w:ind w:firstLine="48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object>
                <v:shape id="_x0000_i1029" o:spt="75" type="#_x0000_t75" style="height:36pt;width:116.05pt;" o:ole="t" fillcolor="#000011"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式中：Leq——预测点的总声压级，dB(A)；</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w:t>
            </w:r>
            <w:r>
              <w:rPr>
                <w:color w:val="000000" w:themeColor="text1"/>
                <w:highlight w:val="none"/>
                <w:vertAlign w:val="subscript"/>
                <w14:textFill>
                  <w14:solidFill>
                    <w14:schemeClr w14:val="tx1"/>
                  </w14:solidFill>
                </w14:textFill>
              </w:rPr>
              <w:t>A,i</w:t>
            </w:r>
            <w:r>
              <w:rPr>
                <w:color w:val="000000" w:themeColor="text1"/>
                <w:highlight w:val="none"/>
                <w14:textFill>
                  <w14:solidFill>
                    <w14:schemeClr w14:val="tx1"/>
                  </w14:solidFill>
                </w14:textFill>
              </w:rPr>
              <w:t>——第i个声源对预测点的影响值，dB(A)；</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N——声源个数。</w:t>
            </w:r>
          </w:p>
          <w:p>
            <w:pPr>
              <w:pStyle w:val="86"/>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建筑围护结构的隔声量</w:t>
            </w:r>
          </w:p>
          <w:p>
            <w:pPr>
              <w:pStyle w:val="86"/>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建筑围护结构的隔声量取决于墙体、门窗所占面积及其透声系数。</w:t>
            </w:r>
          </w:p>
          <w:p>
            <w:pPr>
              <w:pStyle w:val="86"/>
              <w:ind w:firstLine="480"/>
              <w:rPr>
                <w:b/>
                <w:bCs/>
                <w:color w:val="000000" w:themeColor="text1"/>
                <w:szCs w:val="22"/>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扩建后</w:t>
            </w:r>
            <w:r>
              <w:rPr>
                <w:color w:val="000000" w:themeColor="text1"/>
                <w:highlight w:val="none"/>
                <w14:textFill>
                  <w14:solidFill>
                    <w14:schemeClr w14:val="tx1"/>
                  </w14:solidFill>
                </w14:textFill>
              </w:rPr>
              <w:t>为单班制，夜间不生产，则夜间对周边声环境没有影响。采用上述预测模式计算厂界处的噪声排放声级及其对周边声环境的影响，预测结果见</w:t>
            </w:r>
            <w:r>
              <w:rPr>
                <w:rFonts w:hint="eastAsia"/>
                <w:color w:val="000000" w:themeColor="text1"/>
                <w:highlight w:val="none"/>
                <w14:textFill>
                  <w14:solidFill>
                    <w14:schemeClr w14:val="tx1"/>
                  </w14:solidFill>
                </w14:textFill>
              </w:rPr>
              <w:t>表</w:t>
            </w:r>
            <w:r>
              <w:rPr>
                <w:color w:val="000000" w:themeColor="text1"/>
                <w:highlight w:val="none"/>
                <w14:textFill>
                  <w14:solidFill>
                    <w14:schemeClr w14:val="tx1"/>
                  </w14:solidFill>
                </w14:textFill>
              </w:rPr>
              <w:t>4.2-1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pPr>
              <w:pStyle w:val="97"/>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14:textFill>
                  <w14:solidFill>
                    <w14:schemeClr w14:val="tx1"/>
                  </w14:solidFill>
                </w14:textFill>
              </w:rPr>
              <w:t>2</w:t>
            </w:r>
            <w:r>
              <w:rPr>
                <w:rFonts w:ascii="Times New Roman" w:hAnsi="Times New Roman"/>
                <w:b/>
                <w:bCs/>
                <w:color w:val="000000" w:themeColor="text1"/>
                <w:szCs w:val="22"/>
                <w:highlight w:val="none"/>
                <w14:textFill>
                  <w14:solidFill>
                    <w14:schemeClr w14:val="tx1"/>
                  </w14:solidFill>
                </w14:textFill>
              </w:rPr>
              <w:t xml:space="preserve">  噪声预测结果一览表   </w:t>
            </w:r>
          </w:p>
          <w:tbl>
            <w:tblPr>
              <w:tblStyle w:val="3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8"/>
              <w:gridCol w:w="1344"/>
              <w:gridCol w:w="951"/>
              <w:gridCol w:w="799"/>
              <w:gridCol w:w="1261"/>
              <w:gridCol w:w="1402"/>
              <w:gridCol w:w="1019"/>
              <w:gridCol w:w="10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356"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800"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点位</w:t>
                  </w:r>
                </w:p>
              </w:tc>
              <w:tc>
                <w:tcPr>
                  <w:tcW w:w="566"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叠加噪声源dB(A)</w:t>
                  </w:r>
                </w:p>
              </w:tc>
              <w:tc>
                <w:tcPr>
                  <w:tcW w:w="476"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衰减量dB(A)</w:t>
                  </w:r>
                </w:p>
              </w:tc>
              <w:tc>
                <w:tcPr>
                  <w:tcW w:w="751"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与预测点距离(m)</w:t>
                  </w:r>
                </w:p>
              </w:tc>
              <w:tc>
                <w:tcPr>
                  <w:tcW w:w="835"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贡献值dB(A)</w:t>
                  </w:r>
                </w:p>
              </w:tc>
              <w:tc>
                <w:tcPr>
                  <w:tcW w:w="1213" w:type="pct"/>
                  <w:gridSpan w:val="2"/>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标准限值dB(A)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 w:hRule="atLeast"/>
                <w:jc w:val="center"/>
              </w:trPr>
              <w:tc>
                <w:tcPr>
                  <w:tcW w:w="356" w:type="pct"/>
                  <w:vMerge w:val="continue"/>
                  <w:vAlign w:val="center"/>
                </w:tcPr>
                <w:p>
                  <w:pPr>
                    <w:pStyle w:val="67"/>
                    <w:rPr>
                      <w:color w:val="000000" w:themeColor="text1"/>
                      <w:highlight w:val="none"/>
                      <w14:textFill>
                        <w14:solidFill>
                          <w14:schemeClr w14:val="tx1"/>
                        </w14:solidFill>
                      </w14:textFill>
                    </w:rPr>
                  </w:pPr>
                </w:p>
              </w:tc>
              <w:tc>
                <w:tcPr>
                  <w:tcW w:w="800" w:type="pct"/>
                  <w:vMerge w:val="continue"/>
                  <w:vAlign w:val="center"/>
                </w:tcPr>
                <w:p>
                  <w:pPr>
                    <w:pStyle w:val="67"/>
                    <w:rPr>
                      <w:color w:val="000000" w:themeColor="text1"/>
                      <w:highlight w:val="none"/>
                      <w14:textFill>
                        <w14:solidFill>
                          <w14:schemeClr w14:val="tx1"/>
                        </w14:solidFill>
                      </w14:textFill>
                    </w:rPr>
                  </w:pPr>
                </w:p>
              </w:tc>
              <w:tc>
                <w:tcPr>
                  <w:tcW w:w="566" w:type="pct"/>
                  <w:vMerge w:val="continue"/>
                  <w:vAlign w:val="center"/>
                </w:tcPr>
                <w:p>
                  <w:pPr>
                    <w:pStyle w:val="67"/>
                    <w:rPr>
                      <w:color w:val="000000" w:themeColor="text1"/>
                      <w:highlight w:val="none"/>
                      <w14:textFill>
                        <w14:solidFill>
                          <w14:schemeClr w14:val="tx1"/>
                        </w14:solidFill>
                      </w14:textFill>
                    </w:rPr>
                  </w:pPr>
                </w:p>
              </w:tc>
              <w:tc>
                <w:tcPr>
                  <w:tcW w:w="476" w:type="pct"/>
                  <w:vMerge w:val="continue"/>
                  <w:vAlign w:val="center"/>
                </w:tcPr>
                <w:p>
                  <w:pPr>
                    <w:pStyle w:val="67"/>
                    <w:rPr>
                      <w:color w:val="000000" w:themeColor="text1"/>
                      <w:highlight w:val="none"/>
                      <w14:textFill>
                        <w14:solidFill>
                          <w14:schemeClr w14:val="tx1"/>
                        </w14:solidFill>
                      </w14:textFill>
                    </w:rPr>
                  </w:pPr>
                </w:p>
              </w:tc>
              <w:tc>
                <w:tcPr>
                  <w:tcW w:w="751" w:type="pct"/>
                  <w:vMerge w:val="continue"/>
                  <w:vAlign w:val="center"/>
                </w:tcPr>
                <w:p>
                  <w:pPr>
                    <w:pStyle w:val="67"/>
                    <w:rPr>
                      <w:color w:val="000000" w:themeColor="text1"/>
                      <w:highlight w:val="none"/>
                      <w14:textFill>
                        <w14:solidFill>
                          <w14:schemeClr w14:val="tx1"/>
                        </w14:solidFill>
                      </w14:textFill>
                    </w:rPr>
                  </w:pPr>
                </w:p>
              </w:tc>
              <w:tc>
                <w:tcPr>
                  <w:tcW w:w="835" w:type="pct"/>
                  <w:vMerge w:val="continue"/>
                  <w:vAlign w:val="center"/>
                </w:tcPr>
                <w:p>
                  <w:pPr>
                    <w:pStyle w:val="67"/>
                    <w:rPr>
                      <w:color w:val="000000" w:themeColor="text1"/>
                      <w:highlight w:val="none"/>
                      <w14:textFill>
                        <w14:solidFill>
                          <w14:schemeClr w14:val="tx1"/>
                        </w14:solidFill>
                      </w14:textFill>
                    </w:rPr>
                  </w:pPr>
                </w:p>
              </w:tc>
              <w:tc>
                <w:tcPr>
                  <w:tcW w:w="607"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昼间</w:t>
                  </w:r>
                </w:p>
              </w:tc>
              <w:tc>
                <w:tcPr>
                  <w:tcW w:w="60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pPr>
                    <w:pStyle w:val="67"/>
                    <w:rPr>
                      <w:color w:val="000000" w:themeColor="text1"/>
                      <w:highlight w:val="none"/>
                      <w14:textFill>
                        <w14:solidFill>
                          <w14:schemeClr w14:val="tx1"/>
                        </w14:solidFill>
                      </w14:textFill>
                    </w:rPr>
                  </w:pPr>
                  <w:bookmarkStart w:id="7" w:name="_Hlk275158107"/>
                  <w:r>
                    <w:rPr>
                      <w:color w:val="000000" w:themeColor="text1"/>
                      <w:highlight w:val="none"/>
                      <w14:textFill>
                        <w14:solidFill>
                          <w14:schemeClr w14:val="tx1"/>
                        </w14:solidFill>
                      </w14:textFill>
                    </w:rPr>
                    <w:t>1</w:t>
                  </w:r>
                </w:p>
              </w:tc>
              <w:tc>
                <w:tcPr>
                  <w:tcW w:w="800"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北侧厂界</w:t>
                  </w:r>
                </w:p>
              </w:tc>
              <w:tc>
                <w:tcPr>
                  <w:tcW w:w="566" w:type="pct"/>
                  <w:vMerge w:val="restart"/>
                  <w:vAlign w:val="center"/>
                </w:tcPr>
                <w:p>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100.</w:t>
                  </w:r>
                  <w:r>
                    <w:rPr>
                      <w:rFonts w:hint="eastAsia"/>
                      <w:color w:val="000000" w:themeColor="text1"/>
                      <w:highlight w:val="none"/>
                      <w:lang w:val="en-US" w:eastAsia="zh-CN"/>
                      <w14:textFill>
                        <w14:solidFill>
                          <w14:schemeClr w14:val="tx1"/>
                        </w14:solidFill>
                      </w14:textFill>
                    </w:rPr>
                    <w:t>88</w:t>
                  </w:r>
                </w:p>
              </w:tc>
              <w:tc>
                <w:tcPr>
                  <w:tcW w:w="476"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p>
              </w:tc>
              <w:tc>
                <w:tcPr>
                  <w:tcW w:w="751"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w:t>
                  </w:r>
                </w:p>
              </w:tc>
              <w:tc>
                <w:tcPr>
                  <w:tcW w:w="835" w:type="pct"/>
                  <w:vAlign w:val="center"/>
                </w:tcPr>
                <w:p>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53.</w:t>
                  </w:r>
                  <w:r>
                    <w:rPr>
                      <w:rFonts w:hint="eastAsia"/>
                      <w:color w:val="000000" w:themeColor="text1"/>
                      <w:highlight w:val="none"/>
                      <w:lang w:val="en-US" w:eastAsia="zh-CN"/>
                      <w14:textFill>
                        <w14:solidFill>
                          <w14:schemeClr w14:val="tx1"/>
                        </w14:solidFill>
                      </w14:textFill>
                    </w:rPr>
                    <w:t>3</w:t>
                  </w:r>
                </w:p>
              </w:tc>
              <w:tc>
                <w:tcPr>
                  <w:tcW w:w="607"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800"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东侧厂界</w:t>
                  </w:r>
                </w:p>
              </w:tc>
              <w:tc>
                <w:tcPr>
                  <w:tcW w:w="566" w:type="pct"/>
                  <w:vMerge w:val="continue"/>
                  <w:vAlign w:val="center"/>
                </w:tcPr>
                <w:p>
                  <w:pPr>
                    <w:pStyle w:val="67"/>
                    <w:rPr>
                      <w:color w:val="000000" w:themeColor="text1"/>
                      <w:highlight w:val="none"/>
                      <w14:textFill>
                        <w14:solidFill>
                          <w14:schemeClr w14:val="tx1"/>
                        </w14:solidFill>
                      </w14:textFill>
                    </w:rPr>
                  </w:pPr>
                </w:p>
              </w:tc>
              <w:tc>
                <w:tcPr>
                  <w:tcW w:w="476" w:type="pct"/>
                  <w:vMerge w:val="continue"/>
                  <w:vAlign w:val="center"/>
                </w:tcPr>
                <w:p>
                  <w:pPr>
                    <w:pStyle w:val="67"/>
                    <w:rPr>
                      <w:color w:val="000000" w:themeColor="text1"/>
                      <w:highlight w:val="none"/>
                      <w14:textFill>
                        <w14:solidFill>
                          <w14:schemeClr w14:val="tx1"/>
                        </w14:solidFill>
                      </w14:textFill>
                    </w:rPr>
                  </w:pPr>
                </w:p>
              </w:tc>
              <w:tc>
                <w:tcPr>
                  <w:tcW w:w="751"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w:t>
                  </w:r>
                </w:p>
              </w:tc>
              <w:tc>
                <w:tcPr>
                  <w:tcW w:w="835" w:type="pct"/>
                  <w:vAlign w:val="center"/>
                </w:tcPr>
                <w:p>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49.</w:t>
                  </w:r>
                  <w:r>
                    <w:rPr>
                      <w:rFonts w:hint="eastAsia"/>
                      <w:color w:val="000000" w:themeColor="text1"/>
                      <w:highlight w:val="none"/>
                      <w:lang w:val="en-US" w:eastAsia="zh-CN"/>
                      <w14:textFill>
                        <w14:solidFill>
                          <w14:schemeClr w14:val="tx1"/>
                        </w14:solidFill>
                      </w14:textFill>
                    </w:rPr>
                    <w:t>8</w:t>
                  </w:r>
                </w:p>
              </w:tc>
              <w:tc>
                <w:tcPr>
                  <w:tcW w:w="607"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800"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南侧厂界</w:t>
                  </w:r>
                </w:p>
              </w:tc>
              <w:tc>
                <w:tcPr>
                  <w:tcW w:w="566" w:type="pct"/>
                  <w:vMerge w:val="continue"/>
                  <w:vAlign w:val="center"/>
                </w:tcPr>
                <w:p>
                  <w:pPr>
                    <w:pStyle w:val="67"/>
                    <w:rPr>
                      <w:color w:val="000000" w:themeColor="text1"/>
                      <w:highlight w:val="none"/>
                      <w14:textFill>
                        <w14:solidFill>
                          <w14:schemeClr w14:val="tx1"/>
                        </w14:solidFill>
                      </w14:textFill>
                    </w:rPr>
                  </w:pPr>
                </w:p>
              </w:tc>
              <w:tc>
                <w:tcPr>
                  <w:tcW w:w="476" w:type="pct"/>
                  <w:vMerge w:val="continue"/>
                  <w:vAlign w:val="center"/>
                </w:tcPr>
                <w:p>
                  <w:pPr>
                    <w:pStyle w:val="67"/>
                    <w:rPr>
                      <w:color w:val="000000" w:themeColor="text1"/>
                      <w:highlight w:val="none"/>
                      <w14:textFill>
                        <w14:solidFill>
                          <w14:schemeClr w14:val="tx1"/>
                        </w14:solidFill>
                      </w14:textFill>
                    </w:rPr>
                  </w:pPr>
                </w:p>
              </w:tc>
              <w:tc>
                <w:tcPr>
                  <w:tcW w:w="751"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w:t>
                  </w:r>
                </w:p>
              </w:tc>
              <w:tc>
                <w:tcPr>
                  <w:tcW w:w="835" w:type="pct"/>
                  <w:vAlign w:val="center"/>
                </w:tcPr>
                <w:p>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51.</w:t>
                  </w:r>
                  <w:r>
                    <w:rPr>
                      <w:rFonts w:hint="eastAsia"/>
                      <w:color w:val="000000" w:themeColor="text1"/>
                      <w:highlight w:val="none"/>
                      <w:lang w:val="en-US" w:eastAsia="zh-CN"/>
                      <w14:textFill>
                        <w14:solidFill>
                          <w14:schemeClr w14:val="tx1"/>
                        </w14:solidFill>
                      </w14:textFill>
                    </w:rPr>
                    <w:t>9</w:t>
                  </w:r>
                </w:p>
              </w:tc>
              <w:tc>
                <w:tcPr>
                  <w:tcW w:w="607"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356"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800"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西侧厂界</w:t>
                  </w:r>
                </w:p>
              </w:tc>
              <w:tc>
                <w:tcPr>
                  <w:tcW w:w="566" w:type="pct"/>
                  <w:vMerge w:val="continue"/>
                  <w:vAlign w:val="center"/>
                </w:tcPr>
                <w:p>
                  <w:pPr>
                    <w:pStyle w:val="67"/>
                    <w:rPr>
                      <w:color w:val="000000" w:themeColor="text1"/>
                      <w:highlight w:val="none"/>
                      <w14:textFill>
                        <w14:solidFill>
                          <w14:schemeClr w14:val="tx1"/>
                        </w14:solidFill>
                      </w14:textFill>
                    </w:rPr>
                  </w:pPr>
                </w:p>
              </w:tc>
              <w:tc>
                <w:tcPr>
                  <w:tcW w:w="476" w:type="pct"/>
                  <w:vMerge w:val="continue"/>
                  <w:vAlign w:val="center"/>
                </w:tcPr>
                <w:p>
                  <w:pPr>
                    <w:pStyle w:val="67"/>
                    <w:rPr>
                      <w:color w:val="000000" w:themeColor="text1"/>
                      <w:highlight w:val="none"/>
                      <w14:textFill>
                        <w14:solidFill>
                          <w14:schemeClr w14:val="tx1"/>
                        </w14:solidFill>
                      </w14:textFill>
                    </w:rPr>
                  </w:pPr>
                </w:p>
              </w:tc>
              <w:tc>
                <w:tcPr>
                  <w:tcW w:w="751"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p>
              </w:tc>
              <w:tc>
                <w:tcPr>
                  <w:tcW w:w="835" w:type="pct"/>
                  <w:vAlign w:val="center"/>
                </w:tcPr>
                <w:p>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50.</w:t>
                  </w:r>
                  <w:r>
                    <w:rPr>
                      <w:rFonts w:hint="eastAsia"/>
                      <w:color w:val="000000" w:themeColor="text1"/>
                      <w:highlight w:val="none"/>
                      <w:lang w:val="en-US" w:eastAsia="zh-CN"/>
                      <w14:textFill>
                        <w14:solidFill>
                          <w14:schemeClr w14:val="tx1"/>
                        </w14:solidFill>
                      </w14:textFill>
                    </w:rPr>
                    <w:t>8</w:t>
                  </w:r>
                </w:p>
              </w:tc>
              <w:tc>
                <w:tcPr>
                  <w:tcW w:w="607"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65</w:t>
                  </w:r>
                </w:p>
              </w:tc>
              <w:tc>
                <w:tcPr>
                  <w:tcW w:w="60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55</w:t>
                  </w:r>
                </w:p>
              </w:tc>
            </w:tr>
            <w:bookmarkEnd w:id="7"/>
          </w:tbl>
          <w:p>
            <w:pPr>
              <w:pStyle w:val="294"/>
              <w:ind w:firstLine="480"/>
              <w:rPr>
                <w:bCs/>
                <w:color w:val="000000" w:themeColor="text1"/>
                <w:kern w:val="0"/>
                <w:szCs w:val="24"/>
                <w:highlight w:val="none"/>
                <w14:textFill>
                  <w14:solidFill>
                    <w14:schemeClr w14:val="tx1"/>
                  </w14:solidFill>
                </w14:textFill>
              </w:rPr>
            </w:pPr>
            <w:r>
              <w:rPr>
                <w:bCs/>
                <w:color w:val="000000" w:themeColor="text1"/>
                <w:kern w:val="0"/>
                <w:szCs w:val="24"/>
                <w:highlight w:val="none"/>
                <w14:textFill>
                  <w14:solidFill>
                    <w14:schemeClr w14:val="tx1"/>
                  </w14:solidFill>
                </w14:textFill>
              </w:rPr>
              <w:t>由预测结果可以看出，建设项目营运期厂界噪声昼间、夜间均可满足《工业企业厂界环境噪声排放标准》</w:t>
            </w:r>
            <w:r>
              <w:rPr>
                <w:rFonts w:hint="eastAsia"/>
                <w:bCs/>
                <w:color w:val="000000" w:themeColor="text1"/>
                <w:kern w:val="0"/>
                <w:szCs w:val="24"/>
                <w:highlight w:val="none"/>
                <w14:textFill>
                  <w14:solidFill>
                    <w14:schemeClr w14:val="tx1"/>
                  </w14:solidFill>
                </w14:textFill>
              </w:rPr>
              <w:t>（</w:t>
            </w:r>
            <w:r>
              <w:rPr>
                <w:bCs/>
                <w:color w:val="000000" w:themeColor="text1"/>
                <w:kern w:val="0"/>
                <w:szCs w:val="24"/>
                <w:highlight w:val="none"/>
                <w14:textFill>
                  <w14:solidFill>
                    <w14:schemeClr w14:val="tx1"/>
                  </w14:solidFill>
                </w14:textFill>
              </w:rPr>
              <w:t>GB12348-2008</w:t>
            </w:r>
            <w:r>
              <w:rPr>
                <w:rFonts w:hint="eastAsia"/>
                <w:bCs/>
                <w:color w:val="000000" w:themeColor="text1"/>
                <w:kern w:val="0"/>
                <w:szCs w:val="24"/>
                <w:highlight w:val="none"/>
                <w14:textFill>
                  <w14:solidFill>
                    <w14:schemeClr w14:val="tx1"/>
                  </w14:solidFill>
                </w14:textFill>
              </w:rPr>
              <w:t>）3</w:t>
            </w:r>
            <w:r>
              <w:rPr>
                <w:bCs/>
                <w:color w:val="000000" w:themeColor="text1"/>
                <w:kern w:val="0"/>
                <w:szCs w:val="24"/>
                <w:highlight w:val="none"/>
                <w14:textFill>
                  <w14:solidFill>
                    <w14:schemeClr w14:val="tx1"/>
                  </w14:solidFill>
                </w14:textFill>
              </w:rPr>
              <w:t>类标准要求。</w:t>
            </w:r>
            <w:r>
              <w:rPr>
                <w:rFonts w:hint="eastAsia"/>
                <w:color w:val="000000" w:themeColor="text1"/>
                <w:highlight w:val="none"/>
                <w14:textFill>
                  <w14:solidFill>
                    <w14:schemeClr w14:val="tx1"/>
                  </w14:solidFill>
                </w14:textFill>
              </w:rPr>
              <w:t>因此</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项目</w:t>
            </w:r>
            <w:r>
              <w:rPr>
                <w:color w:val="000000" w:themeColor="text1"/>
                <w:highlight w:val="none"/>
                <w14:textFill>
                  <w14:solidFill>
                    <w14:schemeClr w14:val="tx1"/>
                  </w14:solidFill>
                </w14:textFill>
              </w:rPr>
              <w:t>生产机械设备噪声对周边声环境影响较小。</w:t>
            </w:r>
          </w:p>
          <w:p>
            <w:pPr>
              <w:pStyle w:val="89"/>
              <w:spacing w:before="120" w:beforeLines="50"/>
              <w:textAlignment w:val="center"/>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t>4.2.4</w:t>
            </w:r>
            <w:r>
              <w:rPr>
                <w:rFonts w:hint="eastAsia"/>
                <w:color w:val="000000" w:themeColor="text1"/>
                <w:sz w:val="28"/>
                <w:szCs w:val="28"/>
                <w:highlight w:val="none"/>
                <w14:textFill>
                  <w14:solidFill>
                    <w14:schemeClr w14:val="tx1"/>
                  </w14:solidFill>
                </w14:textFill>
              </w:rPr>
              <w:t>固体</w:t>
            </w:r>
            <w:r>
              <w:rPr>
                <w:color w:val="000000" w:themeColor="text1"/>
                <w:sz w:val="28"/>
                <w:szCs w:val="28"/>
                <w:highlight w:val="none"/>
                <w14:textFill>
                  <w14:solidFill>
                    <w14:schemeClr w14:val="tx1"/>
                  </w14:solidFill>
                </w14:textFill>
              </w:rPr>
              <w:t>废物</w:t>
            </w:r>
          </w:p>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4.2.4.1</w:t>
            </w:r>
            <w:r>
              <w:rPr>
                <w:rFonts w:hint="eastAsia"/>
                <w:color w:val="000000" w:themeColor="text1"/>
                <w:highlight w:val="none"/>
                <w14:textFill>
                  <w14:solidFill>
                    <w14:schemeClr w14:val="tx1"/>
                  </w14:solidFill>
                </w14:textFill>
              </w:rPr>
              <w:t>固体废物</w:t>
            </w:r>
            <w:r>
              <w:rPr>
                <w:color w:val="000000" w:themeColor="text1"/>
                <w:highlight w:val="none"/>
                <w14:textFill>
                  <w14:solidFill>
                    <w14:schemeClr w14:val="tx1"/>
                  </w14:solidFill>
                </w14:textFill>
              </w:rPr>
              <w:t>源强分析</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项目产生的固体废物主要为一般工业固废、危险废物及员工生活垃圾。</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（1）一般工业固废</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w:t>
            </w:r>
            <w:r>
              <w:rPr>
                <w:color w:val="000000" w:themeColor="text1"/>
                <w:highlight w:val="none"/>
                <w14:textFill>
                  <w14:solidFill>
                    <w14:schemeClr w14:val="tx1"/>
                  </w14:solidFill>
                </w14:textFill>
              </w:rPr>
              <w:t>边角料</w:t>
            </w:r>
          </w:p>
          <w:p>
            <w:pPr>
              <w:pStyle w:val="332"/>
              <w:rPr>
                <w:color w:val="000000" w:themeColor="text1"/>
                <w:highlight w:val="none"/>
                <w:lang w:val="en-US"/>
                <w14:textFill>
                  <w14:solidFill>
                    <w14:schemeClr w14:val="tx1"/>
                  </w14:solidFill>
                </w14:textFill>
              </w:rPr>
            </w:pP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木工加工</w:t>
            </w:r>
            <w:r>
              <w:rPr>
                <w:color w:val="000000" w:themeColor="text1"/>
                <w:highlight w:val="none"/>
                <w14:textFill>
                  <w14:solidFill>
                    <w14:schemeClr w14:val="tx1"/>
                  </w14:solidFill>
                </w14:textFill>
              </w:rPr>
              <w:t>过程中</w:t>
            </w:r>
            <w:r>
              <w:rPr>
                <w:rFonts w:hint="eastAsia"/>
                <w:color w:val="000000" w:themeColor="text1"/>
                <w:highlight w:val="none"/>
                <w14:textFill>
                  <w14:solidFill>
                    <w14:schemeClr w14:val="tx1"/>
                  </w14:solidFill>
                </w14:textFill>
              </w:rPr>
              <w:t>，由于切割造型会</w:t>
            </w:r>
            <w:r>
              <w:rPr>
                <w:color w:val="000000" w:themeColor="text1"/>
                <w:highlight w:val="none"/>
                <w14:textFill>
                  <w14:solidFill>
                    <w14:schemeClr w14:val="tx1"/>
                  </w14:solidFill>
                </w14:textFill>
              </w:rPr>
              <w:t>产生的</w:t>
            </w:r>
            <w:r>
              <w:rPr>
                <w:rFonts w:hint="eastAsia"/>
                <w:color w:val="000000" w:themeColor="text1"/>
                <w:highlight w:val="none"/>
                <w14:textFill>
                  <w14:solidFill>
                    <w14:schemeClr w14:val="tx1"/>
                  </w14:solidFill>
                </w14:textFill>
              </w:rPr>
              <w:t>木料</w:t>
            </w:r>
            <w:r>
              <w:rPr>
                <w:color w:val="000000" w:themeColor="text1"/>
                <w:highlight w:val="none"/>
                <w14:textFill>
                  <w14:solidFill>
                    <w14:schemeClr w14:val="tx1"/>
                  </w14:solidFill>
                </w14:textFill>
              </w:rPr>
              <w:t>边角料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根据建设单位提供的资料，</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项目木板原料用量约</w:t>
            </w:r>
            <w:r>
              <w:rPr>
                <w:rFonts w:hint="eastAsia"/>
                <w:color w:val="000000" w:themeColor="text1"/>
                <w:highlight w:val="none"/>
                <w:lang w:val="en-US" w:eastAsia="zh-CN"/>
                <w14:textFill>
                  <w14:solidFill>
                    <w14:schemeClr w14:val="tx1"/>
                  </w14:solidFill>
                </w14:textFill>
              </w:rPr>
              <w:t>990</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边角料</w:t>
            </w:r>
            <w:r>
              <w:rPr>
                <w:rFonts w:hint="eastAsia"/>
                <w:color w:val="000000" w:themeColor="text1"/>
                <w:highlight w:val="none"/>
                <w14:textFill>
                  <w14:solidFill>
                    <w14:schemeClr w14:val="tx1"/>
                  </w14:solidFill>
                </w14:textFill>
              </w:rPr>
              <w:t>产生量约为原料的</w:t>
            </w:r>
            <w:r>
              <w:rPr>
                <w:rFonts w:hint="eastAsia"/>
                <w:color w:val="000000" w:themeColor="text1"/>
                <w:highlight w:val="none"/>
                <w:lang w:val="en-US"/>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99</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集中收集于一般固废暂存间后</w:t>
            </w:r>
            <w:r>
              <w:rPr>
                <w:rFonts w:hint="eastAsia"/>
                <w:color w:val="000000" w:themeColor="text1"/>
                <w:highlight w:val="none"/>
                <w:lang w:val="en-US"/>
                <w14:textFill>
                  <w14:solidFill>
                    <w14:schemeClr w14:val="tx1"/>
                  </w14:solidFill>
                </w14:textFill>
              </w:rPr>
              <w:t>定期</w:t>
            </w:r>
            <w:r>
              <w:rPr>
                <w:rFonts w:hint="eastAsia"/>
                <w:color w:val="000000" w:themeColor="text1"/>
                <w:highlight w:val="none"/>
                <w14:textFill>
                  <w14:solidFill>
                    <w14:schemeClr w14:val="tx1"/>
                  </w14:solidFill>
                </w14:textFill>
              </w:rPr>
              <w:t>外售给生物质燃料加工企业综合利用</w:t>
            </w:r>
            <w:r>
              <w:rPr>
                <w:color w:val="000000" w:themeColor="text1"/>
                <w:highlight w:val="none"/>
                <w14:textFill>
                  <w14:solidFill>
                    <w14:schemeClr w14:val="tx1"/>
                  </w14:solidFill>
                </w14:textFill>
              </w:rPr>
              <w:t>。</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布袋除尘收集的</w:t>
            </w:r>
            <w:r>
              <w:rPr>
                <w:rFonts w:hint="eastAsia"/>
                <w:color w:val="000000" w:themeColor="text1"/>
                <w:highlight w:val="none"/>
                <w14:textFill>
                  <w14:solidFill>
                    <w14:schemeClr w14:val="tx1"/>
                  </w14:solidFill>
                </w14:textFill>
              </w:rPr>
              <w:t>颗粒物</w:t>
            </w:r>
          </w:p>
          <w:p>
            <w:pPr>
              <w:pStyle w:val="332"/>
              <w:ind w:firstLine="484"/>
              <w:rPr>
                <w:color w:val="000000" w:themeColor="text1"/>
                <w:highlight w:val="none"/>
                <w:lang w:val="en-US"/>
                <w14:textFill>
                  <w14:solidFill>
                    <w14:schemeClr w14:val="tx1"/>
                  </w14:solidFill>
                </w14:textFill>
              </w:rPr>
            </w:pPr>
            <w:r>
              <w:rPr>
                <w:color w:val="000000" w:themeColor="text1"/>
                <w:spacing w:val="1"/>
                <w:highlight w:val="none"/>
                <w14:textFill>
                  <w14:solidFill>
                    <w14:schemeClr w14:val="tx1"/>
                  </w14:solidFill>
                </w14:textFill>
              </w:rPr>
              <w:t>根据工程分</w:t>
            </w:r>
            <w:r>
              <w:rPr>
                <w:color w:val="000000" w:themeColor="text1"/>
                <w:highlight w:val="none"/>
                <w14:textFill>
                  <w14:solidFill>
                    <w14:schemeClr w14:val="tx1"/>
                  </w14:solidFill>
                </w14:textFill>
              </w:rPr>
              <w:t>析，布袋除尘收集</w:t>
            </w:r>
            <w:r>
              <w:rPr>
                <w:rFonts w:hint="eastAsia"/>
                <w:color w:val="000000" w:themeColor="text1"/>
                <w:highlight w:val="none"/>
                <w14:textFill>
                  <w14:solidFill>
                    <w14:schemeClr w14:val="tx1"/>
                  </w14:solidFill>
                </w14:textFill>
              </w:rPr>
              <w:t>颗粒物产生量约</w:t>
            </w:r>
            <w:r>
              <w:rPr>
                <w:rFonts w:hint="eastAsia"/>
                <w:color w:val="000000" w:themeColor="text1"/>
                <w:highlight w:val="none"/>
                <w:lang w:val="en-US" w:eastAsia="zh-CN"/>
                <w14:textFill>
                  <w14:solidFill>
                    <w14:schemeClr w14:val="tx1"/>
                  </w14:solidFill>
                </w14:textFill>
              </w:rPr>
              <w:t>0.0912</w:t>
            </w:r>
            <w:r>
              <w:rPr>
                <w:rFonts w:hint="eastAsia"/>
                <w:color w:val="000000" w:themeColor="text1"/>
                <w:highlight w:val="none"/>
                <w:lang w:val="en-US"/>
                <w14:textFill>
                  <w14:solidFill>
                    <w14:schemeClr w14:val="tx1"/>
                  </w14:solidFill>
                </w14:textFill>
              </w:rPr>
              <w:t>t/a</w:t>
            </w:r>
            <w:r>
              <w:rPr>
                <w:color w:val="000000" w:themeColor="text1"/>
                <w:highlight w:val="none"/>
                <w14:textFill>
                  <w14:solidFill>
                    <w14:schemeClr w14:val="tx1"/>
                  </w14:solidFill>
                </w14:textFill>
              </w:rPr>
              <w:t>，布袋除尘收集</w:t>
            </w:r>
            <w:r>
              <w:rPr>
                <w:rFonts w:hint="eastAsia"/>
                <w:color w:val="000000" w:themeColor="text1"/>
                <w:highlight w:val="none"/>
                <w14:textFill>
                  <w14:solidFill>
                    <w14:schemeClr w14:val="tx1"/>
                  </w14:solidFill>
                </w14:textFill>
              </w:rPr>
              <w:t>颗粒物</w:t>
            </w:r>
            <w:r>
              <w:rPr>
                <w:rFonts w:hint="eastAsia"/>
                <w:color w:val="000000" w:themeColor="text1"/>
                <w:highlight w:val="none"/>
                <w:lang w:val="en-US"/>
                <w14:textFill>
                  <w14:solidFill>
                    <w14:schemeClr w14:val="tx1"/>
                  </w14:solidFill>
                </w14:textFill>
              </w:rPr>
              <w:t>收集在布袋除尘设备配套的料仓内定期</w:t>
            </w:r>
            <w:r>
              <w:rPr>
                <w:rFonts w:hint="eastAsia"/>
                <w:color w:val="000000" w:themeColor="text1"/>
                <w:highlight w:val="none"/>
                <w14:textFill>
                  <w14:solidFill>
                    <w14:schemeClr w14:val="tx1"/>
                  </w14:solidFill>
                </w14:textFill>
              </w:rPr>
              <w:t>外售给生物质燃料加工企业综合利用</w:t>
            </w:r>
            <w:r>
              <w:rPr>
                <w:color w:val="000000" w:themeColor="text1"/>
                <w:highlight w:val="none"/>
                <w14:textFill>
                  <w14:solidFill>
                    <w14:schemeClr w14:val="tx1"/>
                  </w14:solidFill>
                </w14:textFill>
              </w:rPr>
              <w:t>。</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③水性涂料废包装</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水性漆用量约0.</w:t>
            </w:r>
            <w:r>
              <w:rPr>
                <w:rFonts w:hint="eastAsia"/>
                <w:color w:val="000000" w:themeColor="text1"/>
                <w:highlight w:val="none"/>
                <w:lang w:val="en-US" w:eastAsia="zh-CN"/>
                <w14:textFill>
                  <w14:solidFill>
                    <w14:schemeClr w14:val="tx1"/>
                  </w14:solidFill>
                </w14:textFill>
              </w:rPr>
              <w:t>75</w:t>
            </w:r>
            <w:r>
              <w:rPr>
                <w:rFonts w:hint="eastAsia"/>
                <w:color w:val="000000" w:themeColor="text1"/>
                <w:highlight w:val="none"/>
                <w14:textFill>
                  <w14:solidFill>
                    <w14:schemeClr w14:val="tx1"/>
                  </w14:solidFill>
                </w14:textFill>
              </w:rPr>
              <w:t>t/a，产生废水性漆空桶约0.0</w:t>
            </w:r>
            <w:r>
              <w:rPr>
                <w:rFonts w:hint="eastAsia"/>
                <w:color w:val="000000" w:themeColor="text1"/>
                <w:highlight w:val="none"/>
                <w:lang w:val="en-US" w:eastAsia="zh-CN"/>
                <w14:textFill>
                  <w14:solidFill>
                    <w14:schemeClr w14:val="tx1"/>
                  </w14:solidFill>
                </w14:textFill>
              </w:rPr>
              <w:t>375</w:t>
            </w:r>
            <w:r>
              <w:rPr>
                <w:rFonts w:hint="eastAsia"/>
                <w:color w:val="000000" w:themeColor="text1"/>
                <w:highlight w:val="none"/>
                <w14:textFill>
                  <w14:solidFill>
                    <w14:schemeClr w14:val="tx1"/>
                  </w14:solidFill>
                </w14:textFill>
              </w:rPr>
              <w:t>t/a；分类</w:t>
            </w:r>
            <w:r>
              <w:rPr>
                <w:color w:val="000000" w:themeColor="text1"/>
                <w:highlight w:val="none"/>
                <w14:textFill>
                  <w14:solidFill>
                    <w14:schemeClr w14:val="tx1"/>
                  </w14:solidFill>
                </w14:textFill>
              </w:rPr>
              <w:t>收集后</w:t>
            </w:r>
            <w:r>
              <w:rPr>
                <w:rFonts w:hint="eastAsia"/>
                <w:color w:val="000000" w:themeColor="text1"/>
                <w:highlight w:val="none"/>
                <w14:textFill>
                  <w14:solidFill>
                    <w14:schemeClr w14:val="tx1"/>
                  </w14:solidFill>
                </w14:textFill>
              </w:rPr>
              <w:t>定期由涂料供应</w:t>
            </w:r>
            <w:r>
              <w:rPr>
                <w:rFonts w:hint="eastAsia"/>
                <w:color w:val="000000" w:themeColor="text1"/>
                <w:spacing w:val="4"/>
                <w:highlight w:val="none"/>
                <w14:textFill>
                  <w14:solidFill>
                    <w14:schemeClr w14:val="tx1"/>
                  </w14:solidFill>
                </w14:textFill>
              </w:rPr>
              <w:t>企业</w:t>
            </w:r>
            <w:r>
              <w:rPr>
                <w:color w:val="000000" w:themeColor="text1"/>
                <w:spacing w:val="4"/>
                <w:highlight w:val="none"/>
                <w14:textFill>
                  <w14:solidFill>
                    <w14:schemeClr w14:val="tx1"/>
                  </w14:solidFill>
                </w14:textFill>
              </w:rPr>
              <w:t>回收利用</w:t>
            </w:r>
            <w:r>
              <w:rPr>
                <w:rFonts w:hint="eastAsia"/>
                <w:color w:val="000000" w:themeColor="text1"/>
                <w:highlight w:val="none"/>
                <w14:textFill>
                  <w14:solidFill>
                    <w14:schemeClr w14:val="tx1"/>
                  </w14:solidFill>
                </w14:textFill>
              </w:rPr>
              <w:t>。</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危险废物</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①废漆渣</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工序涉及溶剂漆，则喷漆工序产生的固体废物主要为喷漆工作台面沉降形成漆渣及水帘柜处理漆雾产生的漆渣。根据工程分析，其中喷漆工作台面沉降形成漆渣产生量约为涂料固份占比的5%，则沉降漆渣产生量约为0.0</w:t>
            </w:r>
            <w:r>
              <w:rPr>
                <w:rFonts w:hint="eastAsia"/>
                <w:color w:val="000000" w:themeColor="text1"/>
                <w:highlight w:val="none"/>
                <w:lang w:val="en-US" w:eastAsia="zh-CN"/>
                <w14:textFill>
                  <w14:solidFill>
                    <w14:schemeClr w14:val="tx1"/>
                  </w14:solidFill>
                </w14:textFill>
              </w:rPr>
              <w:t>38</w:t>
            </w:r>
            <w:r>
              <w:rPr>
                <w:rFonts w:hint="eastAsia"/>
                <w:color w:val="000000" w:themeColor="text1"/>
                <w:highlight w:val="none"/>
                <w14:textFill>
                  <w14:solidFill>
                    <w14:schemeClr w14:val="tx1"/>
                  </w14:solidFill>
                </w14:textFill>
              </w:rPr>
              <w:t>t/a。固份占比的15%的漆雾中90%被收集漆雾的处理效率为90%，则水帘柜漆渣产生量约为</w:t>
            </w:r>
            <w:r>
              <w:rPr>
                <w:rFonts w:hint="eastAsia"/>
                <w:color w:val="000000" w:themeColor="text1"/>
                <w:highlight w:val="none"/>
                <w:lang w:val="en-US" w:eastAsia="zh-CN"/>
                <w14:textFill>
                  <w14:solidFill>
                    <w14:schemeClr w14:val="tx1"/>
                  </w14:solidFill>
                </w14:textFill>
              </w:rPr>
              <w:t>0.094</w:t>
            </w:r>
            <w:r>
              <w:rPr>
                <w:rFonts w:hint="eastAsia"/>
                <w:color w:val="000000" w:themeColor="text1"/>
                <w:highlight w:val="none"/>
                <w14:textFill>
                  <w14:solidFill>
                    <w14:schemeClr w14:val="tx1"/>
                  </w14:solidFill>
                </w14:textFill>
              </w:rPr>
              <w:t>t/a。</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根据《国家危险废物名录》（2025年版），废漆渣属于危险废物（废物类别：HW12，废物代码：900-252-12），使用油漆（不包括水性漆）、有机溶剂进行喷漆、上漆过程中过喷漆雾湿法捕集产生的漆渣</w:t>
            </w:r>
            <w:r>
              <w:rPr>
                <w:rFonts w:hint="eastAsia"/>
                <w:color w:val="000000" w:themeColor="text1"/>
                <w:highlight w:val="none"/>
                <w:lang w:eastAsia="zh-CN"/>
                <w14:textFill>
                  <w14:solidFill>
                    <w14:schemeClr w14:val="tx1"/>
                  </w14:solidFill>
                </w14:textFill>
              </w:rPr>
              <w:t>以及</w:t>
            </w:r>
            <w:r>
              <w:rPr>
                <w:rFonts w:hint="eastAsia"/>
                <w:color w:val="000000" w:themeColor="text1"/>
                <w:highlight w:val="none"/>
                <w14:textFill>
                  <w14:solidFill>
                    <w14:schemeClr w14:val="tx1"/>
                  </w14:solidFill>
                </w14:textFill>
              </w:rPr>
              <w:t>喷涂工位和管道清理过程产生的落地漆渣。</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②废活性炭</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考《挥发性有机物的物化性质与活性炭饱和吸附量的相关性研究》（陈良杰，化工环保，200727(5):409-412）相关文献，颗粒活性炭对不同种类的挥发性有机物饱和吸附量为0.22~0.31kg/kg活性炭，本报告取0.3kg/kg活性炭，为保证活性炭吸附箱的吸附效率，防止活性炭被穿透，活性炭吸附箱中活性炭的放置量一般比理论所需活性炭用量多5%，则本项目</w:t>
            </w:r>
            <w:r>
              <w:rPr>
                <w:rFonts w:hint="eastAsia"/>
                <w:color w:val="000000" w:themeColor="text1"/>
                <w:highlight w:val="none"/>
                <w:lang w:eastAsia="zh-CN"/>
                <w14:textFill>
                  <w14:solidFill>
                    <w14:schemeClr w14:val="tx1"/>
                  </w14:solidFill>
                </w14:textFill>
              </w:rPr>
              <w:t>扩</w:t>
            </w:r>
            <w:r>
              <w:rPr>
                <w:rFonts w:hint="eastAsia"/>
                <w:color w:val="000000" w:themeColor="text1"/>
                <w:highlight w:val="none"/>
                <w14:textFill>
                  <w14:solidFill>
                    <w14:schemeClr w14:val="tx1"/>
                  </w14:solidFill>
                </w14:textFill>
              </w:rPr>
              <w:t>建后全厂废气治理废活性炭理论产生量约</w:t>
            </w:r>
            <w:r>
              <w:rPr>
                <w:rFonts w:hint="eastAsia"/>
                <w:color w:val="000000" w:themeColor="text1"/>
                <w:highlight w:val="none"/>
                <w:lang w:val="en-US" w:eastAsia="zh-CN"/>
                <w14:textFill>
                  <w14:solidFill>
                    <w14:schemeClr w14:val="tx1"/>
                  </w14:solidFill>
                </w14:textFill>
              </w:rPr>
              <w:t>0.642</w:t>
            </w:r>
            <w:r>
              <w:rPr>
                <w:rFonts w:hint="eastAsia"/>
                <w:color w:val="000000" w:themeColor="text1"/>
                <w:highlight w:val="none"/>
                <w14:textFill>
                  <w14:solidFill>
                    <w14:schemeClr w14:val="tx1"/>
                  </w14:solidFill>
                </w14:textFill>
              </w:rPr>
              <w:t>t/a；为确保项目有机废气净化效率，企业需定期对“活性炭吸附装置”内的活性炭进行更换。吸附装置活性炭约每季度更换一次，每次更换产生废活性炭约为0.</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t，则年产生废活性炭总量为0.</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t/a。</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根据《国家危险废物名录》（2025年版），废活性炭属于危险废物（废物类别：HW49，废物代码：900-041-49），含有或者沾染毒性、感染性危险废物的废弃的包装物、容器、过滤吸附介质。</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③废水处理污泥</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项目喷漆水帘柜废水、打磨房喷淋废水、喷淋塔废水，经过项目配套废水处理设施（混凝压滤）处理后循环使用，不外排。生产废水工艺主要为混凝压滤，处理过程中产生的污泥（压滤渣）含有少量漆渣。根据</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项目配套废水处理设施规模（1t/h），日运行8h，根据处理工艺投加絮凝剂，每半个月进行一次污泥压滤清理，每次污泥产生量约5.8kg，则污泥产生量约0.14t/a。</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污泥属于危险废物（废物类别：HW49，废物代码：772-006-49），采用物理、化学、物理化学或者生物方法处理或者处置毒性或者感染性危险废物过程中产生的废水处理污泥和废水处理残渣（液）。</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④溶剂型涂料废包装</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溶剂型涂料用量约0.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t/a，产生废溶剂型涂料空桶约0.01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t/a。</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根据《国家危险废物名录》（2025年版），废溶剂型涂料空桶属于危险废物（废物类别：HW49，废物代码：900-041-49），含有或者沾染毒性、感染性危险废物的废弃的包装物、容器、过滤吸附介质。</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项目产生的危险废物经分类收集后在厂区危险废物暂存间暂存，并</w:t>
            </w:r>
            <w:r>
              <w:rPr>
                <w:color w:val="000000" w:themeColor="text1"/>
                <w:highlight w:val="none"/>
                <w14:textFill>
                  <w14:solidFill>
                    <w14:schemeClr w14:val="tx1"/>
                  </w14:solidFill>
                </w14:textFill>
              </w:rPr>
              <w:t>委托有资质单位处置</w:t>
            </w:r>
            <w:r>
              <w:rPr>
                <w:rFonts w:hint="eastAsia"/>
                <w:color w:val="000000" w:themeColor="text1"/>
                <w:highlight w:val="none"/>
                <w14:textFill>
                  <w14:solidFill>
                    <w14:schemeClr w14:val="tx1"/>
                  </w14:solidFill>
                </w14:textFill>
              </w:rPr>
              <w:t>。</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生活垃圾</w:t>
            </w:r>
          </w:p>
          <w:p>
            <w:pPr>
              <w:pStyle w:val="115"/>
              <w:ind w:firstLine="480"/>
              <w:rPr>
                <w:rFonts w:hint="eastAsia"/>
                <w:color w:val="000000" w:themeColor="text1"/>
                <w:highlight w:val="none"/>
                <w14:textFill>
                  <w14:solidFill>
                    <w14:schemeClr w14:val="tx1"/>
                  </w14:solidFill>
                </w14:textFill>
              </w:rPr>
            </w:pPr>
            <w:r>
              <w:rPr>
                <w:rFonts w:hint="eastAsia" w:ascii="Times New Roman" w:hAnsi="Times New Roman"/>
                <w:color w:val="000000" w:themeColor="text1"/>
                <w:sz w:val="24"/>
                <w:szCs w:val="24"/>
                <w:highlight w:val="none"/>
                <w:lang w:eastAsia="zh-CN"/>
                <w14:textFill>
                  <w14:solidFill>
                    <w14:schemeClr w14:val="tx1"/>
                  </w14:solidFill>
                </w14:textFill>
              </w:rPr>
              <w:t>扩建后</w:t>
            </w:r>
            <w:r>
              <w:rPr>
                <w:rFonts w:ascii="Times New Roman" w:hAnsi="Times New Roman"/>
                <w:color w:val="000000" w:themeColor="text1"/>
                <w:sz w:val="24"/>
                <w:szCs w:val="24"/>
                <w:highlight w:val="none"/>
                <w14:textFill>
                  <w14:solidFill>
                    <w14:schemeClr w14:val="tx1"/>
                  </w14:solidFill>
                </w14:textFill>
              </w:rPr>
              <w:t>项目</w:t>
            </w:r>
            <w:r>
              <w:rPr>
                <w:rFonts w:hint="eastAsia" w:ascii="Times New Roman" w:hAnsi="Times New Roman"/>
                <w:color w:val="000000" w:themeColor="text1"/>
                <w:sz w:val="24"/>
                <w:szCs w:val="24"/>
                <w:highlight w:val="none"/>
                <w14:textFill>
                  <w14:solidFill>
                    <w14:schemeClr w14:val="tx1"/>
                  </w14:solidFill>
                </w14:textFill>
              </w:rPr>
              <w:t>员</w:t>
            </w:r>
            <w:r>
              <w:rPr>
                <w:rFonts w:ascii="Times New Roman" w:hAnsi="Times New Roman"/>
                <w:color w:val="000000" w:themeColor="text1"/>
                <w:sz w:val="24"/>
                <w:szCs w:val="24"/>
                <w:highlight w:val="none"/>
                <w14:textFill>
                  <w14:solidFill>
                    <w14:schemeClr w14:val="tx1"/>
                  </w14:solidFill>
                </w14:textFill>
              </w:rPr>
              <w:t>工人数</w:t>
            </w:r>
            <w:r>
              <w:rPr>
                <w:rFonts w:hint="eastAsia" w:ascii="Times New Roman" w:hAnsi="Times New Roman"/>
                <w:color w:val="000000" w:themeColor="text1"/>
                <w:sz w:val="24"/>
                <w:szCs w:val="24"/>
                <w:highlight w:val="none"/>
                <w14:textFill>
                  <w14:solidFill>
                    <w14:schemeClr w14:val="tx1"/>
                  </w14:solidFill>
                </w14:textFill>
              </w:rPr>
              <w:t>6</w:t>
            </w:r>
            <w:r>
              <w:rPr>
                <w:rFonts w:ascii="Times New Roman" w:hAnsi="Times New Roman"/>
                <w:color w:val="000000" w:themeColor="text1"/>
                <w:sz w:val="24"/>
                <w:szCs w:val="24"/>
                <w:highlight w:val="none"/>
                <w14:textFill>
                  <w14:solidFill>
                    <w14:schemeClr w14:val="tx1"/>
                  </w14:solidFill>
                </w14:textFill>
              </w:rPr>
              <w:t>人，</w:t>
            </w:r>
            <w:r>
              <w:rPr>
                <w:rFonts w:hint="eastAsia" w:ascii="Times New Roman" w:hAnsi="Times New Roman"/>
                <w:color w:val="000000" w:themeColor="text1"/>
                <w:sz w:val="24"/>
                <w:szCs w:val="24"/>
                <w:highlight w:val="none"/>
                <w14:textFill>
                  <w14:solidFill>
                    <w14:schemeClr w14:val="tx1"/>
                  </w14:solidFill>
                </w14:textFill>
              </w:rPr>
              <w:t>均不住厂</w:t>
            </w:r>
            <w:r>
              <w:rPr>
                <w:rFonts w:ascii="Times New Roman" w:hAnsi="Times New Roman"/>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不住厂</w:t>
            </w:r>
            <w:r>
              <w:rPr>
                <w:rFonts w:ascii="Times New Roman" w:hAnsi="Times New Roman"/>
                <w:color w:val="000000" w:themeColor="text1"/>
                <w:sz w:val="24"/>
                <w:szCs w:val="24"/>
                <w:highlight w:val="none"/>
                <w14:textFill>
                  <w14:solidFill>
                    <w14:schemeClr w14:val="tx1"/>
                  </w14:solidFill>
                </w14:textFill>
              </w:rPr>
              <w:t>职工生活垃圾的产生量按每人每天0.5kg 计，项目年生产</w:t>
            </w:r>
            <w:r>
              <w:rPr>
                <w:rFonts w:hint="eastAsia" w:ascii="Times New Roman" w:hAnsi="Times New Roman"/>
                <w:color w:val="000000" w:themeColor="text1"/>
                <w:sz w:val="24"/>
                <w:szCs w:val="24"/>
                <w:highlight w:val="none"/>
                <w14:textFill>
                  <w14:solidFill>
                    <w14:schemeClr w14:val="tx1"/>
                  </w14:solidFill>
                </w14:textFill>
              </w:rPr>
              <w:t>260</w:t>
            </w:r>
            <w:r>
              <w:rPr>
                <w:rFonts w:ascii="Times New Roman" w:hAnsi="Times New Roman"/>
                <w:color w:val="000000" w:themeColor="text1"/>
                <w:sz w:val="24"/>
                <w:szCs w:val="24"/>
                <w:highlight w:val="none"/>
                <w14:textFill>
                  <w14:solidFill>
                    <w14:schemeClr w14:val="tx1"/>
                  </w14:solidFill>
                </w14:textFill>
              </w:rPr>
              <w:t>天，运营期生活垃圾产生量为</w:t>
            </w:r>
            <w:r>
              <w:rPr>
                <w:rFonts w:hint="eastAsia" w:ascii="Times New Roman" w:hAnsi="Times New Roman"/>
                <w:color w:val="000000" w:themeColor="text1"/>
                <w:sz w:val="24"/>
                <w:szCs w:val="24"/>
                <w:highlight w:val="none"/>
                <w14:textFill>
                  <w14:solidFill>
                    <w14:schemeClr w14:val="tx1"/>
                  </w14:solidFill>
                </w14:textFill>
              </w:rPr>
              <w:t>0.78</w:t>
            </w:r>
            <w:r>
              <w:rPr>
                <w:rFonts w:ascii="Times New Roman" w:hAnsi="Times New Roman"/>
                <w:color w:val="000000" w:themeColor="text1"/>
                <w:sz w:val="24"/>
                <w:szCs w:val="24"/>
                <w:highlight w:val="none"/>
                <w14:textFill>
                  <w14:solidFill>
                    <w14:schemeClr w14:val="tx1"/>
                  </w14:solidFill>
                </w14:textFill>
              </w:rPr>
              <w:t>t/a</w:t>
            </w:r>
            <w:r>
              <w:rPr>
                <w:rFonts w:hint="eastAsia" w:ascii="Times New Roman" w:hAnsi="Times New Roman"/>
                <w:color w:val="000000" w:themeColor="text1"/>
                <w:sz w:val="24"/>
                <w:szCs w:val="24"/>
                <w:highlight w:val="none"/>
                <w14:textFill>
                  <w14:solidFill>
                    <w14:schemeClr w14:val="tx1"/>
                  </w14:solidFill>
                </w14:textFill>
              </w:rPr>
              <w:t>；分类</w:t>
            </w:r>
            <w:r>
              <w:rPr>
                <w:rFonts w:ascii="Times New Roman" w:hAnsi="Times New Roman"/>
                <w:color w:val="000000" w:themeColor="text1"/>
                <w:sz w:val="24"/>
                <w:szCs w:val="24"/>
                <w:highlight w:val="none"/>
                <w14:textFill>
                  <w14:solidFill>
                    <w14:schemeClr w14:val="tx1"/>
                  </w14:solidFill>
                </w14:textFill>
              </w:rPr>
              <w:t>收集后交由环卫部门清运处置</w:t>
            </w:r>
            <w:r>
              <w:rPr>
                <w:rFonts w:hint="eastAsia" w:ascii="Times New Roman" w:hAnsi="Times New Roman"/>
                <w:color w:val="000000" w:themeColor="text1"/>
                <w:sz w:val="24"/>
                <w:szCs w:val="24"/>
                <w:highlight w:val="none"/>
                <w14:textFill>
                  <w14:solidFill>
                    <w14:schemeClr w14:val="tx1"/>
                  </w14:solidFill>
                </w14:textFill>
              </w:rPr>
              <w:t>。</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综上分析，本项目</w:t>
            </w:r>
            <w:r>
              <w:rPr>
                <w:rFonts w:hint="eastAsia"/>
                <w:color w:val="000000" w:themeColor="text1"/>
                <w:highlight w:val="none"/>
                <w:lang w:eastAsia="zh-CN"/>
                <w14:textFill>
                  <w14:solidFill>
                    <w14:schemeClr w14:val="tx1"/>
                  </w14:solidFill>
                </w14:textFill>
              </w:rPr>
              <w:t>扩建后</w:t>
            </w:r>
            <w:r>
              <w:rPr>
                <w:rFonts w:hint="eastAsia"/>
                <w:color w:val="000000" w:themeColor="text1"/>
                <w:highlight w:val="none"/>
                <w14:textFill>
                  <w14:solidFill>
                    <w14:schemeClr w14:val="tx1"/>
                  </w14:solidFill>
                </w14:textFill>
              </w:rPr>
              <w:t>固体废物的产生和处置情况详见表</w:t>
            </w:r>
            <w:r>
              <w:rPr>
                <w:color w:val="000000" w:themeColor="text1"/>
                <w:highlight w:val="none"/>
                <w14:textFill>
                  <w14:solidFill>
                    <w14:schemeClr w14:val="tx1"/>
                  </w14:solidFill>
                </w14:textFill>
              </w:rPr>
              <w:t>4.2-1</w:t>
            </w:r>
            <w:r>
              <w:rPr>
                <w:rFonts w:hint="eastAsia"/>
                <w:color w:val="000000" w:themeColor="text1"/>
                <w:highlight w:val="none"/>
                <w14:textFill>
                  <w14:solidFill>
                    <w14:schemeClr w14:val="tx1"/>
                  </w14:solidFill>
                </w14:textFill>
              </w:rPr>
              <w:t>3。</w:t>
            </w:r>
          </w:p>
          <w:p>
            <w:pPr>
              <w:pStyle w:val="97"/>
              <w:ind w:firstLine="2" w:firstLineChars="1"/>
              <w:jc w:val="center"/>
              <w:rPr>
                <w:rFonts w:ascii="Times New Roman" w:hAnsi="Times New Roman"/>
                <w:b/>
                <w:bCs/>
                <w:color w:val="000000" w:themeColor="text1"/>
                <w:szCs w:val="22"/>
                <w:highlight w:val="none"/>
                <w14:textFill>
                  <w14:solidFill>
                    <w14:schemeClr w14:val="tx1"/>
                  </w14:solidFill>
                </w14:textFill>
              </w:rPr>
            </w:pPr>
            <w:r>
              <w:rPr>
                <w:rFonts w:ascii="Times New Roman" w:hAnsi="Times New Roman"/>
                <w:b/>
                <w:bCs/>
                <w:color w:val="000000" w:themeColor="text1"/>
                <w:szCs w:val="22"/>
                <w:highlight w:val="none"/>
                <w14:textFill>
                  <w14:solidFill>
                    <w14:schemeClr w14:val="tx1"/>
                  </w14:solidFill>
                </w14:textFill>
              </w:rPr>
              <w:t>表4.2-1</w:t>
            </w:r>
            <w:r>
              <w:rPr>
                <w:rFonts w:hint="eastAsia" w:ascii="Times New Roman" w:hAnsi="Times New Roman"/>
                <w:b/>
                <w:bCs/>
                <w:color w:val="000000" w:themeColor="text1"/>
                <w:szCs w:val="22"/>
                <w:highlight w:val="none"/>
                <w14:textFill>
                  <w14:solidFill>
                    <w14:schemeClr w14:val="tx1"/>
                  </w14:solidFill>
                </w14:textFill>
              </w:rPr>
              <w:t>3</w:t>
            </w:r>
            <w:r>
              <w:rPr>
                <w:rFonts w:ascii="Times New Roman" w:hAnsi="Times New Roman"/>
                <w:b/>
                <w:bCs/>
                <w:color w:val="000000" w:themeColor="text1"/>
                <w:szCs w:val="22"/>
                <w:highlight w:val="none"/>
                <w14:textFill>
                  <w14:solidFill>
                    <w14:schemeClr w14:val="tx1"/>
                  </w14:solidFill>
                </w14:textFill>
              </w:rPr>
              <w:t xml:space="preserve">  </w:t>
            </w:r>
            <w:r>
              <w:rPr>
                <w:rFonts w:hint="eastAsia" w:ascii="Times New Roman" w:hAnsi="Times New Roman"/>
                <w:b/>
                <w:bCs/>
                <w:color w:val="000000" w:themeColor="text1"/>
                <w:szCs w:val="22"/>
                <w:highlight w:val="none"/>
                <w:lang w:eastAsia="zh-CN"/>
                <w14:textFill>
                  <w14:solidFill>
                    <w14:schemeClr w14:val="tx1"/>
                  </w14:solidFill>
                </w14:textFill>
              </w:rPr>
              <w:t>扩建</w:t>
            </w:r>
            <w:r>
              <w:rPr>
                <w:rFonts w:hint="eastAsia" w:ascii="Times New Roman" w:hAnsi="Times New Roman"/>
                <w:b/>
                <w:bCs/>
                <w:color w:val="000000" w:themeColor="text1"/>
                <w:szCs w:val="22"/>
                <w:highlight w:val="none"/>
                <w14:textFill>
                  <w14:solidFill>
                    <w14:schemeClr w14:val="tx1"/>
                  </w14:solidFill>
                </w14:textFill>
              </w:rPr>
              <w:t>项目</w:t>
            </w:r>
            <w:r>
              <w:rPr>
                <w:rFonts w:ascii="Times New Roman" w:hAnsi="Times New Roman"/>
                <w:b/>
                <w:bCs/>
                <w:color w:val="000000" w:themeColor="text1"/>
                <w:szCs w:val="22"/>
                <w:highlight w:val="none"/>
                <w14:textFill>
                  <w14:solidFill>
                    <w14:schemeClr w14:val="tx1"/>
                  </w14:solidFill>
                </w14:textFill>
              </w:rPr>
              <w:t>固体废物产生及处置</w:t>
            </w:r>
            <w:r>
              <w:rPr>
                <w:rFonts w:hint="eastAsia" w:ascii="Times New Roman" w:hAnsi="Times New Roman"/>
                <w:b/>
                <w:bCs/>
                <w:color w:val="000000" w:themeColor="text1"/>
                <w:szCs w:val="22"/>
                <w:highlight w:val="none"/>
                <w14:textFill>
                  <w14:solidFill>
                    <w14:schemeClr w14:val="tx1"/>
                  </w14:solidFill>
                </w14:textFill>
              </w:rPr>
              <w:t>情况一览表</w:t>
            </w:r>
          </w:p>
          <w:tbl>
            <w:tblPr>
              <w:tblStyle w:val="3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25"/>
              <w:gridCol w:w="880"/>
              <w:gridCol w:w="982"/>
              <w:gridCol w:w="996"/>
              <w:gridCol w:w="566"/>
              <w:gridCol w:w="710"/>
              <w:gridCol w:w="1182"/>
              <w:gridCol w:w="794"/>
              <w:gridCol w:w="479"/>
              <w:gridCol w:w="584"/>
              <w:gridCol w:w="7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52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环节</w:t>
                  </w:r>
                </w:p>
              </w:tc>
              <w:tc>
                <w:tcPr>
                  <w:tcW w:w="5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名称</w:t>
                  </w:r>
                </w:p>
              </w:tc>
              <w:tc>
                <w:tcPr>
                  <w:tcW w:w="59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主要物质</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成分</w:t>
                  </w:r>
                </w:p>
              </w:tc>
              <w:tc>
                <w:tcPr>
                  <w:tcW w:w="337"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属性</w:t>
                  </w:r>
                </w:p>
              </w:tc>
              <w:tc>
                <w:tcPr>
                  <w:tcW w:w="42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废物</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70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废物代码</w:t>
                  </w:r>
                </w:p>
              </w:tc>
              <w:tc>
                <w:tcPr>
                  <w:tcW w:w="47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产生量t/a</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危险特性</w:t>
                  </w:r>
                </w:p>
              </w:tc>
              <w:tc>
                <w:tcPr>
                  <w:tcW w:w="348"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储存方式</w:t>
                  </w:r>
                </w:p>
              </w:tc>
              <w:tc>
                <w:tcPr>
                  <w:tcW w:w="470"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处置方式/去向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木工加工工序</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废边角料</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木屑</w:t>
                  </w:r>
                </w:p>
              </w:tc>
              <w:tc>
                <w:tcPr>
                  <w:tcW w:w="337"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一般工业固废</w:t>
                  </w: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SW59</w:t>
                  </w:r>
                </w:p>
              </w:tc>
              <w:tc>
                <w:tcPr>
                  <w:tcW w:w="70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900-099-S59</w:t>
                  </w:r>
                </w:p>
              </w:tc>
              <w:tc>
                <w:tcPr>
                  <w:tcW w:w="473" w:type="pct"/>
                  <w:vAlign w:val="center"/>
                </w:tcPr>
                <w:p>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99</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48" w:type="pct"/>
                  <w:vMerge w:val="restar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一般固废暂存间</w:t>
                  </w:r>
                </w:p>
              </w:tc>
              <w:tc>
                <w:tcPr>
                  <w:tcW w:w="470" w:type="pct"/>
                  <w:vMerge w:val="restar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外售其他单位再</w:t>
                  </w:r>
                  <w:r>
                    <w:rPr>
                      <w:color w:val="000000" w:themeColor="text1"/>
                      <w:highlight w:val="none"/>
                      <w14:textFill>
                        <w14:solidFill>
                          <w14:schemeClr w14:val="tx1"/>
                        </w14:solidFill>
                      </w14:textFill>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喷漆</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工序</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水性涂料废包装</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塑料、水性涂料</w:t>
                  </w:r>
                </w:p>
              </w:tc>
              <w:tc>
                <w:tcPr>
                  <w:tcW w:w="337" w:type="pct"/>
                  <w:vMerge w:val="continue"/>
                  <w:vAlign w:val="center"/>
                </w:tcPr>
                <w:p>
                  <w:pPr>
                    <w:pStyle w:val="67"/>
                    <w:rPr>
                      <w:color w:val="000000" w:themeColor="text1"/>
                      <w:highlight w:val="none"/>
                      <w14:textFill>
                        <w14:solidFill>
                          <w14:schemeClr w14:val="tx1"/>
                        </w14:solidFill>
                      </w14:textFill>
                    </w:rPr>
                  </w:pP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SW59</w:t>
                  </w:r>
                </w:p>
              </w:tc>
              <w:tc>
                <w:tcPr>
                  <w:tcW w:w="70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900-099-S59</w:t>
                  </w:r>
                </w:p>
              </w:tc>
              <w:tc>
                <w:tcPr>
                  <w:tcW w:w="473" w:type="pct"/>
                  <w:vAlign w:val="center"/>
                </w:tcPr>
                <w:p>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375</w:t>
                  </w:r>
                </w:p>
              </w:tc>
              <w:tc>
                <w:tcPr>
                  <w:tcW w:w="285" w:type="pct"/>
                  <w:vAlign w:val="center"/>
                </w:tcPr>
                <w:p>
                  <w:pPr>
                    <w:pStyle w:val="67"/>
                    <w:rPr>
                      <w:color w:val="000000" w:themeColor="text1"/>
                      <w:highlight w:val="none"/>
                      <w14:textFill>
                        <w14:solidFill>
                          <w14:schemeClr w14:val="tx1"/>
                        </w14:solidFill>
                      </w14:textFill>
                    </w:rPr>
                  </w:pPr>
                </w:p>
              </w:tc>
              <w:tc>
                <w:tcPr>
                  <w:tcW w:w="348" w:type="pct"/>
                  <w:vMerge w:val="continue"/>
                  <w:vAlign w:val="center"/>
                </w:tcPr>
                <w:p>
                  <w:pPr>
                    <w:pStyle w:val="67"/>
                    <w:rPr>
                      <w:color w:val="000000" w:themeColor="text1"/>
                      <w:highlight w:val="none"/>
                      <w14:textFill>
                        <w14:solidFill>
                          <w14:schemeClr w14:val="tx1"/>
                        </w14:solidFill>
                      </w14:textFill>
                    </w:rPr>
                  </w:pPr>
                </w:p>
              </w:tc>
              <w:tc>
                <w:tcPr>
                  <w:tcW w:w="470" w:type="pct"/>
                  <w:vMerge w:val="continue"/>
                  <w:vAlign w:val="center"/>
                </w:tcPr>
                <w:p>
                  <w:pPr>
                    <w:pStyle w:val="67"/>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97"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布袋除尘颗粒物</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颗粒物（木屑）</w:t>
                  </w:r>
                </w:p>
              </w:tc>
              <w:tc>
                <w:tcPr>
                  <w:tcW w:w="337" w:type="pct"/>
                  <w:vMerge w:val="continue"/>
                  <w:vAlign w:val="center"/>
                </w:tcPr>
                <w:p>
                  <w:pPr>
                    <w:pStyle w:val="67"/>
                    <w:rPr>
                      <w:color w:val="000000" w:themeColor="text1"/>
                      <w:highlight w:val="none"/>
                      <w14:textFill>
                        <w14:solidFill>
                          <w14:schemeClr w14:val="tx1"/>
                        </w14:solidFill>
                      </w14:textFill>
                    </w:rPr>
                  </w:pP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SW59</w:t>
                  </w:r>
                </w:p>
              </w:tc>
              <w:tc>
                <w:tcPr>
                  <w:tcW w:w="70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900-099-S59</w:t>
                  </w:r>
                </w:p>
              </w:tc>
              <w:tc>
                <w:tcPr>
                  <w:tcW w:w="473" w:type="pct"/>
                  <w:vAlign w:val="center"/>
                </w:tcPr>
                <w:p>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912</w:t>
                  </w:r>
                </w:p>
              </w:tc>
              <w:tc>
                <w:tcPr>
                  <w:tcW w:w="2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348" w:type="pct"/>
                  <w:vMerge w:val="continue"/>
                  <w:vAlign w:val="center"/>
                </w:tcPr>
                <w:p>
                  <w:pPr>
                    <w:pStyle w:val="67"/>
                    <w:rPr>
                      <w:color w:val="000000" w:themeColor="text1"/>
                      <w:highlight w:val="none"/>
                      <w14:textFill>
                        <w14:solidFill>
                          <w14:schemeClr w14:val="tx1"/>
                        </w14:solidFill>
                      </w14:textFill>
                    </w:rPr>
                  </w:pPr>
                </w:p>
              </w:tc>
              <w:tc>
                <w:tcPr>
                  <w:tcW w:w="470" w:type="pct"/>
                  <w:vMerge w:val="continue"/>
                  <w:vAlign w:val="center"/>
                </w:tcPr>
                <w:p>
                  <w:pPr>
                    <w:pStyle w:val="67"/>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喷漆</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工序</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废漆渣</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漆渣</w:t>
                  </w:r>
                </w:p>
              </w:tc>
              <w:tc>
                <w:tcPr>
                  <w:tcW w:w="337"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w:t>
                  </w: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HW12</w:t>
                  </w:r>
                </w:p>
              </w:tc>
              <w:tc>
                <w:tcPr>
                  <w:tcW w:w="70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900-252-12</w:t>
                  </w:r>
                </w:p>
              </w:tc>
              <w:tc>
                <w:tcPr>
                  <w:tcW w:w="473" w:type="pct"/>
                  <w:vAlign w:val="center"/>
                </w:tcPr>
                <w:p>
                  <w:pPr>
                    <w:pStyle w:val="67"/>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0.132</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w:t>
                  </w:r>
                </w:p>
              </w:tc>
              <w:tc>
                <w:tcPr>
                  <w:tcW w:w="348"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危废间暂存</w:t>
                  </w:r>
                </w:p>
              </w:tc>
              <w:tc>
                <w:tcPr>
                  <w:tcW w:w="470" w:type="pct"/>
                  <w:vMerge w:val="restar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委托有</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w:t>
                  </w:r>
                </w:p>
              </w:tc>
              <w:tc>
                <w:tcPr>
                  <w:tcW w:w="5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废活</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性炭</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有机废气</w:t>
                  </w:r>
                </w:p>
              </w:tc>
              <w:tc>
                <w:tcPr>
                  <w:tcW w:w="337" w:type="pct"/>
                  <w:vMerge w:val="continue"/>
                  <w:vAlign w:val="center"/>
                </w:tcPr>
                <w:p>
                  <w:pPr>
                    <w:pStyle w:val="67"/>
                    <w:rPr>
                      <w:color w:val="000000" w:themeColor="text1"/>
                      <w:highlight w:val="none"/>
                      <w14:textFill>
                        <w14:solidFill>
                          <w14:schemeClr w14:val="tx1"/>
                        </w14:solidFill>
                      </w14:textFill>
                    </w:rPr>
                  </w:pPr>
                </w:p>
              </w:tc>
              <w:tc>
                <w:tcPr>
                  <w:tcW w:w="42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HW49</w:t>
                  </w:r>
                </w:p>
              </w:tc>
              <w:tc>
                <w:tcPr>
                  <w:tcW w:w="70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900-041-49</w:t>
                  </w:r>
                </w:p>
              </w:tc>
              <w:tc>
                <w:tcPr>
                  <w:tcW w:w="473" w:type="pct"/>
                  <w:vAlign w:val="center"/>
                </w:tcPr>
                <w:p>
                  <w:pPr>
                    <w:pStyle w:val="67"/>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8</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Merge w:val="continue"/>
                  <w:vAlign w:val="center"/>
                </w:tcPr>
                <w:p>
                  <w:pPr>
                    <w:pStyle w:val="67"/>
                    <w:rPr>
                      <w:color w:val="000000" w:themeColor="text1"/>
                      <w:highlight w:val="none"/>
                      <w14:textFill>
                        <w14:solidFill>
                          <w14:schemeClr w14:val="tx1"/>
                        </w14:solidFill>
                      </w14:textFill>
                    </w:rPr>
                  </w:pPr>
                </w:p>
              </w:tc>
              <w:tc>
                <w:tcPr>
                  <w:tcW w:w="470" w:type="pct"/>
                  <w:vMerge w:val="continue"/>
                  <w:vAlign w:val="center"/>
                </w:tcPr>
                <w:p>
                  <w:pPr>
                    <w:pStyle w:val="67"/>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废水</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治理</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废污泥</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漆渣</w:t>
                  </w:r>
                </w:p>
              </w:tc>
              <w:tc>
                <w:tcPr>
                  <w:tcW w:w="337" w:type="pct"/>
                  <w:vMerge w:val="continue"/>
                  <w:vAlign w:val="center"/>
                </w:tcPr>
                <w:p>
                  <w:pPr>
                    <w:pStyle w:val="67"/>
                    <w:rPr>
                      <w:color w:val="000000" w:themeColor="text1"/>
                      <w:highlight w:val="none"/>
                      <w14:textFill>
                        <w14:solidFill>
                          <w14:schemeClr w14:val="tx1"/>
                        </w14:solidFill>
                      </w14:textFill>
                    </w:rPr>
                  </w:pP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HW49</w:t>
                  </w:r>
                </w:p>
              </w:tc>
              <w:tc>
                <w:tcPr>
                  <w:tcW w:w="70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772-006-49</w:t>
                  </w:r>
                </w:p>
              </w:tc>
              <w:tc>
                <w:tcPr>
                  <w:tcW w:w="47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0.14</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Align w:val="center"/>
                </w:tcPr>
                <w:p>
                  <w:pPr>
                    <w:pStyle w:val="67"/>
                    <w:rPr>
                      <w:color w:val="000000" w:themeColor="text1"/>
                      <w:highlight w:val="none"/>
                      <w14:textFill>
                        <w14:solidFill>
                          <w14:schemeClr w14:val="tx1"/>
                        </w14:solidFill>
                      </w14:textFill>
                    </w:rPr>
                  </w:pPr>
                </w:p>
              </w:tc>
              <w:tc>
                <w:tcPr>
                  <w:tcW w:w="470" w:type="pct"/>
                  <w:vAlign w:val="center"/>
                </w:tcPr>
                <w:p>
                  <w:pPr>
                    <w:pStyle w:val="67"/>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p>
              </w:tc>
              <w:tc>
                <w:tcPr>
                  <w:tcW w:w="524"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喷漆</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工序</w:t>
                  </w:r>
                </w:p>
              </w:tc>
              <w:tc>
                <w:tcPr>
                  <w:tcW w:w="585"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溶剂型涂料废包装</w:t>
                  </w:r>
                </w:p>
              </w:tc>
              <w:tc>
                <w:tcPr>
                  <w:tcW w:w="59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塑料、涂料</w:t>
                  </w:r>
                </w:p>
              </w:tc>
              <w:tc>
                <w:tcPr>
                  <w:tcW w:w="337" w:type="pct"/>
                  <w:vMerge w:val="continue"/>
                  <w:vAlign w:val="center"/>
                </w:tcPr>
                <w:p>
                  <w:pPr>
                    <w:pStyle w:val="67"/>
                    <w:rPr>
                      <w:color w:val="000000" w:themeColor="text1"/>
                      <w:highlight w:val="none"/>
                      <w14:textFill>
                        <w14:solidFill>
                          <w14:schemeClr w14:val="tx1"/>
                        </w14:solidFill>
                      </w14:textFill>
                    </w:rPr>
                  </w:pPr>
                </w:p>
              </w:tc>
              <w:tc>
                <w:tcPr>
                  <w:tcW w:w="42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HW49</w:t>
                  </w:r>
                </w:p>
              </w:tc>
              <w:tc>
                <w:tcPr>
                  <w:tcW w:w="70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900-041-49</w:t>
                  </w:r>
                </w:p>
              </w:tc>
              <w:tc>
                <w:tcPr>
                  <w:tcW w:w="473" w:type="pct"/>
                  <w:vAlign w:val="center"/>
                </w:tcPr>
                <w:p>
                  <w:pPr>
                    <w:pStyle w:val="67"/>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0.01</w:t>
                  </w:r>
                  <w:r>
                    <w:rPr>
                      <w:rFonts w:hint="eastAsia"/>
                      <w:color w:val="000000" w:themeColor="text1"/>
                      <w:highlight w:val="none"/>
                      <w:lang w:val="en-US" w:eastAsia="zh-CN"/>
                      <w14:textFill>
                        <w14:solidFill>
                          <w14:schemeClr w14:val="tx1"/>
                        </w14:solidFill>
                      </w14:textFill>
                    </w:rPr>
                    <w:t>5</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T/In</w:t>
                  </w:r>
                </w:p>
              </w:tc>
              <w:tc>
                <w:tcPr>
                  <w:tcW w:w="348" w:type="pct"/>
                  <w:vAlign w:val="center"/>
                </w:tcPr>
                <w:p>
                  <w:pPr>
                    <w:pStyle w:val="67"/>
                    <w:rPr>
                      <w:color w:val="000000" w:themeColor="text1"/>
                      <w:highlight w:val="none"/>
                      <w14:textFill>
                        <w14:solidFill>
                          <w14:schemeClr w14:val="tx1"/>
                        </w14:solidFill>
                      </w14:textFill>
                    </w:rPr>
                  </w:pPr>
                </w:p>
              </w:tc>
              <w:tc>
                <w:tcPr>
                  <w:tcW w:w="470" w:type="pct"/>
                  <w:vAlign w:val="center"/>
                </w:tcPr>
                <w:p>
                  <w:pPr>
                    <w:pStyle w:val="67"/>
                    <w:rPr>
                      <w:color w:val="000000" w:themeColor="text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8" w:hRule="atLeast"/>
                <w:jc w:val="center"/>
              </w:trPr>
              <w:tc>
                <w:tcPr>
                  <w:tcW w:w="25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w:t>
                  </w:r>
                </w:p>
              </w:tc>
              <w:tc>
                <w:tcPr>
                  <w:tcW w:w="52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员工</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w:t>
                  </w:r>
                </w:p>
              </w:tc>
              <w:tc>
                <w:tcPr>
                  <w:tcW w:w="5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w:t>
                  </w:r>
                </w:p>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垃圾</w:t>
                  </w:r>
                </w:p>
              </w:tc>
              <w:tc>
                <w:tcPr>
                  <w:tcW w:w="59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纸屑、果皮、塑料盒等</w:t>
                  </w:r>
                </w:p>
              </w:tc>
              <w:tc>
                <w:tcPr>
                  <w:tcW w:w="337"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423"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704"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473" w:type="pct"/>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0.78</w:t>
                  </w:r>
                </w:p>
              </w:tc>
              <w:tc>
                <w:tcPr>
                  <w:tcW w:w="285"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48"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垃圾桶收集</w:t>
                  </w:r>
                </w:p>
              </w:tc>
              <w:tc>
                <w:tcPr>
                  <w:tcW w:w="470" w:type="pct"/>
                  <w:vAlign w:val="center"/>
                </w:tcPr>
                <w:p>
                  <w:pPr>
                    <w:pStyle w:val="67"/>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委托环卫部门清运</w:t>
                  </w:r>
                </w:p>
              </w:tc>
            </w:tr>
          </w:tbl>
          <w:p>
            <w:pPr>
              <w:pStyle w:val="89"/>
              <w:spacing w:before="120" w:beforeLines="50" w:after="120" w:afterLines="50"/>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4.2.4.2</w:t>
            </w:r>
            <w:r>
              <w:rPr>
                <w:rFonts w:hint="eastAsia"/>
                <w:color w:val="000000" w:themeColor="text1"/>
                <w:highlight w:val="none"/>
                <w14:textFill>
                  <w14:solidFill>
                    <w14:schemeClr w14:val="tx1"/>
                  </w14:solidFill>
                </w14:textFill>
              </w:rPr>
              <w:t>固体废物管理</w:t>
            </w:r>
            <w:r>
              <w:rPr>
                <w:color w:val="000000" w:themeColor="text1"/>
                <w:highlight w:val="none"/>
                <w14:textFill>
                  <w14:solidFill>
                    <w14:schemeClr w14:val="tx1"/>
                  </w14:solidFill>
                </w14:textFill>
              </w:rPr>
              <w:t>要求</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一般</w:t>
            </w:r>
            <w:r>
              <w:rPr>
                <w:color w:val="000000" w:themeColor="text1"/>
                <w:highlight w:val="none"/>
                <w14:textFill>
                  <w14:solidFill>
                    <w14:schemeClr w14:val="tx1"/>
                  </w14:solidFill>
                </w14:textFill>
              </w:rPr>
              <w:t>工业固体废物的贮存和管理</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根据国家《一般工业固体废物贮存、处置场污染控制标准》（</w:t>
            </w:r>
            <w:r>
              <w:rPr>
                <w:color w:val="000000" w:themeColor="text1"/>
                <w:highlight w:val="none"/>
                <w14:textFill>
                  <w14:solidFill>
                    <w14:schemeClr w14:val="tx1"/>
                  </w14:solidFill>
                </w14:textFill>
              </w:rPr>
              <w:t>GB18599-2001</w:t>
            </w:r>
            <w:r>
              <w:rPr>
                <w:rFonts w:hint="eastAsia"/>
                <w:color w:val="000000" w:themeColor="text1"/>
                <w:highlight w:val="none"/>
                <w14:textFill>
                  <w14:solidFill>
                    <w14:schemeClr w14:val="tx1"/>
                  </w14:solidFill>
                </w14:textFill>
              </w:rPr>
              <w:t>）及修改单中的要求，一般工业固体废物的贮存和管理应做到：</w:t>
            </w:r>
          </w:p>
          <w:p>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①</w:t>
            </w:r>
            <w:r>
              <w:rPr>
                <w:rFonts w:hint="eastAsia"/>
                <w:color w:val="000000" w:themeColor="text1"/>
                <w:highlight w:val="none"/>
                <w14:textFill>
                  <w14:solidFill>
                    <w14:schemeClr w14:val="tx1"/>
                  </w14:solidFill>
                </w14:textFill>
              </w:rPr>
              <w:t>一般工业固体废物应按Ⅰ类和Ⅱ类废物分别储存，建立分类收集房。不允许将危险废物和生活垃圾混入。</w:t>
            </w:r>
          </w:p>
          <w:p>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t>尽量将可利用的一般工业固体废物回收、利用。</w:t>
            </w:r>
          </w:p>
          <w:p>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rFonts w:hint="eastAsia"/>
                <w:color w:val="000000" w:themeColor="text1"/>
                <w:highlight w:val="none"/>
                <w14:textFill>
                  <w14:solidFill>
                    <w14:schemeClr w14:val="tx1"/>
                  </w14:solidFill>
                </w14:textFill>
              </w:rPr>
              <w:t>临时储存地点必须建有雨棚，不允许露天堆放，以防止雨水冲刷，雨水应通过场地四周导流渠流向雨水排放管；临时堆放场地为水泥铺设地面，以防渗漏。</w:t>
            </w:r>
          </w:p>
          <w:p>
            <w:pPr>
              <w:pStyle w:val="282"/>
              <w:spacing w:line="360" w:lineRule="auto"/>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④</w:t>
            </w:r>
            <w:r>
              <w:rPr>
                <w:rFonts w:hint="eastAsia"/>
                <w:color w:val="000000" w:themeColor="text1"/>
                <w:highlight w:val="none"/>
                <w14:textFill>
                  <w14:solidFill>
                    <w14:schemeClr w14:val="tx1"/>
                  </w14:solidFill>
                </w14:textFill>
              </w:rPr>
              <w:t>为加强管理监督，贮存、处置场所地应按《环境保护图形标志－固体废物贮存（处置）场所》（</w:t>
            </w:r>
            <w:r>
              <w:rPr>
                <w:color w:val="000000" w:themeColor="text1"/>
                <w:highlight w:val="none"/>
                <w14:textFill>
                  <w14:solidFill>
                    <w14:schemeClr w14:val="tx1"/>
                  </w14:solidFill>
                </w14:textFill>
              </w:rPr>
              <w:t>GB15562.2-1995</w:t>
            </w:r>
            <w:r>
              <w:rPr>
                <w:rFonts w:hint="eastAsia"/>
                <w:color w:val="000000" w:themeColor="text1"/>
                <w:highlight w:val="none"/>
                <w14:textFill>
                  <w14:solidFill>
                    <w14:schemeClr w14:val="tx1"/>
                  </w14:solidFill>
                </w14:textFill>
              </w:rPr>
              <w:t>）设置环境保护图形标志。</w:t>
            </w:r>
          </w:p>
          <w:p>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（2）危险废物的贮存和管理</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危险废物的收集和贮存应遵循以下要求：</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应按照《危险废物污染防治技术政策》（环发〔2001〕199号）、《危险废物贮存污染控制标准》（GB18597-2023）、《建设项目危险废物环境影响评价指南》（2017.10.1实施）等文件、技术规范要求设置危险废物临时贮存间。</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危险废物临时贮存的几点要求：</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产生、收集、贮存、利用、处置危险废物的单位应建造危险废物贮存设施或设置贮存场所，并根据需要选择贮存设施类型；贮存危险废物应根据危险废物的类别、数量、形态、物理化学性质和环境风险等因素，确定贮存设施或场所类型和规模；贮存危险废物应根据危险废物的类别、形态、物理化学性质和污染防治要求进行分类贮存</w:t>
            </w:r>
            <w:r>
              <w:rPr>
                <w:rFonts w:hint="eastAsia"/>
                <w:color w:val="000000" w:themeColor="text1"/>
                <w:highlight w:val="none"/>
                <w:lang w:eastAsia="zh-CN"/>
                <w14:textFill>
                  <w14:solidFill>
                    <w14:schemeClr w14:val="tx1"/>
                  </w14:solidFill>
                </w14:textFill>
              </w:rPr>
              <w:t>且</w:t>
            </w:r>
            <w:r>
              <w:rPr>
                <w:color w:val="000000" w:themeColor="text1"/>
                <w:highlight w:val="none"/>
                <w14:textFill>
                  <w14:solidFill>
                    <w14:schemeClr w14:val="tx1"/>
                  </w14:solidFill>
                </w14:textFill>
              </w:rPr>
              <w:t>应避免危险废物与不相容的物质或材料接触；贮存设施应根据危险废物的形态、物理化学性质、包装形式和污染物迁移途径，采取必要的防风、防晒、防雨、防漏、防渗、防腐以及其他环境污染防治措施，不应露天堆放危险废物。</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C.危险废物贮存过程产生的液态废物和固态废物应分类收集，按环境管理要求妥善处理。</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D.贮存设施或场所、容器和包装物应按 HJ 1276 要求设置危险废物贮存设施或场所标志、危险废物贮存分区标志和危险废物标签等危险废物识别标志。</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E.危险废物贮存除应满足环境保护相关要求外，还应执行国家安全生产、职业健康、交通运输、消防等法律法规和标准的相关要求；贮存设施应采取技术和管理措施防止无关人员进入。</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 xml:space="preserve"> cm/s），或至少2 mm 厚高密度聚乙烯膜等人工防渗材料（渗透系数不大于 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 xml:space="preserve"> cm/s），或其他防渗性能等效的材料。</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pStyle w:val="333"/>
              <w:ind w:firstLine="480"/>
              <w:rPr>
                <w:color w:val="000000" w:themeColor="text1"/>
                <w:szCs w:val="24"/>
                <w:highlight w:val="none"/>
                <w:lang w:val="zh-CN"/>
                <w14:textFill>
                  <w14:solidFill>
                    <w14:schemeClr w14:val="tx1"/>
                  </w14:solidFill>
                </w14:textFill>
              </w:rPr>
            </w:pPr>
            <w:r>
              <w:rPr>
                <w:color w:val="000000" w:themeColor="text1"/>
                <w:highlight w:val="none"/>
                <w14:textFill>
                  <w14:solidFill>
                    <w14:schemeClr w14:val="tx1"/>
                  </w14:solidFill>
                </w14:textFill>
              </w:rPr>
              <w:t>I.</w:t>
            </w:r>
            <w:r>
              <w:rPr>
                <w:color w:val="000000" w:themeColor="text1"/>
                <w:szCs w:val="24"/>
                <w:highlight w:val="none"/>
                <w:lang w:val="zh-CN"/>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 16297要求。</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建立危废申报登记制度，由专门人员负责危险废物的日常收集和管理，对任何进出临时贮存场所的危险废物都要记录在案，按国家有关标准和规定建立做好管理台账并保存；贮存设施所有者或运营者应建立贮存设施全部档案，包括设计、施工、验收、运行、监测和环境应急等，应按国家有关档案管理的法律法规进行整理和归档；贮存设施所有者或运营者应建立贮存设施环境管理制度、管理人员岗位职责制度、设施运行操作制度、人员岗位培训制度等；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危险废物存入贮存设施前应对危险废物类别和特性与危险废物标签等危险废物识别标志的一致性进行核验，不一致的或类别、特性不明的不应存入；应定期检查危险废物的贮存状况，及时清理贮存设施地面，更换破损泄漏的危险废物贮存容器和包装物，保证堆存危险废物的防雨、防风、防扬尘等设施功能完好；作业设备及车辆等结束作业离开贮存设施时，应对其残留的危险废物进行清理，清理的废物或清洗废水应收集处理；储存过程不同状态的危险废物应按照规定使用相应的容器贮存。</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贮存设施所有者或运营者应按照国家有关规定编制突发环境事件应急预案，定期开展必要的培训和环境应急演练，并做好培训、演练记录；贮存设施所有者或运营者应配备满足其突发环境事件应急要求的应急人员、装备和物资，并应设置应急照明系统；相关部门发布自然灾害或恶劣天气预警后，贮存设施所有者或运营者应启动相应防控措施，若有必要可将危险废物转移至其他具有防护条件的地点贮存。</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⑥应将危险废物提供或者委托给有危险废物经营许可证的单位从事利用和处置，并签订处置合同。</w:t>
            </w:r>
          </w:p>
          <w:p>
            <w:pPr>
              <w:pStyle w:val="333"/>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⑦应按照《危险废物管理计划和管理台账制定技术导则》（HJ1259-2022）的要求制定危险废物管理计划及管理台账：根据《危险废物管理计划和管理台账制定技术导则》（HJ 1259-2022），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⑧危险废物网络平台管理</w:t>
            </w:r>
          </w:p>
          <w:p>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建设单位登录“福建省生态环境亲清服务平台”注册后，进入固废管理系统，按以下步骤填报危险废物的贮存、转移信息：</w:t>
            </w:r>
          </w:p>
          <w:p>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a完善企业信息，包括产废信息和贮存点信息；</w:t>
            </w:r>
          </w:p>
          <w:p>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b填报每年度的危险废物管理计划：</w:t>
            </w:r>
          </w:p>
          <w:p>
            <w:pPr>
              <w:spacing w:line="360" w:lineRule="auto"/>
              <w:ind w:firstLine="480" w:firstLineChars="200"/>
              <w:rPr>
                <w:snapToGrid w:val="0"/>
                <w:color w:val="000000" w:themeColor="text1"/>
                <w:kern w:val="0"/>
                <w:sz w:val="24"/>
                <w:szCs w:val="2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c填写危废管理信息，包括建设单位危废入库台账信息，危废转移信息（在系统中填报运输单位、经营单位和转移批次）；危废运输单位和接收单位完成转移，接收后，填报相应信息，形成危废转移电子三联单；</w:t>
            </w:r>
          </w:p>
          <w:p>
            <w:pPr>
              <w:spacing w:line="360" w:lineRule="auto"/>
              <w:ind w:firstLine="480" w:firstLineChars="200"/>
              <w:rPr>
                <w:color w:val="000000" w:themeColor="text1"/>
                <w:highlight w:val="none"/>
                <w14:textFill>
                  <w14:solidFill>
                    <w14:schemeClr w14:val="tx1"/>
                  </w14:solidFill>
                </w14:textFill>
              </w:rPr>
            </w:pPr>
            <w:r>
              <w:rPr>
                <w:snapToGrid w:val="0"/>
                <w:color w:val="000000" w:themeColor="text1"/>
                <w:kern w:val="0"/>
                <w:sz w:val="24"/>
                <w:szCs w:val="21"/>
                <w:highlight w:val="none"/>
                <w14:textFill>
                  <w14:solidFill>
                    <w14:schemeClr w14:val="tx1"/>
                  </w14:solidFill>
                </w14:textFill>
              </w:rPr>
              <w:t>d建设单位在管理系统中进行月度申报，每月初申报上个月危废生产、转移、贮存等情况。</w:t>
            </w:r>
          </w:p>
          <w:p>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4.2.5地下水环境影响分析</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对照《环境影响评价技术导则 地下水环境》（HJ610-2016）附录A中</w:t>
            </w:r>
            <w:r>
              <w:rPr>
                <w:rFonts w:hint="eastAsia"/>
                <w:color w:val="000000" w:themeColor="text1"/>
                <w:highlight w:val="none"/>
                <w14:textFill>
                  <w14:solidFill>
                    <w14:schemeClr w14:val="tx1"/>
                  </w14:solidFill>
                </w14:textFill>
              </w:rPr>
              <w:t>“109、锯材、木片加工、家具制造—其他”</w:t>
            </w:r>
            <w:r>
              <w:rPr>
                <w:color w:val="000000" w:themeColor="text1"/>
                <w:highlight w:val="none"/>
                <w14:textFill>
                  <w14:solidFill>
                    <w14:schemeClr w14:val="tx1"/>
                  </w14:solidFill>
                </w14:textFill>
              </w:rPr>
              <w:t>，报告表类别属于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IV类项目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，可不进行地下水环境影响评价</w:t>
            </w:r>
            <w:r>
              <w:rPr>
                <w:rFonts w:hint="eastAsia"/>
                <w:color w:val="000000" w:themeColor="text1"/>
                <w:highlight w:val="none"/>
                <w14:textFill>
                  <w14:solidFill>
                    <w14:schemeClr w14:val="tx1"/>
                  </w14:solidFill>
                </w14:textFill>
              </w:rPr>
              <w:t>。</w:t>
            </w:r>
          </w:p>
          <w:p>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4.2.6土壤环境影响分析</w:t>
            </w:r>
          </w:p>
          <w:p>
            <w:pPr>
              <w:pStyle w:val="189"/>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土壤环境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试行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HJ964-2018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附录A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土壤环境影响评价项目类别表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项目土壤环境影响评价类别属于</w:t>
            </w:r>
            <w:r>
              <w:rPr>
                <w:rFonts w:hint="eastAsia"/>
                <w:color w:val="000000" w:themeColor="text1"/>
                <w:highlight w:val="none"/>
                <w14:textFill>
                  <w14:solidFill>
                    <w14:schemeClr w14:val="tx1"/>
                  </w14:solidFill>
                </w14:textFill>
              </w:rPr>
              <w:t>“其他行</w:t>
            </w:r>
            <w:r>
              <w:rPr>
                <w:color w:val="000000" w:themeColor="text1"/>
                <w:highlight w:val="none"/>
                <w14:textFill>
                  <w14:solidFill>
                    <w14:schemeClr w14:val="tx1"/>
                  </w14:solidFill>
                </w14:textFill>
              </w:rPr>
              <w:t>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，本项目属于IV类建设项目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根据导则项目不开展土壤环境影响评价。</w:t>
            </w:r>
          </w:p>
          <w:p>
            <w:pPr>
              <w:pStyle w:val="89"/>
              <w:spacing w:before="120" w:beforeLines="50"/>
              <w:textAlignment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4.2.7环境风险分析</w:t>
            </w:r>
          </w:p>
          <w:p>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4.2.7.1评价等级</w:t>
            </w:r>
          </w:p>
          <w:p>
            <w:pPr>
              <w:pStyle w:val="92"/>
              <w:jc w:val="both"/>
              <w:rPr>
                <w:iCs/>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使用的</w:t>
            </w:r>
            <w:r>
              <w:rPr>
                <w:color w:val="000000" w:themeColor="text1"/>
                <w:highlight w:val="none"/>
                <w14:textFill>
                  <w14:solidFill>
                    <w14:schemeClr w14:val="tx1"/>
                  </w14:solidFill>
                </w14:textFill>
              </w:rPr>
              <w:t>化学品为</w:t>
            </w:r>
            <w:r>
              <w:rPr>
                <w:rFonts w:hint="eastAsia"/>
                <w:color w:val="000000" w:themeColor="text1"/>
                <w:highlight w:val="none"/>
                <w14:textFill>
                  <w14:solidFill>
                    <w14:schemeClr w14:val="tx1"/>
                  </w14:solidFill>
                </w14:textFill>
              </w:rPr>
              <w:t>聚氨酯漆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水性漆等，对照</w:t>
            </w:r>
            <w:r>
              <w:rPr>
                <w:color w:val="000000" w:themeColor="text1"/>
                <w:highlight w:val="none"/>
                <w14:textFill>
                  <w14:solidFill>
                    <w14:schemeClr w14:val="tx1"/>
                  </w14:solidFill>
                </w14:textFill>
              </w:rPr>
              <w:t>危险化学品重大危险源辨识》(GB18218-2019)</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《建设项目环境风险评价技术导则》（HJ169-20</w:t>
            </w:r>
            <w:r>
              <w:rPr>
                <w:rFonts w:hint="eastAsia"/>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，本项目使用原料成分中涉及二甲苯属于</w:t>
            </w:r>
            <w:r>
              <w:rPr>
                <w:iCs/>
                <w:color w:val="000000" w:themeColor="text1"/>
                <w:highlight w:val="none"/>
                <w14:textFill>
                  <w14:solidFill>
                    <w14:schemeClr w14:val="tx1"/>
                  </w14:solidFill>
                </w14:textFill>
              </w:rPr>
              <w:t>《建设项目环境风险评价技术导则》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iCs/>
                <w:color w:val="000000" w:themeColor="text1"/>
                <w:highlight w:val="none"/>
                <w14:textFill>
                  <w14:solidFill>
                    <w14:schemeClr w14:val="tx1"/>
                  </w14:solidFill>
                </w14:textFill>
              </w:rPr>
              <w:t>附录B</w:t>
            </w:r>
            <w:r>
              <w:rPr>
                <w:rFonts w:hint="eastAsia"/>
                <w:iCs/>
                <w:color w:val="000000" w:themeColor="text1"/>
                <w:highlight w:val="none"/>
                <w14:textFill>
                  <w14:solidFill>
                    <w14:schemeClr w14:val="tx1"/>
                  </w14:solidFill>
                </w14:textFill>
              </w:rPr>
              <w:t>中</w:t>
            </w:r>
            <w:r>
              <w:rPr>
                <w:iCs/>
                <w:color w:val="000000" w:themeColor="text1"/>
                <w:highlight w:val="none"/>
                <w14:textFill>
                  <w14:solidFill>
                    <w14:schemeClr w14:val="tx1"/>
                  </w14:solidFill>
                </w14:textFill>
              </w:rPr>
              <w:t>风险物质</w:t>
            </w:r>
            <w:r>
              <w:rPr>
                <w:rFonts w:hint="eastAsia"/>
                <w:iCs/>
                <w:color w:val="000000" w:themeColor="text1"/>
                <w:highlight w:val="none"/>
                <w14:textFill>
                  <w14:solidFill>
                    <w14:schemeClr w14:val="tx1"/>
                  </w14:solidFill>
                </w14:textFill>
              </w:rPr>
              <w:t>。</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HJ169-2018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以及《关于进一步加强环境影响评价管理防范环境风险的通知》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环发[2012]77号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，环境风险评价应以突发性事故导致的危险物质环境急性损害防控为目标，对建设项目的环境风险进行分析、预测和评估，提出环境风险预防、控制、减缓措施。</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建设项目环境风险潜势划分为</w:t>
            </w:r>
            <w:r>
              <w:rPr>
                <w:rFonts w:hint="eastAsia" w:ascii="宋体" w:hAnsi="宋体" w:cs="宋体"/>
                <w:color w:val="000000" w:themeColor="text1"/>
                <w:highlight w:val="none"/>
                <w14:textFill>
                  <w14:solidFill>
                    <w14:schemeClr w14:val="tx1"/>
                  </w14:solidFill>
                </w14:textFill>
              </w:rPr>
              <w:t>Ⅰ</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Ⅱ</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Ⅲ</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Ⅳ</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危险物质数量与临界量比值（Q）：</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当只涉及一种危险物质时，计算该物质的总量与其临界量比值，即为 Q；当存在多种危险物质时，则按式（C.1）计算物质总量与其临界量比值（Q）：</w:t>
            </w:r>
          </w:p>
          <w:p>
            <w:pPr>
              <w:pStyle w:val="92"/>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867910" cy="1452880"/>
                  <wp:effectExtent l="0" t="0" r="8890" b="1397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4"/>
                          <a:stretch>
                            <a:fillRect/>
                          </a:stretch>
                        </pic:blipFill>
                        <pic:spPr>
                          <a:xfrm>
                            <a:off x="0" y="0"/>
                            <a:ext cx="4867910" cy="1452880"/>
                          </a:xfrm>
                          <a:prstGeom prst="rect">
                            <a:avLst/>
                          </a:prstGeom>
                          <a:noFill/>
                          <a:ln>
                            <a:noFill/>
                          </a:ln>
                        </pic:spPr>
                      </pic:pic>
                    </a:graphicData>
                  </a:graphic>
                </wp:inline>
              </w:drawing>
            </w:r>
          </w:p>
          <w:p>
            <w:pPr>
              <w:pStyle w:val="9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项目涉及</w:t>
            </w:r>
            <w:r>
              <w:rPr>
                <w:color w:val="000000" w:themeColor="text1"/>
                <w:highlight w:val="none"/>
                <w14:textFill>
                  <w14:solidFill>
                    <w14:schemeClr w14:val="tx1"/>
                  </w14:solidFill>
                </w14:textFill>
              </w:rPr>
              <w:t>的风险物质为</w:t>
            </w:r>
            <w:r>
              <w:rPr>
                <w:rFonts w:hint="eastAsia"/>
                <w:color w:val="000000" w:themeColor="text1"/>
                <w:highlight w:val="none"/>
                <w14:textFill>
                  <w14:solidFill>
                    <w14:schemeClr w14:val="tx1"/>
                  </w14:solidFill>
                </w14:textFill>
              </w:rPr>
              <w:t>二甲苯</w:t>
            </w:r>
            <w:r>
              <w:rPr>
                <w:color w:val="000000" w:themeColor="text1"/>
                <w:highlight w:val="none"/>
                <w14:textFill>
                  <w14:solidFill>
                    <w14:schemeClr w14:val="tx1"/>
                  </w14:solidFill>
                </w14:textFill>
              </w:rPr>
              <w:t>，危险物质数量与临界量比值</w:t>
            </w:r>
            <w:r>
              <w:rPr>
                <w:rFonts w:hint="eastAsia"/>
                <w:color w:val="000000" w:themeColor="text1"/>
                <w:highlight w:val="none"/>
                <w14:textFill>
                  <w14:solidFill>
                    <w14:schemeClr w14:val="tx1"/>
                  </w14:solidFill>
                </w14:textFill>
              </w:rPr>
              <w:t>计算</w:t>
            </w:r>
            <w:r>
              <w:rPr>
                <w:color w:val="000000" w:themeColor="text1"/>
                <w:highlight w:val="none"/>
                <w14:textFill>
                  <w14:solidFill>
                    <w14:schemeClr w14:val="tx1"/>
                  </w14:solidFill>
                </w14:textFill>
              </w:rPr>
              <w:t>见表4.2-</w:t>
            </w:r>
            <w:r>
              <w:rPr>
                <w:rFonts w:hint="eastAsia"/>
                <w:color w:val="000000" w:themeColor="text1"/>
                <w:highlight w:val="none"/>
                <w14:textFill>
                  <w14:solidFill>
                    <w14:schemeClr w14:val="tx1"/>
                  </w14:solidFill>
                </w14:textFill>
              </w:rPr>
              <w:t>14。</w:t>
            </w:r>
          </w:p>
          <w:p>
            <w:pPr>
              <w:pStyle w:val="180"/>
              <w:ind w:firstLine="482"/>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表4.2-</w:t>
            </w:r>
            <w:r>
              <w:rPr>
                <w:rFonts w:hint="eastAsia" w:eastAsia="宋体"/>
                <w:b/>
                <w:bCs/>
                <w:color w:val="000000" w:themeColor="text1"/>
                <w:highlight w:val="none"/>
                <w14:textFill>
                  <w14:solidFill>
                    <w14:schemeClr w14:val="tx1"/>
                  </w14:solidFill>
                </w14:textFill>
              </w:rPr>
              <w:t>14</w:t>
            </w:r>
            <w:r>
              <w:rPr>
                <w:rFonts w:eastAsia="宋体"/>
                <w:b/>
                <w:bCs/>
                <w:color w:val="000000" w:themeColor="text1"/>
                <w:highlight w:val="none"/>
                <w14:textFill>
                  <w14:solidFill>
                    <w14:schemeClr w14:val="tx1"/>
                  </w14:solidFill>
                </w14:textFill>
              </w:rPr>
              <w:t xml:space="preserve">  危险物质数量与临界量比值计算</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096"/>
              <w:gridCol w:w="2305"/>
              <w:gridCol w:w="166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1246"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物料名称</w:t>
                  </w:r>
                </w:p>
              </w:tc>
              <w:tc>
                <w:tcPr>
                  <w:tcW w:w="1370"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厂内设计最大储存量</w:t>
                  </w:r>
                  <w:r>
                    <w:rPr>
                      <w:rFonts w:hint="eastAsia"/>
                      <w:color w:val="000000" w:themeColor="text1"/>
                      <w:highlight w:val="none"/>
                      <w14:textFill>
                        <w14:solidFill>
                          <w14:schemeClr w14:val="tx1"/>
                        </w14:solidFill>
                      </w14:textFill>
                    </w:rPr>
                    <w:t>（管道存量）</w:t>
                  </w:r>
                  <w:r>
                    <w:rPr>
                      <w:color w:val="000000" w:themeColor="text1"/>
                      <w:highlight w:val="none"/>
                      <w14:textFill>
                        <w14:solidFill>
                          <w14:schemeClr w14:val="tx1"/>
                        </w14:solidFill>
                      </w14:textFill>
                    </w:rPr>
                    <w:t>q（t）</w:t>
                  </w:r>
                </w:p>
              </w:tc>
              <w:tc>
                <w:tcPr>
                  <w:tcW w:w="986"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贮存场所临界量Q（t）</w:t>
                  </w:r>
                </w:p>
              </w:tc>
              <w:tc>
                <w:tcPr>
                  <w:tcW w:w="679"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7"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246"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二甲苯</w:t>
                  </w:r>
                </w:p>
              </w:tc>
              <w:tc>
                <w:tcPr>
                  <w:tcW w:w="1370"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5</w:t>
                  </w:r>
                </w:p>
              </w:tc>
              <w:tc>
                <w:tcPr>
                  <w:tcW w:w="986"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679"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20" w:type="pct"/>
                  <w:gridSpan w:val="4"/>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Q</w:t>
                  </w:r>
                </w:p>
              </w:tc>
              <w:tc>
                <w:tcPr>
                  <w:tcW w:w="679" w:type="pct"/>
                  <w:vAlign w:val="center"/>
                </w:tcPr>
                <w:p>
                  <w:pPr>
                    <w:pStyle w:val="224"/>
                    <w:adjustRightInd/>
                    <w:snapToGrid/>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5</w:t>
                  </w:r>
                </w:p>
              </w:tc>
            </w:tr>
          </w:tbl>
          <w:p>
            <w:pPr>
              <w:pStyle w:val="9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根据《建设项目环境风险评价技术导则》（HJ169-2018）附录C，当Q＜1时，该项目环境风险潜势为Ⅰ，无需进行P、E值的计算，评价等级为“简单分析”。</w:t>
            </w:r>
          </w:p>
          <w:p>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4.2.7.2环境风险防范措施</w:t>
            </w:r>
          </w:p>
          <w:p>
            <w:pPr>
              <w:pStyle w:val="332"/>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1</w:t>
            </w:r>
            <w:r>
              <w:rPr>
                <w:rFonts w:hint="eastAsia"/>
                <w:b/>
                <w:bCs/>
                <w:color w:val="000000" w:themeColor="text1"/>
                <w:highlight w:val="none"/>
                <w14:textFill>
                  <w14:solidFill>
                    <w14:schemeClr w14:val="tx1"/>
                  </w14:solidFill>
                </w14:textFill>
              </w:rPr>
              <w:t>）风险防范措施</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①油漆管理、储存、使用、运输中的防范措施</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公司应建立一套完整的管理和操作制度，并定期根据实际情况及出现的问题进行修订和检查，危险物品、易燃易爆物品等应与一般物品和原料分开保存并有专人管理和检查，公司应有一套紧急状态下的应急对策、设备和人员，并定期演练，一旦出现紧急状态在采取相应对策的同时应考虑疏散无关原料、设备和人员，将损失减低至最低限度。</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b、尽可能减少原材料的储备量。</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从事喷漆工作的工人，工作时要做好相应防护。工作现场禁止吸烟、进食和饮水。工作结束后，要沐浴更衣。同时工作环境要符合《工业企业设计卫生标准》（GBZ1-2002）中规定的要求并且每半年对工人进行一次全面身体健康状况检查。</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d、储存场所地面须作硬化及防渗处理，贮存液态或半固态的物品，必须有奶腐蚀的硬化地面且表面无缝隙，场地四周设置</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液体收集装置；场所应当设置警示标志。</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②</w:t>
            </w:r>
            <w:r>
              <w:rPr>
                <w:rFonts w:hint="eastAsia"/>
                <w:color w:val="000000" w:themeColor="text1"/>
                <w:highlight w:val="none"/>
                <w14:textFill>
                  <w14:solidFill>
                    <w14:schemeClr w14:val="tx1"/>
                  </w14:solidFill>
                </w14:textFill>
              </w:rPr>
              <w:t>油漆</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的应急措施</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a、少量</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时先进行为围堵，避免污染面积扩散；</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b、用沙或泥土吸收液体，临时存放于固体废物暂存间，并最终由有资质的单位处理；</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c、大量</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时，溢出液体进入下水道，则有地表水会污染或毒性的潜在风险，应立即通知有关部门。</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③</w:t>
            </w:r>
            <w:r>
              <w:rPr>
                <w:color w:val="000000" w:themeColor="text1"/>
                <w:highlight w:val="none"/>
                <w14:textFill>
                  <w14:solidFill>
                    <w14:schemeClr w14:val="tx1"/>
                  </w14:solidFill>
                </w14:textFill>
              </w:rPr>
              <w:t>火灾衍生环境事故污染</w:t>
            </w:r>
            <w:r>
              <w:rPr>
                <w:rFonts w:hint="eastAsia"/>
                <w:color w:val="000000" w:themeColor="text1"/>
                <w:highlight w:val="none"/>
                <w14:textFill>
                  <w14:solidFill>
                    <w14:schemeClr w14:val="tx1"/>
                  </w14:solidFill>
                </w14:textFill>
              </w:rPr>
              <w:t>防控</w:t>
            </w:r>
            <w:r>
              <w:rPr>
                <w:color w:val="000000" w:themeColor="text1"/>
                <w:highlight w:val="none"/>
                <w14:textFill>
                  <w14:solidFill>
                    <w14:schemeClr w14:val="tx1"/>
                  </w14:solidFill>
                </w14:textFill>
              </w:rPr>
              <w:t>措施</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项目在保安室、生产车间、仓库等均配备灭火器材和消防器材，均张贴应急人员联系方式和信息报告流程图，以便发生事故时第一发现者可立即上报。</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w:t>
            </w:r>
            <w:r>
              <w:rPr>
                <w:color w:val="000000" w:themeColor="text1"/>
                <w:highlight w:val="none"/>
                <w14:textFill>
                  <w14:solidFill>
                    <w14:schemeClr w14:val="tx1"/>
                  </w14:solidFill>
                </w14:textFill>
              </w:rPr>
              <w:t>项目与</w:t>
            </w:r>
            <w:r>
              <w:rPr>
                <w:rFonts w:hint="eastAsia"/>
                <w:color w:val="000000" w:themeColor="text1"/>
                <w:highlight w:val="none"/>
                <w14:textFill>
                  <w14:solidFill>
                    <w14:schemeClr w14:val="tx1"/>
                  </w14:solidFill>
                </w14:textFill>
              </w:rPr>
              <w:t>应急管理局</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福州市福清生态环境局</w:t>
            </w:r>
            <w:r>
              <w:rPr>
                <w:color w:val="000000" w:themeColor="text1"/>
                <w:highlight w:val="none"/>
                <w14:textFill>
                  <w14:solidFill>
                    <w14:schemeClr w14:val="tx1"/>
                  </w14:solidFill>
                </w14:textFill>
              </w:rPr>
              <w:t>、消防大队等政府主管部门建立了紧急应急救援联系通道，发生事故时能有效依托外部力量协助事故处置。</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c、全厂每年结合消防演练进行一次突发环境事件应急预案演练，各风险岗位每季度进行一次应急演练。</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w:t>
            </w:r>
            <w:r>
              <w:rPr>
                <w:color w:val="000000" w:themeColor="text1"/>
                <w:highlight w:val="none"/>
                <w14:textFill>
                  <w14:solidFill>
                    <w14:schemeClr w14:val="tx1"/>
                  </w14:solidFill>
                </w14:textFill>
              </w:rPr>
              <w:t>通过新闻媒体</w:t>
            </w:r>
            <w:r>
              <w:rPr>
                <w:rFonts w:hint="eastAsia"/>
                <w:color w:val="000000" w:themeColor="text1"/>
                <w:highlight w:val="none"/>
                <w14:textFill>
                  <w14:solidFill>
                    <w14:schemeClr w14:val="tx1"/>
                  </w14:solidFill>
                </w14:textFill>
              </w:rPr>
              <w:t>关注</w:t>
            </w:r>
            <w:r>
              <w:rPr>
                <w:color w:val="000000" w:themeColor="text1"/>
                <w:highlight w:val="none"/>
                <w14:textFill>
                  <w14:solidFill>
                    <w14:schemeClr w14:val="tx1"/>
                  </w14:solidFill>
                </w14:textFill>
              </w:rPr>
              <w:t>公开发布的暴雨、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地震等预警信息</w:t>
            </w:r>
            <w:r>
              <w:rPr>
                <w:rFonts w:hint="eastAsia"/>
                <w:color w:val="000000" w:themeColor="text1"/>
                <w:highlight w:val="none"/>
                <w14:textFill>
                  <w14:solidFill>
                    <w14:schemeClr w14:val="tx1"/>
                  </w14:solidFill>
                </w14:textFill>
              </w:rPr>
              <w:t>；</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e</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在暴雨、</w:t>
            </w:r>
            <w:r>
              <w:rPr>
                <w:rFonts w:hint="eastAsia"/>
                <w:color w:val="000000" w:themeColor="text1"/>
                <w:highlight w:val="none"/>
                <w14:textFill>
                  <w14:solidFill>
                    <w14:schemeClr w14:val="tx1"/>
                  </w14:solidFill>
                </w14:textFill>
              </w:rPr>
              <w:t>雷电</w:t>
            </w:r>
            <w:r>
              <w:rPr>
                <w:color w:val="000000" w:themeColor="text1"/>
                <w:highlight w:val="none"/>
                <w14:textFill>
                  <w14:solidFill>
                    <w14:schemeClr w14:val="tx1"/>
                  </w14:solidFill>
                </w14:textFill>
              </w:rPr>
              <w:t>等自然灾害来临之前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应急办公室根据天气预报发布预警信息并组织相关人员预先对各设备、管道及应急设施进行检查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并对厂区雨水管线进行疏通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确保畅通</w:t>
            </w:r>
            <w:r>
              <w:rPr>
                <w:rFonts w:hint="eastAsia"/>
                <w:color w:val="000000" w:themeColor="text1"/>
                <w:highlight w:val="none"/>
                <w:lang w:val="en-US"/>
                <w14:textFill>
                  <w14:solidFill>
                    <w14:schemeClr w14:val="tx1"/>
                  </w14:solidFill>
                </w14:textFill>
              </w:rPr>
              <w:t>。</w:t>
            </w:r>
          </w:p>
          <w:p>
            <w:pPr>
              <w:pStyle w:val="332"/>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14:textFill>
                  <w14:solidFill>
                    <w14:schemeClr w14:val="tx1"/>
                  </w14:solidFill>
                </w14:textFill>
              </w:rPr>
              <w:t>2</w:t>
            </w:r>
            <w:r>
              <w:rPr>
                <w:rFonts w:hint="eastAsia"/>
                <w:b/>
                <w:bCs/>
                <w:color w:val="000000" w:themeColor="text1"/>
                <w:highlight w:val="none"/>
                <w14:textFill>
                  <w14:solidFill>
                    <w14:schemeClr w14:val="tx1"/>
                  </w14:solidFill>
                </w14:textFill>
              </w:rPr>
              <w:t>）应急措施</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危化品泄漏事故的应急处置</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a</w:t>
            </w:r>
            <w:r>
              <w:rPr>
                <w:rFonts w:hint="eastAsia"/>
                <w:color w:val="000000" w:themeColor="text1"/>
                <w:highlight w:val="none"/>
                <w14:textFill>
                  <w14:solidFill>
                    <w14:schemeClr w14:val="tx1"/>
                  </w14:solidFill>
                </w14:textFill>
              </w:rPr>
              <w:t>、当发现仓库内化学品泄漏，控制和隔离现场，切断事故现场电源；将泄漏化学品至专用桶内，并用沙土或者吸附棉覆盖、吸附泄漏的化学品。</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b</w:t>
            </w:r>
            <w:r>
              <w:rPr>
                <w:rFonts w:hint="eastAsia"/>
                <w:color w:val="000000" w:themeColor="text1"/>
                <w:highlight w:val="none"/>
                <w14:textFill>
                  <w14:solidFill>
                    <w14:schemeClr w14:val="tx1"/>
                  </w14:solidFill>
                </w14:textFill>
              </w:rPr>
              <w:t>、生产车间设备和管道化学品泄漏</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当发现生产车间内使用设备和输送管道发生化学品泄漏应立即停止事故现场生产作业，关闭管道阀门；将泄漏化学品至专用桶内，并用沙土或者吸附棉覆盖、吸附泄漏的化学品。</w:t>
            </w:r>
          </w:p>
          <w:p>
            <w:pPr>
              <w:pStyle w:val="332"/>
              <w:rPr>
                <w:color w:val="000000" w:themeColor="text1"/>
                <w:highlight w:val="none"/>
                <w14:textFill>
                  <w14:solidFill>
                    <w14:schemeClr w14:val="tx1"/>
                  </w14:solidFill>
                </w14:textFill>
              </w:rPr>
            </w:pPr>
            <w:r>
              <w:rPr>
                <w:rFonts w:hint="eastAsia"/>
                <w:color w:val="000000" w:themeColor="text1"/>
                <w:highlight w:val="none"/>
                <w:lang w:val="en-US"/>
                <w14:textFill>
                  <w14:solidFill>
                    <w14:schemeClr w14:val="tx1"/>
                  </w14:solidFill>
                </w14:textFill>
              </w:rPr>
              <w:t>c</w:t>
            </w:r>
            <w:r>
              <w:rPr>
                <w:rFonts w:hint="eastAsia"/>
                <w:color w:val="000000" w:themeColor="text1"/>
                <w:highlight w:val="none"/>
                <w14:textFill>
                  <w14:solidFill>
                    <w14:schemeClr w14:val="tx1"/>
                  </w14:solidFill>
                </w14:textFill>
              </w:rPr>
              <w:t>、人员中毒：当工作人员身体感觉不适时，应立即停止工作，</w:t>
            </w:r>
            <w:r>
              <w:rPr>
                <w:color w:val="000000" w:themeColor="text1"/>
                <w:highlight w:val="none"/>
                <w14:textFill>
                  <w14:solidFill>
                    <w14:schemeClr w14:val="tx1"/>
                  </w14:solidFill>
                </w14:textFill>
              </w:rPr>
              <w:t>并立即</w:t>
            </w:r>
            <w:r>
              <w:rPr>
                <w:rFonts w:hint="eastAsia"/>
                <w:color w:val="000000" w:themeColor="text1"/>
                <w:highlight w:val="none"/>
                <w14:textFill>
                  <w14:solidFill>
                    <w14:schemeClr w14:val="tx1"/>
                  </w14:solidFill>
                </w14:textFill>
              </w:rPr>
              <w:t>上报当班主管，送医院体检治疗。</w:t>
            </w:r>
          </w:p>
          <w:p>
            <w:pPr>
              <w:pStyle w:val="33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火灾衍生环境事故的应急处置</w:t>
            </w:r>
          </w:p>
          <w:p>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当发生</w:t>
            </w:r>
            <w:r>
              <w:rPr>
                <w:rFonts w:hint="eastAsia"/>
                <w:color w:val="000000" w:themeColor="text1"/>
                <w:highlight w:val="none"/>
                <w14:textFill>
                  <w14:solidFill>
                    <w14:schemeClr w14:val="tx1"/>
                  </w14:solidFill>
                </w14:textFill>
              </w:rPr>
              <w:t>火灾</w:t>
            </w:r>
            <w:r>
              <w:rPr>
                <w:color w:val="000000" w:themeColor="text1"/>
                <w:highlight w:val="none"/>
                <w14:textFill>
                  <w14:solidFill>
                    <w14:schemeClr w14:val="tx1"/>
                  </w14:solidFill>
                </w14:textFill>
              </w:rPr>
              <w:t>事故时，应首先组织人员疏散，在确保安全的前提下，尝试进行以下应急处理措施：</w:t>
            </w:r>
            <w:r>
              <w:rPr>
                <w:rFonts w:hint="eastAsia"/>
                <w:color w:val="000000" w:themeColor="text1"/>
                <w:highlight w:val="none"/>
                <w14:textFill>
                  <w14:solidFill>
                    <w14:schemeClr w14:val="tx1"/>
                  </w14:solidFill>
                </w14:textFill>
              </w:rPr>
              <w:t>在厂区范围内配置喷淋、灭火器等消防措施。</w:t>
            </w:r>
          </w:p>
          <w:p>
            <w:pPr>
              <w:pStyle w:val="89"/>
              <w:spacing w:before="120" w:beforeLines="50" w:after="120" w:afterLines="50"/>
              <w:textAlignment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4.2.7.3风险分析结论</w:t>
            </w:r>
          </w:p>
          <w:p>
            <w:pPr>
              <w:pStyle w:val="294"/>
              <w:ind w:firstLine="480"/>
              <w:rPr>
                <w:color w:val="000000" w:themeColor="text1"/>
                <w:sz w:val="28"/>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根据《建设项目环境风险评价技术导则》(HJ169-2018)，</w:t>
            </w: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项目环境风险潜势初判为Ⅰ，风险评价等级为简单分析，在采取有效环境风险防范措施后，可将风险减小到最低，控制在可接受水平，不对周围环境造成较大影响。</w:t>
            </w:r>
          </w:p>
          <w:p>
            <w:pPr>
              <w:pStyle w:val="89"/>
              <w:spacing w:before="120" w:beforeLines="50"/>
              <w:textAlignment w:val="center"/>
              <w:rPr>
                <w:color w:val="000000" w:themeColor="text1"/>
                <w:highlight w:val="none"/>
                <w14:textFill>
                  <w14:solidFill>
                    <w14:schemeClr w14:val="tx1"/>
                  </w14:solidFill>
                </w14:textFill>
              </w:rPr>
            </w:pPr>
            <w:r>
              <w:rPr>
                <w:color w:val="000000" w:themeColor="text1"/>
                <w:sz w:val="28"/>
                <w:szCs w:val="28"/>
                <w:highlight w:val="none"/>
                <w14:textFill>
                  <w14:solidFill>
                    <w14:schemeClr w14:val="tx1"/>
                  </w14:solidFill>
                </w14:textFill>
              </w:rPr>
              <w:t>4.2.</w:t>
            </w:r>
            <w:r>
              <w:rPr>
                <w:rFonts w:hint="eastAsia"/>
                <w:color w:val="000000" w:themeColor="text1"/>
                <w:sz w:val="28"/>
                <w:szCs w:val="28"/>
                <w:highlight w:val="none"/>
                <w14:textFill>
                  <w14:solidFill>
                    <w14:schemeClr w14:val="tx1"/>
                  </w14:solidFill>
                </w14:textFill>
              </w:rPr>
              <w:t>8其他环境管理</w:t>
            </w:r>
            <w:r>
              <w:rPr>
                <w:color w:val="000000" w:themeColor="text1"/>
                <w:sz w:val="28"/>
                <w:szCs w:val="28"/>
                <w:highlight w:val="none"/>
                <w14:textFill>
                  <w14:solidFill>
                    <w14:schemeClr w14:val="tx1"/>
                  </w14:solidFill>
                </w14:textFill>
              </w:rPr>
              <w:t>要求</w:t>
            </w:r>
          </w:p>
          <w:p>
            <w:pPr>
              <w:pStyle w:val="282"/>
              <w:numPr>
                <w:ilvl w:val="0"/>
                <w:numId w:val="5"/>
              </w:numPr>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环境管理制度</w:t>
            </w:r>
          </w:p>
          <w:p>
            <w:pPr>
              <w:pStyle w:val="294"/>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设置环境管理机构，建立环境管理制度、委托相关单位对项目的环保设施制定环境监测计划。</w:t>
            </w:r>
          </w:p>
          <w:p>
            <w:pPr>
              <w:pStyle w:val="282"/>
              <w:numPr>
                <w:ilvl w:val="0"/>
                <w:numId w:val="5"/>
              </w:numPr>
              <w:spacing w:line="360" w:lineRule="auto"/>
              <w:ind w:firstLine="482"/>
              <w:rPr>
                <w:b/>
                <w:bCs w:val="0"/>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排污许可管理要求</w:t>
            </w:r>
          </w:p>
          <w:p>
            <w:pPr>
              <w:pStyle w:val="282"/>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根据《固定污染源排污许可分类管理名录（2019年版）》，</w:t>
            </w:r>
            <w:r>
              <w:rPr>
                <w:rFonts w:hint="eastAsia"/>
                <w:color w:val="000000" w:themeColor="text1"/>
                <w:highlight w:val="none"/>
                <w:lang w:eastAsia="zh-CN"/>
                <w14:textFill>
                  <w14:solidFill>
                    <w14:schemeClr w14:val="tx1"/>
                  </w14:solidFill>
                </w14:textFill>
              </w:rPr>
              <w:t>扩建项目</w:t>
            </w:r>
            <w:r>
              <w:rPr>
                <w:color w:val="000000" w:themeColor="text1"/>
                <w:highlight w:val="none"/>
                <w14:textFill>
                  <w14:solidFill>
                    <w14:schemeClr w14:val="tx1"/>
                  </w14:solidFill>
                </w14:textFill>
              </w:rPr>
              <w:t>属于</w:t>
            </w:r>
            <w:r>
              <w:rPr>
                <w:rFonts w:hint="eastAsia"/>
                <w:color w:val="000000" w:themeColor="text1"/>
                <w:highlight w:val="none"/>
                <w14:textFill>
                  <w14:solidFill>
                    <w14:schemeClr w14:val="tx1"/>
                  </w14:solidFill>
                </w14:textFill>
              </w:rPr>
              <w:t>木质家具制造211</w:t>
            </w:r>
            <w:r>
              <w:rPr>
                <w:color w:val="000000" w:themeColor="text1"/>
                <w:highlight w:val="none"/>
                <w14:textFill>
                  <w14:solidFill>
                    <w14:schemeClr w14:val="tx1"/>
                  </w14:solidFill>
                </w14:textFill>
              </w:rPr>
              <w:t>的管理行业，</w:t>
            </w:r>
            <w:r>
              <w:rPr>
                <w:rFonts w:hint="eastAsia"/>
                <w:color w:val="000000" w:themeColor="text1"/>
                <w:highlight w:val="none"/>
                <w14:textFill>
                  <w14:solidFill>
                    <w14:schemeClr w14:val="tx1"/>
                  </w14:solidFill>
                </w14:textFill>
              </w:rPr>
              <w:t>项目使用溶剂型涂料，</w:t>
            </w:r>
            <w:r>
              <w:rPr>
                <w:color w:val="000000" w:themeColor="text1"/>
                <w:highlight w:val="none"/>
                <w14:textFill>
                  <w14:solidFill>
                    <w14:schemeClr w14:val="tx1"/>
                  </w14:solidFill>
                </w14:textFill>
              </w:rPr>
              <w:t>排污许可</w:t>
            </w:r>
            <w:r>
              <w:rPr>
                <w:rFonts w:hint="eastAsia"/>
                <w:color w:val="000000" w:themeColor="text1"/>
                <w:highlight w:val="none"/>
                <w:lang w:eastAsia="zh-CN"/>
                <w14:textFill>
                  <w14:solidFill>
                    <w14:schemeClr w14:val="tx1"/>
                  </w14:solidFill>
                </w14:textFill>
              </w:rPr>
              <w:t>管理</w:t>
            </w:r>
            <w:r>
              <w:rPr>
                <w:rFonts w:hint="eastAsia"/>
                <w:color w:val="000000" w:themeColor="text1"/>
                <w:highlight w:val="none"/>
                <w14:textFill>
                  <w14:solidFill>
                    <w14:schemeClr w14:val="tx1"/>
                  </w14:solidFill>
                </w14:textFill>
              </w:rPr>
              <w:t>属于登记管理类别</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pPr>
              <w:pStyle w:val="282"/>
              <w:spacing w:line="360" w:lineRule="auto"/>
              <w:rPr>
                <w:rFonts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扩建</w:t>
            </w:r>
            <w:r>
              <w:rPr>
                <w:rFonts w:hint="eastAsia" w:ascii="Times New Roman" w:hAnsi="Times New Roman" w:eastAsia="宋体" w:cs="Times New Roman"/>
                <w:color w:val="000000" w:themeColor="text1"/>
                <w:highlight w:val="none"/>
                <w14:textFill>
                  <w14:solidFill>
                    <w14:schemeClr w14:val="tx1"/>
                  </w14:solidFill>
                </w14:textFill>
              </w:rPr>
              <w:t>项目属于登记管理行业，</w:t>
            </w:r>
            <w:r>
              <w:rPr>
                <w:rFonts w:hint="eastAsia" w:ascii="Times New Roman" w:hAnsi="Times New Roman" w:eastAsia="宋体" w:cs="Times New Roman"/>
                <w:color w:val="000000" w:themeColor="text1"/>
                <w:highlight w:val="none"/>
                <w:lang w:val="en-GB"/>
                <w14:textFill>
                  <w14:solidFill>
                    <w14:schemeClr w14:val="tx1"/>
                  </w14:solidFill>
                </w14:textFill>
              </w:rPr>
              <w:t>本项目在排放污染物前，建设单位应完成排污登记变更。</w:t>
            </w:r>
          </w:p>
          <w:p>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（3）竣工环境保护验收</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根据《建设项目竣工环境保护验收暂行办法》的规定：</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①建设项目主体工程竣工后，其配套建设的环境保护设施必须与主体工程同时投入生产或者运行。需要进行试生产或试运行的，其配套建设的环境保护设施必须与主体工程同时投入试生产或试运行。</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②建设项目主体工程竣工后、正式投产或运行前，企业应自行组织开展建设项目竣工环境保护验收，并编制建设项目竣工环境保护验收监测报告表。</w:t>
            </w:r>
          </w:p>
          <w:p>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（4）排污口规范化管理要求</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排放口应预留监测口做到便于采样和测定流量，并设立专门的 标志（有要求监控的项目应论述），执行《环境保护图形标志—排放口（源）》（G B15562.1-1995）及《环境保护图形标志—固体废物贮存（处置）场》（GB 15562. 2-1995）。标志牌应设在与之功能相应的醒目处，并保持清晰、完整。</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项目排污口规范化图标按照《环境保护图形标志—排放口(源)》(GB15562.1-19 95)要求进行，具体详见表4.2-15。</w:t>
            </w:r>
          </w:p>
          <w:p>
            <w:pPr>
              <w:jc w:val="center"/>
              <w:rPr>
                <w:b/>
                <w:bCs/>
                <w:color w:val="000000" w:themeColor="text1"/>
                <w:spacing w:val="8"/>
                <w:sz w:val="24"/>
                <w:highlight w:val="none"/>
                <w:lang w:bidi="ar"/>
                <w14:textFill>
                  <w14:solidFill>
                    <w14:schemeClr w14:val="tx1"/>
                  </w14:solidFill>
                </w14:textFill>
              </w:rPr>
            </w:pPr>
            <w:r>
              <w:rPr>
                <w:b/>
                <w:bCs/>
                <w:color w:val="000000" w:themeColor="text1"/>
                <w:spacing w:val="8"/>
                <w:sz w:val="24"/>
                <w:highlight w:val="none"/>
                <w:lang w:bidi="ar"/>
                <w14:textFill>
                  <w14:solidFill>
                    <w14:schemeClr w14:val="tx1"/>
                  </w14:solidFill>
                </w14:textFill>
              </w:rPr>
              <w:t>表</w:t>
            </w:r>
            <w:r>
              <w:rPr>
                <w:rFonts w:hint="eastAsia"/>
                <w:b/>
                <w:bCs/>
                <w:color w:val="000000" w:themeColor="text1"/>
                <w:spacing w:val="8"/>
                <w:sz w:val="24"/>
                <w:highlight w:val="none"/>
                <w:lang w:bidi="ar"/>
                <w14:textFill>
                  <w14:solidFill>
                    <w14:schemeClr w14:val="tx1"/>
                  </w14:solidFill>
                </w14:textFill>
              </w:rPr>
              <w:t>4.2-15</w:t>
            </w:r>
            <w:r>
              <w:rPr>
                <w:b/>
                <w:bCs/>
                <w:color w:val="000000" w:themeColor="text1"/>
                <w:spacing w:val="8"/>
                <w:sz w:val="24"/>
                <w:highlight w:val="none"/>
                <w:lang w:bidi="ar"/>
                <w14:textFill>
                  <w14:solidFill>
                    <w14:schemeClr w14:val="tx1"/>
                  </w14:solidFill>
                </w14:textFill>
              </w:rPr>
              <w:t xml:space="preserve">  排污口图形符号</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提示标志</w:t>
            </w:r>
            <w:r>
              <w:rPr>
                <w:rFonts w:hint="eastAsia"/>
                <w:b/>
                <w:bCs/>
                <w:color w:val="000000" w:themeColor="text1"/>
                <w:spacing w:val="8"/>
                <w:sz w:val="24"/>
                <w:highlight w:val="none"/>
                <w:lang w:bidi="ar"/>
                <w14:textFill>
                  <w14:solidFill>
                    <w14:schemeClr w14:val="tx1"/>
                  </w14:solidFill>
                </w14:textFill>
              </w:rPr>
              <w:t>）</w:t>
            </w:r>
            <w:r>
              <w:rPr>
                <w:b/>
                <w:bCs/>
                <w:color w:val="000000" w:themeColor="text1"/>
                <w:spacing w:val="8"/>
                <w:sz w:val="24"/>
                <w:highlight w:val="none"/>
                <w:lang w:bidi="ar"/>
                <w14:textFill>
                  <w14:solidFill>
                    <w14:schemeClr w14:val="tx1"/>
                  </w14:solidFill>
                </w14:textFill>
              </w:rPr>
              <w:t>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513"/>
              <w:gridCol w:w="1369"/>
              <w:gridCol w:w="1370"/>
              <w:gridCol w:w="1370"/>
              <w:gridCol w:w="1511"/>
              <w:gridCol w:w="12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904" w:type="pct"/>
                  <w:tcBorders>
                    <w:tl2br w:val="nil"/>
                    <w:tr2bl w:val="nil"/>
                  </w:tcBorders>
                  <w:vAlign w:val="center"/>
                </w:tcPr>
                <w:p>
                  <w:pPr>
                    <w:pStyle w:val="67"/>
                    <w:adjustRightInd w:val="0"/>
                    <w:snapToGrid w:val="0"/>
                    <w:jc w:val="right"/>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排放部位</w:t>
                  </w:r>
                </w:p>
                <w:p>
                  <w:pPr>
                    <w:pStyle w:val="67"/>
                    <w:adjustRightInd w:val="0"/>
                    <w:snapToGrid w:val="0"/>
                    <w:jc w:val="both"/>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项目</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污水排放口</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废气排放口</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噪声排放源</w:t>
                  </w:r>
                </w:p>
              </w:tc>
              <w:tc>
                <w:tcPr>
                  <w:tcW w:w="902"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一般工业固废</w:t>
                  </w:r>
                </w:p>
              </w:tc>
              <w:tc>
                <w:tcPr>
                  <w:tcW w:w="736"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危险废物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017" w:hRule="atLeast"/>
                <w:jc w:val="center"/>
              </w:trPr>
              <w:tc>
                <w:tcPr>
                  <w:tcW w:w="904"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图形符号</w:t>
                  </w:r>
                </w:p>
              </w:tc>
              <w:tc>
                <w:tcPr>
                  <w:tcW w:w="818" w:type="pct"/>
                  <w:tcBorders>
                    <w:tl2br w:val="nil"/>
                    <w:tr2bl w:val="nil"/>
                  </w:tcBorders>
                  <w:vAlign w:val="center"/>
                </w:tcPr>
                <w:p>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39445" cy="639445"/>
                        <wp:effectExtent l="0" t="0" r="8255" b="8255"/>
                        <wp:docPr id="1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
                                <pic:cNvPicPr>
                                  <a:picLocks noChangeAspect="1"/>
                                </pic:cNvPicPr>
                              </pic:nvPicPr>
                              <pic:blipFill>
                                <a:blip r:embed="rId25"/>
                                <a:stretch>
                                  <a:fillRect/>
                                </a:stretch>
                              </pic:blipFill>
                              <pic:spPr>
                                <a:xfrm>
                                  <a:off x="0" y="0"/>
                                  <a:ext cx="639445" cy="639445"/>
                                </a:xfrm>
                                <a:prstGeom prst="rect">
                                  <a:avLst/>
                                </a:prstGeom>
                                <a:noFill/>
                                <a:ln>
                                  <a:noFill/>
                                </a:ln>
                              </pic:spPr>
                            </pic:pic>
                          </a:graphicData>
                        </a:graphic>
                      </wp:inline>
                    </w:drawing>
                  </w:r>
                </w:p>
              </w:tc>
              <w:tc>
                <w:tcPr>
                  <w:tcW w:w="818" w:type="pct"/>
                  <w:tcBorders>
                    <w:tl2br w:val="nil"/>
                    <w:tr2bl w:val="nil"/>
                  </w:tcBorders>
                  <w:vAlign w:val="center"/>
                </w:tcPr>
                <w:p>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55" name="图片 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点击看大图及详细资料"/>
                                <pic:cNvPicPr>
                                  <a:picLocks noChangeAspect="1"/>
                                </pic:cNvPicPr>
                              </pic:nvPicPr>
                              <pic:blipFill>
                                <a:blip r:embed="rId26"/>
                                <a:stretch>
                                  <a:fillRect/>
                                </a:stretch>
                              </pic:blipFill>
                              <pic:spPr>
                                <a:xfrm>
                                  <a:off x="0" y="0"/>
                                  <a:ext cx="640715" cy="640715"/>
                                </a:xfrm>
                                <a:prstGeom prst="rect">
                                  <a:avLst/>
                                </a:prstGeom>
                                <a:noFill/>
                                <a:ln>
                                  <a:noFill/>
                                </a:ln>
                              </pic:spPr>
                            </pic:pic>
                          </a:graphicData>
                        </a:graphic>
                      </wp:inline>
                    </w:drawing>
                  </w:r>
                </w:p>
              </w:tc>
              <w:tc>
                <w:tcPr>
                  <w:tcW w:w="818" w:type="pct"/>
                  <w:tcBorders>
                    <w:tl2br w:val="nil"/>
                    <w:tr2bl w:val="nil"/>
                  </w:tcBorders>
                  <w:vAlign w:val="center"/>
                </w:tcPr>
                <w:p>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17"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点击看大图及详细资料"/>
                                <pic:cNvPicPr>
                                  <a:picLocks noChangeAspect="1"/>
                                </pic:cNvPicPr>
                              </pic:nvPicPr>
                              <pic:blipFill>
                                <a:blip r:embed="rId27"/>
                                <a:stretch>
                                  <a:fillRect/>
                                </a:stretch>
                              </pic:blipFill>
                              <pic:spPr>
                                <a:xfrm>
                                  <a:off x="0" y="0"/>
                                  <a:ext cx="640715" cy="640715"/>
                                </a:xfrm>
                                <a:prstGeom prst="rect">
                                  <a:avLst/>
                                </a:prstGeom>
                                <a:noFill/>
                                <a:ln>
                                  <a:noFill/>
                                </a:ln>
                              </pic:spPr>
                            </pic:pic>
                          </a:graphicData>
                        </a:graphic>
                      </wp:inline>
                    </w:drawing>
                  </w:r>
                </w:p>
              </w:tc>
              <w:tc>
                <w:tcPr>
                  <w:tcW w:w="902" w:type="pct"/>
                  <w:tcBorders>
                    <w:tl2br w:val="nil"/>
                    <w:tr2bl w:val="nil"/>
                  </w:tcBorders>
                  <w:vAlign w:val="center"/>
                </w:tcPr>
                <w:p>
                  <w:pPr>
                    <w:widowControl w:val="0"/>
                    <w:jc w:val="center"/>
                    <w:rPr>
                      <w:color w:val="000000" w:themeColor="text1"/>
                      <w:sz w:val="18"/>
                      <w:szCs w:val="18"/>
                      <w:highlight w:val="none"/>
                      <w:lang w:val="en-GB"/>
                      <w14:textFill>
                        <w14:solidFill>
                          <w14:schemeClr w14:val="tx1"/>
                        </w14:solidFill>
                      </w14:textFill>
                    </w:rPr>
                  </w:pPr>
                  <w:r>
                    <w:rPr>
                      <w:color w:val="000000" w:themeColor="text1"/>
                      <w:sz w:val="18"/>
                      <w:szCs w:val="18"/>
                      <w:highlight w:val="none"/>
                      <w14:textFill>
                        <w14:solidFill>
                          <w14:schemeClr w14:val="tx1"/>
                        </w14:solidFill>
                      </w14:textFill>
                    </w:rPr>
                    <w:drawing>
                      <wp:inline distT="0" distB="0" distL="114300" distR="114300">
                        <wp:extent cx="640715" cy="640715"/>
                        <wp:effectExtent l="0" t="0" r="6985" b="6985"/>
                        <wp:docPr id="57"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descr="一般固废"/>
                                <pic:cNvPicPr>
                                  <a:picLocks noChangeAspect="1"/>
                                </pic:cNvPicPr>
                              </pic:nvPicPr>
                              <pic:blipFill>
                                <a:blip r:embed="rId28"/>
                                <a:stretch>
                                  <a:fillRect/>
                                </a:stretch>
                              </pic:blipFill>
                              <pic:spPr>
                                <a:xfrm>
                                  <a:off x="0" y="0"/>
                                  <a:ext cx="640715" cy="640715"/>
                                </a:xfrm>
                                <a:prstGeom prst="rect">
                                  <a:avLst/>
                                </a:prstGeom>
                                <a:noFill/>
                                <a:ln>
                                  <a:noFill/>
                                </a:ln>
                              </pic:spPr>
                            </pic:pic>
                          </a:graphicData>
                        </a:graphic>
                      </wp:inline>
                    </w:drawing>
                  </w:r>
                </w:p>
              </w:tc>
              <w:tc>
                <w:tcPr>
                  <w:tcW w:w="736" w:type="pct"/>
                  <w:tcBorders>
                    <w:tl2br w:val="nil"/>
                    <w:tr2bl w:val="nil"/>
                  </w:tcBorders>
                  <w:vAlign w:val="center"/>
                </w:tcPr>
                <w:p>
                  <w:pPr>
                    <w:widowControl w:val="0"/>
                    <w:jc w:val="center"/>
                    <w:rPr>
                      <w:color w:val="000000" w:themeColor="text1"/>
                      <w:sz w:val="18"/>
                      <w:szCs w:val="18"/>
                      <w:highlight w:val="none"/>
                      <w:lang w:val="en-GB"/>
                      <w14:textFill>
                        <w14:solidFill>
                          <w14:schemeClr w14:val="tx1"/>
                        </w14:solidFill>
                      </w14:textFill>
                    </w:rPr>
                  </w:pPr>
                  <w:r>
                    <w:rPr>
                      <w:rFonts w:hint="eastAsia"/>
                      <w:color w:val="000000" w:themeColor="text1"/>
                      <w:sz w:val="18"/>
                      <w:szCs w:val="18"/>
                      <w:highlight w:val="none"/>
                      <w:lang w:val="en-GB"/>
                      <w14:textFill>
                        <w14:solidFill>
                          <w14:schemeClr w14:val="tx1"/>
                        </w14:solidFill>
                      </w14:textFill>
                    </w:rPr>
                    <w:drawing>
                      <wp:inline distT="0" distB="0" distL="114300" distR="114300">
                        <wp:extent cx="747395" cy="652780"/>
                        <wp:effectExtent l="0" t="0" r="14605" b="13970"/>
                        <wp:docPr id="60" name="图片 60" descr="173147648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31476485965"/>
                                <pic:cNvPicPr>
                                  <a:picLocks noChangeAspect="1"/>
                                </pic:cNvPicPr>
                              </pic:nvPicPr>
                              <pic:blipFill>
                                <a:blip r:embed="rId29"/>
                                <a:srcRect b="14882"/>
                                <a:stretch>
                                  <a:fillRect/>
                                </a:stretch>
                              </pic:blipFill>
                              <pic:spPr>
                                <a:xfrm>
                                  <a:off x="0" y="0"/>
                                  <a:ext cx="747395" cy="6527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形状</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正方形边框</w:t>
                  </w:r>
                </w:p>
              </w:tc>
              <w:tc>
                <w:tcPr>
                  <w:tcW w:w="902"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c>
                <w:tcPr>
                  <w:tcW w:w="736"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三角形边框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背景颜色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绿色</w:t>
                  </w:r>
                </w:p>
              </w:tc>
              <w:tc>
                <w:tcPr>
                  <w:tcW w:w="902"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c>
                <w:tcPr>
                  <w:tcW w:w="736"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黄色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04"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图形颜色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818"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白色</w:t>
                  </w:r>
                </w:p>
              </w:tc>
              <w:tc>
                <w:tcPr>
                  <w:tcW w:w="902"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c>
                <w:tcPr>
                  <w:tcW w:w="736" w:type="pct"/>
                  <w:tcBorders>
                    <w:tl2br w:val="nil"/>
                    <w:tr2bl w:val="nil"/>
                  </w:tcBorders>
                  <w:vAlign w:val="center"/>
                </w:tcPr>
                <w:p>
                  <w:pPr>
                    <w:pStyle w:val="67"/>
                    <w:adjustRightInd w:val="0"/>
                    <w:snapToGrid w:val="0"/>
                    <w:rPr>
                      <w:color w:val="000000" w:themeColor="text1"/>
                      <w:highlight w:val="none"/>
                      <w:lang w:val="en-GB"/>
                      <w14:textFill>
                        <w14:solidFill>
                          <w14:schemeClr w14:val="tx1"/>
                        </w14:solidFill>
                      </w14:textFill>
                    </w:rPr>
                  </w:pPr>
                  <w:r>
                    <w:rPr>
                      <w:color w:val="000000" w:themeColor="text1"/>
                      <w:highlight w:val="none"/>
                      <w:lang w:val="en-GB"/>
                      <w14:textFill>
                        <w14:solidFill>
                          <w14:schemeClr w14:val="tx1"/>
                        </w14:solidFill>
                      </w14:textFill>
                    </w:rPr>
                    <w:t>黑色</w:t>
                  </w:r>
                </w:p>
              </w:tc>
            </w:tr>
          </w:tbl>
          <w:p>
            <w:pPr>
              <w:pStyle w:val="282"/>
              <w:spacing w:line="360" w:lineRule="auto"/>
              <w:ind w:firstLine="482"/>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（5）自行监测管理要求</w:t>
            </w:r>
          </w:p>
          <w:p>
            <w:pPr>
              <w:pStyle w:val="282"/>
              <w:spacing w:line="360" w:lineRule="auto"/>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扩建</w:t>
            </w:r>
            <w:r>
              <w:rPr>
                <w:rFonts w:hint="eastAsia"/>
                <w:color w:val="000000" w:themeColor="text1"/>
                <w:highlight w:val="none"/>
                <w14:textFill>
                  <w14:solidFill>
                    <w14:schemeClr w14:val="tx1"/>
                  </w14:solidFill>
                </w14:textFill>
              </w:rPr>
              <w:t>项目属于登记管理行业，无需开展自行监测。</w:t>
            </w:r>
            <w:r>
              <w:rPr>
                <w:color w:val="000000" w:themeColor="text1"/>
                <w:highlight w:val="none"/>
                <w14:textFill>
                  <w14:solidFill>
                    <w14:schemeClr w14:val="tx1"/>
                  </w14:solidFill>
                </w14:textFill>
              </w:rPr>
              <w:t>建设单位</w:t>
            </w:r>
            <w:r>
              <w:rPr>
                <w:rFonts w:hint="eastAsia"/>
                <w:color w:val="000000" w:themeColor="text1"/>
                <w:highlight w:val="none"/>
                <w14:textFill>
                  <w14:solidFill>
                    <w14:schemeClr w14:val="tx1"/>
                  </w14:solidFill>
                </w14:textFill>
              </w:rPr>
              <w:t>可</w:t>
            </w:r>
            <w:r>
              <w:rPr>
                <w:color w:val="000000" w:themeColor="text1"/>
                <w:highlight w:val="none"/>
                <w14:textFill>
                  <w14:solidFill>
                    <w14:schemeClr w14:val="tx1"/>
                  </w14:solidFill>
                </w14:textFill>
              </w:rPr>
              <w:t>根据《排污单位自行监测技术指南-总则》（HJ819-2017）的要求，对项目运营期开展自行监测。环境监测工作拟由建设单位委托有资质的监测单位按已制定的环境监测计划进行监测。</w:t>
            </w:r>
          </w:p>
          <w:p>
            <w:pPr>
              <w:spacing w:line="360" w:lineRule="auto"/>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从保护环境出发，根据本建设项目的特点和周边环境特点，以及相应的环保设施，制定环保监测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pPr>
              <w:spacing w:line="360" w:lineRule="auto"/>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建成后</w:t>
            </w:r>
            <w:r>
              <w:rPr>
                <w:bCs/>
                <w:color w:val="000000" w:themeColor="text1"/>
                <w:sz w:val="24"/>
                <w:highlight w:val="none"/>
                <w14:textFill>
                  <w14:solidFill>
                    <w14:schemeClr w14:val="tx1"/>
                  </w14:solidFill>
                </w14:textFill>
              </w:rPr>
              <w:t>各监测点、监测项目、监测频次见表</w:t>
            </w:r>
            <w:r>
              <w:rPr>
                <w:rFonts w:hint="eastAsia"/>
                <w:bCs/>
                <w:color w:val="000000" w:themeColor="text1"/>
                <w:sz w:val="24"/>
                <w:highlight w:val="none"/>
                <w14:textFill>
                  <w14:solidFill>
                    <w14:schemeClr w14:val="tx1"/>
                  </w14:solidFill>
                </w14:textFill>
              </w:rPr>
              <w:t>4.2-16</w:t>
            </w:r>
            <w:r>
              <w:rPr>
                <w:bCs/>
                <w:color w:val="000000" w:themeColor="text1"/>
                <w:sz w:val="24"/>
                <w:highlight w:val="none"/>
                <w14:textFill>
                  <w14:solidFill>
                    <w14:schemeClr w14:val="tx1"/>
                  </w14:solidFill>
                </w14:textFill>
              </w:rPr>
              <w:t>。</w:t>
            </w:r>
          </w:p>
          <w:p>
            <w:pPr>
              <w:pStyle w:val="277"/>
              <w:spacing w:line="360" w:lineRule="auto"/>
              <w:ind w:left="0"/>
              <w:rPr>
                <w:rFonts w:eastAsia="宋体"/>
                <w:b/>
                <w:color w:val="000000" w:themeColor="text1"/>
                <w:highlight w:val="none"/>
                <w14:textFill>
                  <w14:solidFill>
                    <w14:schemeClr w14:val="tx1"/>
                  </w14:solidFill>
                </w14:textFill>
              </w:rPr>
            </w:pPr>
            <w:r>
              <w:rPr>
                <w:rFonts w:eastAsia="宋体"/>
                <w:b/>
                <w:color w:val="000000" w:themeColor="text1"/>
                <w:highlight w:val="none"/>
                <w14:textFill>
                  <w14:solidFill>
                    <w14:schemeClr w14:val="tx1"/>
                  </w14:solidFill>
                </w14:textFill>
              </w:rPr>
              <w:t>表</w:t>
            </w:r>
            <w:r>
              <w:rPr>
                <w:rFonts w:hint="eastAsia" w:eastAsia="宋体"/>
                <w:b/>
                <w:color w:val="000000" w:themeColor="text1"/>
                <w:highlight w:val="none"/>
                <w14:textFill>
                  <w14:solidFill>
                    <w14:schemeClr w14:val="tx1"/>
                  </w14:solidFill>
                </w14:textFill>
              </w:rPr>
              <w:t xml:space="preserve">4.2-16 </w:t>
            </w:r>
            <w:r>
              <w:rPr>
                <w:rFonts w:eastAsia="宋体"/>
                <w:b/>
                <w:color w:val="000000" w:themeColor="text1"/>
                <w:highlight w:val="none"/>
                <w14:textFill>
                  <w14:solidFill>
                    <w14:schemeClr w14:val="tx1"/>
                  </w14:solidFill>
                </w14:textFill>
              </w:rPr>
              <w:t>监测计划一览表</w:t>
            </w:r>
          </w:p>
          <w:tbl>
            <w:tblPr>
              <w:tblStyle w:val="3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08"/>
              <w:gridCol w:w="1126"/>
              <w:gridCol w:w="2276"/>
              <w:gridCol w:w="3372"/>
              <w:gridCol w:w="10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671"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污染源名称</w:t>
                  </w:r>
                </w:p>
              </w:tc>
              <w:tc>
                <w:tcPr>
                  <w:tcW w:w="1356"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监测位置</w:t>
                  </w:r>
                </w:p>
              </w:tc>
              <w:tc>
                <w:tcPr>
                  <w:tcW w:w="2009"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监测项目</w:t>
                  </w:r>
                </w:p>
              </w:tc>
              <w:tc>
                <w:tcPr>
                  <w:tcW w:w="600"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restar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671" w:type="pct"/>
                  <w:vMerge w:val="restar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废气</w:t>
                  </w:r>
                </w:p>
              </w:tc>
              <w:tc>
                <w:tcPr>
                  <w:tcW w:w="1356" w:type="pct"/>
                  <w:vAlign w:val="center"/>
                </w:tcPr>
                <w:p>
                  <w:pPr>
                    <w:jc w:val="center"/>
                    <w:rPr>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DA001排气筒出口</w:t>
                  </w:r>
                </w:p>
              </w:tc>
              <w:tc>
                <w:tcPr>
                  <w:tcW w:w="2009"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p>
              </w:tc>
              <w:tc>
                <w:tcPr>
                  <w:tcW w:w="600"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pPr>
                    <w:jc w:val="center"/>
                    <w:rPr>
                      <w:color w:val="000000" w:themeColor="text1"/>
                      <w:szCs w:val="21"/>
                      <w:highlight w:val="none"/>
                      <w14:textFill>
                        <w14:solidFill>
                          <w14:schemeClr w14:val="tx1"/>
                        </w14:solidFill>
                      </w14:textFill>
                    </w:rPr>
                  </w:pPr>
                </w:p>
              </w:tc>
              <w:tc>
                <w:tcPr>
                  <w:tcW w:w="671" w:type="pct"/>
                  <w:vMerge w:val="continue"/>
                  <w:vAlign w:val="center"/>
                </w:tcPr>
                <w:p>
                  <w:pPr>
                    <w:jc w:val="center"/>
                    <w:rPr>
                      <w:color w:val="000000" w:themeColor="text1"/>
                      <w:szCs w:val="21"/>
                      <w:highlight w:val="none"/>
                      <w14:textFill>
                        <w14:solidFill>
                          <w14:schemeClr w14:val="tx1"/>
                        </w14:solidFill>
                      </w14:textFill>
                    </w:rPr>
                  </w:pPr>
                </w:p>
              </w:tc>
              <w:tc>
                <w:tcPr>
                  <w:tcW w:w="135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DA002排气筒出口</w:t>
                  </w:r>
                </w:p>
              </w:tc>
              <w:tc>
                <w:tcPr>
                  <w:tcW w:w="2009" w:type="pct"/>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w:t>
                  </w:r>
                </w:p>
              </w:tc>
              <w:tc>
                <w:tcPr>
                  <w:tcW w:w="600"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pPr>
                    <w:jc w:val="center"/>
                    <w:rPr>
                      <w:color w:val="000000" w:themeColor="text1"/>
                      <w:szCs w:val="21"/>
                      <w:highlight w:val="none"/>
                      <w14:textFill>
                        <w14:solidFill>
                          <w14:schemeClr w14:val="tx1"/>
                        </w14:solidFill>
                      </w14:textFill>
                    </w:rPr>
                  </w:pPr>
                </w:p>
              </w:tc>
              <w:tc>
                <w:tcPr>
                  <w:tcW w:w="671" w:type="pct"/>
                  <w:vMerge w:val="continue"/>
                  <w:vAlign w:val="center"/>
                </w:tcPr>
                <w:p>
                  <w:pPr>
                    <w:jc w:val="center"/>
                    <w:rPr>
                      <w:color w:val="000000" w:themeColor="text1"/>
                      <w:szCs w:val="21"/>
                      <w:highlight w:val="none"/>
                      <w14:textFill>
                        <w14:solidFill>
                          <w14:schemeClr w14:val="tx1"/>
                        </w14:solidFill>
                      </w14:textFill>
                    </w:rPr>
                  </w:pPr>
                </w:p>
              </w:tc>
              <w:tc>
                <w:tcPr>
                  <w:tcW w:w="135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厂区内（喷漆区外）</w:t>
                  </w:r>
                </w:p>
              </w:tc>
              <w:tc>
                <w:tcPr>
                  <w:tcW w:w="2009" w:type="pct"/>
                  <w:vAlign w:val="center"/>
                </w:tcPr>
                <w:p>
                  <w:pPr>
                    <w:jc w:val="center"/>
                    <w:rPr>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非甲烷总烃</w:t>
                  </w:r>
                </w:p>
              </w:tc>
              <w:tc>
                <w:tcPr>
                  <w:tcW w:w="600"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Merge w:val="continue"/>
                  <w:vAlign w:val="center"/>
                </w:tcPr>
                <w:p>
                  <w:pPr>
                    <w:jc w:val="center"/>
                    <w:rPr>
                      <w:color w:val="000000" w:themeColor="text1"/>
                      <w:szCs w:val="21"/>
                      <w:highlight w:val="none"/>
                      <w14:textFill>
                        <w14:solidFill>
                          <w14:schemeClr w14:val="tx1"/>
                        </w14:solidFill>
                      </w14:textFill>
                    </w:rPr>
                  </w:pPr>
                </w:p>
              </w:tc>
              <w:tc>
                <w:tcPr>
                  <w:tcW w:w="671" w:type="pct"/>
                  <w:vMerge w:val="continue"/>
                  <w:vAlign w:val="center"/>
                </w:tcPr>
                <w:p>
                  <w:pPr>
                    <w:jc w:val="center"/>
                    <w:rPr>
                      <w:color w:val="000000" w:themeColor="text1"/>
                      <w:szCs w:val="21"/>
                      <w:highlight w:val="none"/>
                      <w14:textFill>
                        <w14:solidFill>
                          <w14:schemeClr w14:val="tx1"/>
                        </w14:solidFill>
                      </w14:textFill>
                    </w:rPr>
                  </w:pPr>
                </w:p>
              </w:tc>
              <w:tc>
                <w:tcPr>
                  <w:tcW w:w="1356" w:type="pct"/>
                  <w:vAlign w:val="center"/>
                </w:tcPr>
                <w:p>
                  <w:pPr>
                    <w:jc w:val="center"/>
                    <w:rPr>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厂界</w:t>
                  </w:r>
                </w:p>
              </w:tc>
              <w:tc>
                <w:tcPr>
                  <w:tcW w:w="2009" w:type="pct"/>
                  <w:vAlign w:val="center"/>
                </w:tcPr>
                <w:p>
                  <w:pPr>
                    <w:jc w:val="center"/>
                    <w:rPr>
                      <w:color w:val="000000" w:themeColor="text1"/>
                      <w:kern w:val="0"/>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颗粒物</w:t>
                  </w:r>
                  <w:r>
                    <w:rPr>
                      <w:color w:val="000000" w:themeColor="text1"/>
                      <w:highlight w:val="none"/>
                      <w14:textFill>
                        <w14:solidFill>
                          <w14:schemeClr w14:val="tx1"/>
                        </w14:solidFill>
                      </w14:textFill>
                    </w:rPr>
                    <w:t>、非甲烷总烃</w:t>
                  </w:r>
                  <w:r>
                    <w:rPr>
                      <w:rFonts w:hint="eastAsia"/>
                      <w:color w:val="000000" w:themeColor="text1"/>
                      <w:highlight w:val="none"/>
                      <w14:textFill>
                        <w14:solidFill>
                          <w14:schemeClr w14:val="tx1"/>
                        </w14:solidFill>
                      </w14:textFill>
                    </w:rPr>
                    <w:t>、二甲苯</w:t>
                  </w:r>
                </w:p>
              </w:tc>
              <w:tc>
                <w:tcPr>
                  <w:tcW w:w="600"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671"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w:t>
                  </w:r>
                </w:p>
              </w:tc>
              <w:tc>
                <w:tcPr>
                  <w:tcW w:w="1356"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厂区总排口</w:t>
                  </w:r>
                </w:p>
              </w:tc>
              <w:tc>
                <w:tcPr>
                  <w:tcW w:w="2009" w:type="pct"/>
                  <w:vAlign w:val="center"/>
                </w:tcPr>
                <w:p>
                  <w:pPr>
                    <w:autoSpaceDE w:val="0"/>
                    <w:autoSpaceDN w:val="0"/>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pH、</w:t>
                  </w:r>
                  <w:r>
                    <w:rPr>
                      <w:color w:val="000000" w:themeColor="text1"/>
                      <w:kern w:val="0"/>
                      <w:szCs w:val="21"/>
                      <w:highlight w:val="none"/>
                      <w14:textFill>
                        <w14:solidFill>
                          <w14:schemeClr w14:val="tx1"/>
                        </w14:solidFill>
                      </w14:textFill>
                    </w:rPr>
                    <w:t>COD、BOD</w:t>
                  </w:r>
                  <w:r>
                    <w:rPr>
                      <w:color w:val="000000" w:themeColor="text1"/>
                      <w:kern w:val="0"/>
                      <w:sz w:val="14"/>
                      <w:szCs w:val="14"/>
                      <w:highlight w:val="none"/>
                      <w14:textFill>
                        <w14:solidFill>
                          <w14:schemeClr w14:val="tx1"/>
                        </w14:solidFill>
                      </w14:textFill>
                    </w:rPr>
                    <w:t>5</w:t>
                  </w:r>
                  <w:r>
                    <w:rPr>
                      <w:color w:val="000000" w:themeColor="text1"/>
                      <w:kern w:val="0"/>
                      <w:szCs w:val="21"/>
                      <w:highlight w:val="none"/>
                      <w14:textFill>
                        <w14:solidFill>
                          <w14:schemeClr w14:val="tx1"/>
                        </w14:solidFill>
                      </w14:textFill>
                    </w:rPr>
                    <w:t>、NH</w:t>
                  </w:r>
                  <w:r>
                    <w:rPr>
                      <w:color w:val="000000" w:themeColor="text1"/>
                      <w:kern w:val="0"/>
                      <w:sz w:val="14"/>
                      <w:szCs w:val="14"/>
                      <w:highlight w:val="none"/>
                      <w14:textFill>
                        <w14:solidFill>
                          <w14:schemeClr w14:val="tx1"/>
                        </w14:solidFill>
                      </w14:textFill>
                    </w:rPr>
                    <w:t>3</w:t>
                  </w:r>
                  <w:r>
                    <w:rPr>
                      <w:color w:val="000000" w:themeColor="text1"/>
                      <w:kern w:val="0"/>
                      <w:szCs w:val="21"/>
                      <w:highlight w:val="none"/>
                      <w14:textFill>
                        <w14:solidFill>
                          <w14:schemeClr w14:val="tx1"/>
                        </w14:solidFill>
                      </w14:textFill>
                    </w:rPr>
                    <w:t>-N、SS</w:t>
                  </w:r>
                </w:p>
              </w:tc>
              <w:tc>
                <w:tcPr>
                  <w:tcW w:w="60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62"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671"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w:t>
                  </w:r>
                </w:p>
              </w:tc>
              <w:tc>
                <w:tcPr>
                  <w:tcW w:w="1356"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厂界</w:t>
                  </w:r>
                </w:p>
              </w:tc>
              <w:tc>
                <w:tcPr>
                  <w:tcW w:w="2009" w:type="pct"/>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等效连续</w:t>
                  </w:r>
                  <w:r>
                    <w:rPr>
                      <w:color w:val="000000" w:themeColor="text1"/>
                      <w:spacing w:val="-46"/>
                      <w:szCs w:val="21"/>
                      <w:highlight w:val="none"/>
                      <w14:textFill>
                        <w14:solidFill>
                          <w14:schemeClr w14:val="tx1"/>
                        </w14:solidFill>
                      </w14:textFill>
                    </w:rPr>
                    <w:t xml:space="preserve"> </w:t>
                  </w:r>
                  <w:r>
                    <w:rPr>
                      <w:rFonts w:eastAsia="Times New Roman"/>
                      <w:color w:val="000000" w:themeColor="text1"/>
                      <w:szCs w:val="21"/>
                      <w:highlight w:val="none"/>
                      <w14:textFill>
                        <w14:solidFill>
                          <w14:schemeClr w14:val="tx1"/>
                        </w14:solidFill>
                      </w14:textFill>
                    </w:rPr>
                    <w:t>A</w:t>
                  </w:r>
                  <w:r>
                    <w:rPr>
                      <w:rFonts w:eastAsia="Times New Roman"/>
                      <w:color w:val="000000" w:themeColor="text1"/>
                      <w:spacing w:val="-10"/>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声级</w:t>
                  </w:r>
                </w:p>
              </w:tc>
              <w:tc>
                <w:tcPr>
                  <w:tcW w:w="600" w:type="pct"/>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次/</w:t>
                  </w:r>
                  <w:r>
                    <w:rPr>
                      <w:rFonts w:hint="eastAsia"/>
                      <w:color w:val="000000" w:themeColor="text1"/>
                      <w:szCs w:val="21"/>
                      <w:highlight w:val="none"/>
                      <w14:textFill>
                        <w14:solidFill>
                          <w14:schemeClr w14:val="tx1"/>
                        </w14:solidFill>
                      </w14:textFill>
                    </w:rPr>
                    <w:t>季</w:t>
                  </w:r>
                </w:p>
              </w:tc>
            </w:tr>
          </w:tbl>
          <w:p>
            <w:pPr>
              <w:pStyle w:val="282"/>
              <w:spacing w:line="360" w:lineRule="auto"/>
              <w:ind w:firstLine="602"/>
              <w:rPr>
                <w:b/>
                <w:color w:val="000000" w:themeColor="text1"/>
                <w:sz w:val="30"/>
                <w:szCs w:val="30"/>
                <w:highlight w:val="none"/>
                <w14:textFill>
                  <w14:solidFill>
                    <w14:schemeClr w14:val="tx1"/>
                  </w14:solidFill>
                </w14:textFill>
              </w:rPr>
            </w:pPr>
          </w:p>
        </w:tc>
      </w:tr>
    </w:tbl>
    <w:p>
      <w:pPr>
        <w:adjustRightInd w:val="0"/>
        <w:snapToGrid w:val="0"/>
        <w:spacing w:line="360" w:lineRule="auto"/>
        <w:ind w:firstLine="562"/>
        <w:rPr>
          <w:b/>
          <w:color w:val="000000" w:themeColor="text1"/>
          <w:kern w:val="0"/>
          <w:sz w:val="28"/>
          <w:szCs w:val="28"/>
          <w:highlight w:val="none"/>
          <w14:textFill>
            <w14:solidFill>
              <w14:schemeClr w14:val="tx1"/>
            </w14:solidFill>
          </w14:textFill>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pStyle w:val="24"/>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五、</w:t>
      </w:r>
      <w:bookmarkStart w:id="8"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8"/>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45" w:type="dxa"/>
          <w:bottom w:w="0" w:type="dxa"/>
          <w:right w:w="45" w:type="dxa"/>
        </w:tblCellMar>
      </w:tblPr>
      <w:tblGrid>
        <w:gridCol w:w="1094"/>
        <w:gridCol w:w="1397"/>
        <w:gridCol w:w="1280"/>
        <w:gridCol w:w="2331"/>
        <w:gridCol w:w="26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tcBorders>
              <w:tl2br w:val="single" w:color="auto" w:sz="4" w:space="0"/>
            </w:tcBorders>
          </w:tcPr>
          <w:p>
            <w:pPr>
              <w:adjustRightInd w:val="0"/>
              <w:snapToGrid w:val="0"/>
              <w:ind w:firstLine="525" w:firstLineChars="25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内容</w:t>
            </w:r>
          </w:p>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要素</w:t>
            </w:r>
          </w:p>
        </w:tc>
        <w:tc>
          <w:tcPr>
            <w:tcW w:w="1397"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排放口(编号、名称)/污染源</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w:t>
            </w:r>
          </w:p>
        </w:tc>
        <w:tc>
          <w:tcPr>
            <w:tcW w:w="2331"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环境保护措施</w:t>
            </w:r>
          </w:p>
        </w:tc>
        <w:tc>
          <w:tcPr>
            <w:tcW w:w="2698"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1" w:hRule="atLeast"/>
          <w:jc w:val="center"/>
        </w:trPr>
        <w:tc>
          <w:tcPr>
            <w:tcW w:w="1094" w:type="dxa"/>
            <w:vMerge w:val="restart"/>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1397" w:type="dxa"/>
            <w:vAlign w:val="center"/>
          </w:tcPr>
          <w:p>
            <w:pPr>
              <w:adjustRightInd w:val="0"/>
              <w:spacing w:line="320" w:lineRule="exact"/>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木工区废气</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DA001</w:t>
            </w:r>
            <w:r>
              <w:rPr>
                <w:rFonts w:hint="eastAsia"/>
                <w:color w:val="000000" w:themeColor="text1"/>
                <w:szCs w:val="21"/>
                <w:highlight w:val="none"/>
                <w14:textFill>
                  <w14:solidFill>
                    <w14:schemeClr w14:val="tx1"/>
                  </w14:solidFill>
                </w14:textFill>
              </w:rPr>
              <w:t>）</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2331" w:type="dxa"/>
            <w:vAlign w:val="center"/>
          </w:tcPr>
          <w:p>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在1F精锯、砂光等产生粉尘颗粒物的设备上方及3F砂光设备上方</w:t>
            </w:r>
            <w:r>
              <w:rPr>
                <w:color w:val="000000" w:themeColor="text1"/>
                <w:highlight w:val="none"/>
                <w14:textFill>
                  <w14:solidFill>
                    <w14:schemeClr w14:val="tx1"/>
                  </w14:solidFill>
                </w14:textFill>
              </w:rPr>
              <w:t>设置</w:t>
            </w:r>
            <w:r>
              <w:rPr>
                <w:rFonts w:hint="eastAsia"/>
                <w:color w:val="000000" w:themeColor="text1"/>
                <w:highlight w:val="none"/>
                <w14:textFill>
                  <w14:solidFill>
                    <w14:schemeClr w14:val="tx1"/>
                  </w14:solidFill>
                </w14:textFill>
              </w:rPr>
              <w:t>集气罩</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集中收集的木工</w:t>
            </w:r>
            <w:r>
              <w:rPr>
                <w:rFonts w:hint="eastAsia"/>
                <w:color w:val="000000" w:themeColor="text1"/>
                <w:highlight w:val="none"/>
                <w:lang w:eastAsia="zh-CN"/>
                <w14:textFill>
                  <w14:solidFill>
                    <w14:schemeClr w14:val="tx1"/>
                  </w14:solidFill>
                </w14:textFill>
              </w:rPr>
              <w:t>区</w:t>
            </w:r>
            <w:r>
              <w:rPr>
                <w:rFonts w:hint="eastAsia"/>
                <w:color w:val="000000" w:themeColor="text1"/>
                <w:highlight w:val="none"/>
                <w14:textFill>
                  <w14:solidFill>
                    <w14:schemeClr w14:val="tx1"/>
                  </w14:solidFill>
                </w14:textFill>
              </w:rPr>
              <w:t>废气通过1套中央除尘器（布袋除尘设施）处理后有组织排放，通过1根</w:t>
            </w:r>
            <w:r>
              <w:rPr>
                <w:color w:val="000000" w:themeColor="text1"/>
                <w:highlight w:val="none"/>
                <w14:textFill>
                  <w14:solidFill>
                    <w14:schemeClr w14:val="tx1"/>
                  </w14:solidFill>
                </w14:textFill>
              </w:rPr>
              <w:t>15m高排气筒排放</w:t>
            </w:r>
          </w:p>
        </w:tc>
        <w:tc>
          <w:tcPr>
            <w:tcW w:w="2698" w:type="dxa"/>
            <w:vAlign w:val="center"/>
          </w:tcPr>
          <w:p>
            <w:pPr>
              <w:adjustRightInd w:val="0"/>
              <w:snapToGrid w:val="0"/>
              <w:jc w:val="both"/>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有组织及厂界无组织执行</w:t>
            </w:r>
            <w:r>
              <w:rPr>
                <w:color w:val="000000" w:themeColor="text1"/>
                <w:kern w:val="0"/>
                <w:szCs w:val="21"/>
                <w:highlight w:val="none"/>
                <w14:textFill>
                  <w14:solidFill>
                    <w14:schemeClr w14:val="tx1"/>
                  </w14:solidFill>
                </w14:textFill>
              </w:rPr>
              <w:t>《大气污染物综合排放标准》(GB16297-1996)表2</w:t>
            </w:r>
            <w:r>
              <w:rPr>
                <w:rFonts w:hint="eastAsia"/>
                <w:color w:val="000000" w:themeColor="text1"/>
                <w:kern w:val="0"/>
                <w:szCs w:val="21"/>
                <w:highlight w:val="none"/>
                <w14:textFill>
                  <w14:solidFill>
                    <w14:schemeClr w14:val="tx1"/>
                  </w14:solidFill>
                </w14:textFill>
              </w:rPr>
              <w:t>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7"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调漆喷漆及烘干工序有机废气（</w:t>
            </w:r>
            <w:r>
              <w:rPr>
                <w:color w:val="000000" w:themeColor="text1"/>
                <w:szCs w:val="21"/>
                <w:highlight w:val="none"/>
                <w14:textFill>
                  <w14:solidFill>
                    <w14:schemeClr w14:val="tx1"/>
                  </w14:solidFill>
                </w14:textFill>
              </w:rPr>
              <w:t>DA00</w:t>
            </w:r>
            <w:r>
              <w:rPr>
                <w:rFonts w:hint="eastAsia"/>
                <w:color w:val="000000" w:themeColor="text1"/>
                <w:szCs w:val="21"/>
                <w:highlight w:val="none"/>
                <w14:textFill>
                  <w14:solidFill>
                    <w14:schemeClr w14:val="tx1"/>
                  </w14:solidFill>
                </w14:textFill>
              </w:rPr>
              <w:t>2）</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颗粒物、非甲烷总烃、二甲苯</w:t>
            </w:r>
          </w:p>
        </w:tc>
        <w:tc>
          <w:tcPr>
            <w:tcW w:w="2331" w:type="dxa"/>
            <w:vAlign w:val="center"/>
          </w:tcPr>
          <w:p>
            <w:pPr>
              <w:pStyle w:val="95"/>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设置相对独立的调漆喷漆及烘干区域，调漆喷漆废气经水帘柜除漆雾后，同烘干工序有机废气</w:t>
            </w:r>
            <w:r>
              <w:rPr>
                <w:rFonts w:hint="eastAsia"/>
                <w:color w:val="000000" w:themeColor="text1"/>
                <w:highlight w:val="none"/>
                <w:lang w:eastAsia="zh-CN"/>
                <w14:textFill>
                  <w14:solidFill>
                    <w14:schemeClr w14:val="tx1"/>
                  </w14:solidFill>
                </w14:textFill>
              </w:rPr>
              <w:t>汇集</w:t>
            </w:r>
            <w:r>
              <w:rPr>
                <w:rFonts w:hint="eastAsia"/>
                <w:color w:val="000000" w:themeColor="text1"/>
                <w:highlight w:val="none"/>
                <w14:textFill>
                  <w14:solidFill>
                    <w14:schemeClr w14:val="tx1"/>
                  </w14:solidFill>
                </w14:textFill>
              </w:rPr>
              <w:t>一同经1套“水喷淋+二级活性炭吸附”设备处理后有组织排放，通过1根</w:t>
            </w:r>
            <w:r>
              <w:rPr>
                <w:color w:val="000000" w:themeColor="text1"/>
                <w:highlight w:val="none"/>
                <w14:textFill>
                  <w14:solidFill>
                    <w14:schemeClr w14:val="tx1"/>
                  </w14:solidFill>
                </w14:textFill>
              </w:rPr>
              <w:t>15m高排气筒排放</w:t>
            </w:r>
          </w:p>
        </w:tc>
        <w:tc>
          <w:tcPr>
            <w:tcW w:w="2698" w:type="dxa"/>
            <w:vAlign w:val="center"/>
          </w:tcPr>
          <w:p>
            <w:pPr>
              <w:adjustRightInd w:val="0"/>
              <w:snapToGrid w:val="0"/>
              <w:jc w:val="center"/>
              <w:rPr>
                <w:bCs/>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非甲烷总烃、二甲苯有组织及厂界无组织执行</w:t>
            </w:r>
            <w:r>
              <w:rPr>
                <w:rFonts w:hint="eastAsia"/>
                <w:color w:val="000000" w:themeColor="text1"/>
                <w:highlight w:val="none"/>
                <w14:textFill>
                  <w14:solidFill>
                    <w14:schemeClr w14:val="tx1"/>
                  </w14:solidFill>
                </w14:textFill>
              </w:rPr>
              <w:t>《工业涂装工序挥发性有机物排放标准》(DB35/1783-2018)表1、表4中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厂区内无组织执行《挥发性有机物无组织排放控制标准》（GB37822-2019）附录A的表A.1中特别排放限值；颗粒物有组织及厂界无组织执行</w:t>
            </w:r>
            <w:r>
              <w:rPr>
                <w:color w:val="000000" w:themeColor="text1"/>
                <w:kern w:val="0"/>
                <w:szCs w:val="21"/>
                <w:highlight w:val="none"/>
                <w14:textFill>
                  <w14:solidFill>
                    <w14:schemeClr w14:val="tx1"/>
                  </w14:solidFill>
                </w14:textFill>
              </w:rPr>
              <w:t>《大气污染物综合排放标准》(GB16297-1996)表2</w:t>
            </w:r>
            <w:r>
              <w:rPr>
                <w:rFonts w:hint="eastAsia"/>
                <w:color w:val="000000" w:themeColor="text1"/>
                <w:kern w:val="0"/>
                <w:szCs w:val="21"/>
                <w:highlight w:val="none"/>
                <w14:textFill>
                  <w14:solidFill>
                    <w14:schemeClr w14:val="tx1"/>
                  </w14:solidFill>
                </w14:textFill>
              </w:rPr>
              <w:t>中</w:t>
            </w:r>
            <w:r>
              <w:rPr>
                <w:bCs/>
                <w:color w:val="000000" w:themeColor="text1"/>
                <w:szCs w:val="20"/>
                <w:highlight w:val="none"/>
                <w14:textFill>
                  <w14:solidFill>
                    <w14:schemeClr w14:val="tx1"/>
                  </w14:solidFill>
                </w14:textFill>
              </w:rPr>
              <w:t>相应标准值</w:t>
            </w:r>
            <w:r>
              <w:rPr>
                <w:rFonts w:hint="eastAsia"/>
                <w:bCs/>
                <w:color w:val="000000" w:themeColor="text1"/>
                <w:szCs w:val="20"/>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Merge w:val="continue"/>
            <w:vAlign w:val="center"/>
          </w:tcPr>
          <w:p>
            <w:pPr>
              <w:adjustRightInd w:val="0"/>
              <w:snapToGrid w:val="0"/>
              <w:jc w:val="center"/>
              <w:rPr>
                <w:color w:val="000000" w:themeColor="text1"/>
                <w:szCs w:val="21"/>
                <w:highlight w:val="none"/>
                <w14:textFill>
                  <w14:solidFill>
                    <w14:schemeClr w14:val="tx1"/>
                  </w14:solidFill>
                </w14:textFill>
              </w:rPr>
            </w:pPr>
          </w:p>
        </w:tc>
        <w:tc>
          <w:tcPr>
            <w:tcW w:w="1397"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打磨区废气</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2331" w:type="dxa"/>
            <w:vAlign w:val="center"/>
          </w:tcPr>
          <w:p>
            <w:pPr>
              <w:pStyle w:val="35"/>
              <w:spacing w:line="240" w:lineRule="auto"/>
              <w:ind w:firstLine="0" w:firstLineChars="0"/>
              <w:rPr>
                <w:color w:val="000000" w:themeColor="text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设置环保喷淋打磨房，打磨粉尘经密闭打磨房内水除尘系统除尘后，少量颗粒物在车间内无组织排放；定期清扫车间地面粉尘</w:t>
            </w:r>
          </w:p>
        </w:tc>
        <w:tc>
          <w:tcPr>
            <w:tcW w:w="2698" w:type="dxa"/>
            <w:vAlign w:val="center"/>
          </w:tcPr>
          <w:p>
            <w:pPr>
              <w:adjustRightInd w:val="0"/>
              <w:snapToGrid w:val="0"/>
              <w:jc w:val="both"/>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厂界无组织排放执行</w:t>
            </w:r>
            <w:r>
              <w:rPr>
                <w:color w:val="000000" w:themeColor="text1"/>
                <w:kern w:val="0"/>
                <w:szCs w:val="21"/>
                <w:highlight w:val="none"/>
                <w14:textFill>
                  <w14:solidFill>
                    <w14:schemeClr w14:val="tx1"/>
                  </w14:solidFill>
                </w14:textFill>
              </w:rPr>
              <w:t>《大气污染物综合排放标准》(GB16297-1996)表2</w:t>
            </w:r>
            <w:r>
              <w:rPr>
                <w:rFonts w:hint="eastAsia"/>
                <w:color w:val="000000" w:themeColor="text1"/>
                <w:kern w:val="0"/>
                <w:szCs w:val="21"/>
                <w:highlight w:val="none"/>
                <w14:textFill>
                  <w14:solidFill>
                    <w14:schemeClr w14:val="tx1"/>
                  </w14:solidFill>
                </w14:textFill>
              </w:rPr>
              <w:t>中企业边界浓度限值</w:t>
            </w:r>
            <w:r>
              <w:rPr>
                <w:color w:val="000000" w:themeColor="text1"/>
                <w:kern w:val="0"/>
                <w:szCs w:val="21"/>
                <w:highlight w:val="none"/>
                <w14:textFill>
                  <w14:solidFill>
                    <w14:schemeClr w14:val="tx1"/>
                  </w14:solidFill>
                </w14:textFill>
              </w:rPr>
              <w:t>标准值</w:t>
            </w:r>
            <w:r>
              <w:rPr>
                <w:rFonts w:hint="eastAsia"/>
                <w:color w:val="000000" w:themeColor="text1"/>
                <w:kern w:val="0"/>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水环境</w:t>
            </w:r>
          </w:p>
        </w:tc>
        <w:tc>
          <w:tcPr>
            <w:tcW w:w="1397" w:type="dxa"/>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园区综合废水排放口</w:t>
            </w:r>
          </w:p>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（DW001）</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COD、BOD</w:t>
            </w:r>
            <w:r>
              <w:rPr>
                <w:color w:val="000000" w:themeColor="text1"/>
                <w:szCs w:val="21"/>
                <w:highlight w:val="none"/>
                <w:vertAlign w:val="subscript"/>
                <w14:textFill>
                  <w14:solidFill>
                    <w14:schemeClr w14:val="tx1"/>
                  </w14:solidFill>
                </w14:textFill>
              </w:rPr>
              <w:t>5</w:t>
            </w:r>
            <w:r>
              <w:rPr>
                <w:color w:val="000000" w:themeColor="text1"/>
                <w:szCs w:val="21"/>
                <w:highlight w:val="none"/>
                <w14:textFill>
                  <w14:solidFill>
                    <w14:schemeClr w14:val="tx1"/>
                  </w14:solidFill>
                </w14:textFill>
              </w:rPr>
              <w:t>、SS、NH</w:t>
            </w:r>
            <w:r>
              <w:rPr>
                <w:color w:val="000000" w:themeColor="text1"/>
                <w:szCs w:val="21"/>
                <w:highlight w:val="none"/>
                <w:vertAlign w:val="subscript"/>
                <w14:textFill>
                  <w14:solidFill>
                    <w14:schemeClr w14:val="tx1"/>
                  </w14:solidFill>
                </w14:textFill>
              </w:rPr>
              <w:t>3</w:t>
            </w:r>
            <w:r>
              <w:rPr>
                <w:color w:val="000000" w:themeColor="text1"/>
                <w:szCs w:val="21"/>
                <w:highlight w:val="none"/>
                <w14:textFill>
                  <w14:solidFill>
                    <w14:schemeClr w14:val="tx1"/>
                  </w14:solidFill>
                </w14:textFill>
              </w:rPr>
              <w:t>-N</w:t>
            </w:r>
          </w:p>
        </w:tc>
        <w:tc>
          <w:tcPr>
            <w:tcW w:w="2331" w:type="dxa"/>
            <w:vAlign w:val="center"/>
          </w:tcPr>
          <w:p>
            <w:pPr>
              <w:pStyle w:val="58"/>
              <w:spacing w:before="24" w:after="24"/>
              <w:jc w:val="both"/>
              <w:rPr>
                <w:rFonts w:ascii="Times New Roman"/>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生活污水经</w:t>
            </w:r>
            <w:r>
              <w:rPr>
                <w:rFonts w:hint="eastAsia"/>
                <w:color w:val="000000" w:themeColor="text1"/>
                <w:szCs w:val="21"/>
                <w:highlight w:val="none"/>
                <w14:textFill>
                  <w14:solidFill>
                    <w14:schemeClr w14:val="tx1"/>
                  </w14:solidFill>
                </w14:textFill>
              </w:rPr>
              <w:t>园区</w:t>
            </w:r>
            <w:r>
              <w:rPr>
                <w:color w:val="000000" w:themeColor="text1"/>
                <w:szCs w:val="21"/>
                <w:highlight w:val="none"/>
                <w14:textFill>
                  <w14:solidFill>
                    <w14:schemeClr w14:val="tx1"/>
                  </w14:solidFill>
                </w14:textFill>
              </w:rPr>
              <w:t>已建的化粪池</w:t>
            </w:r>
            <w:r>
              <w:rPr>
                <w:rFonts w:hint="eastAsia"/>
                <w:color w:val="000000" w:themeColor="text1"/>
                <w:szCs w:val="21"/>
                <w:highlight w:val="none"/>
                <w14:textFill>
                  <w14:solidFill>
                    <w14:schemeClr w14:val="tx1"/>
                  </w14:solidFill>
                </w14:textFill>
              </w:rPr>
              <w:t>预</w:t>
            </w:r>
            <w:r>
              <w:rPr>
                <w:color w:val="000000" w:themeColor="text1"/>
                <w:szCs w:val="21"/>
                <w:highlight w:val="none"/>
                <w14:textFill>
                  <w14:solidFill>
                    <w14:schemeClr w14:val="tx1"/>
                  </w14:solidFill>
                </w14:textFill>
              </w:rPr>
              <w:t>处理达标后接入市政管网</w:t>
            </w:r>
            <w:r>
              <w:rPr>
                <w:rFonts w:hint="eastAsia"/>
                <w:color w:val="000000" w:themeColor="text1"/>
                <w:szCs w:val="21"/>
                <w:highlight w:val="none"/>
                <w14:textFill>
                  <w14:solidFill>
                    <w14:schemeClr w14:val="tx1"/>
                  </w14:solidFill>
                </w14:textFill>
              </w:rPr>
              <w:t>，最终排入福清市融元</w:t>
            </w:r>
            <w:r>
              <w:rPr>
                <w:color w:val="000000" w:themeColor="text1"/>
                <w:szCs w:val="21"/>
                <w:highlight w:val="none"/>
                <w14:textFill>
                  <w14:solidFill>
                    <w14:schemeClr w14:val="tx1"/>
                  </w14:solidFill>
                </w14:textFill>
              </w:rPr>
              <w:t>污水处理厂</w:t>
            </w:r>
            <w:r>
              <w:rPr>
                <w:rFonts w:hint="eastAsia"/>
                <w:color w:val="000000" w:themeColor="text1"/>
                <w:szCs w:val="21"/>
                <w:highlight w:val="none"/>
                <w14:textFill>
                  <w14:solidFill>
                    <w14:schemeClr w14:val="tx1"/>
                  </w14:solidFill>
                </w14:textFill>
              </w:rPr>
              <w:t>处理</w:t>
            </w:r>
          </w:p>
        </w:tc>
        <w:tc>
          <w:tcPr>
            <w:tcW w:w="2698" w:type="dxa"/>
            <w:vAlign w:val="center"/>
          </w:tcPr>
          <w:p>
            <w:pPr>
              <w:adjustRightInd w:val="0"/>
              <w:snapToGrid w:val="0"/>
              <w:jc w:val="both"/>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《污水综合排放标准》（GB8978-1996）表4中三级标准要求（其中氨氮参照《污水排入城市下水道水质标准》(GB/T31962-2015)B级标准执行）</w:t>
            </w:r>
            <w:r>
              <w:rPr>
                <w:rFonts w:hint="eastAsia"/>
                <w:color w:val="000000" w:themeColor="text1"/>
                <w:kern w:val="0"/>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1397"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机械设备噪声</w:t>
            </w:r>
          </w:p>
        </w:tc>
        <w:tc>
          <w:tcPr>
            <w:tcW w:w="1280"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生产噪声（L</w:t>
            </w:r>
            <w:r>
              <w:rPr>
                <w:color w:val="000000" w:themeColor="text1"/>
                <w:szCs w:val="21"/>
                <w:highlight w:val="none"/>
                <w:vertAlign w:val="subscript"/>
                <w14:textFill>
                  <w14:solidFill>
                    <w14:schemeClr w14:val="tx1"/>
                  </w14:solidFill>
                </w14:textFill>
              </w:rPr>
              <w:t>eq</w:t>
            </w:r>
            <w:r>
              <w:rPr>
                <w:color w:val="000000" w:themeColor="text1"/>
                <w:szCs w:val="21"/>
                <w:highlight w:val="none"/>
                <w14:textFill>
                  <w14:solidFill>
                    <w14:schemeClr w14:val="tx1"/>
                  </w14:solidFill>
                </w14:textFill>
              </w:rPr>
              <w:t>）</w:t>
            </w:r>
          </w:p>
        </w:tc>
        <w:tc>
          <w:tcPr>
            <w:tcW w:w="2331" w:type="dxa"/>
            <w:vAlign w:val="center"/>
          </w:tcPr>
          <w:p>
            <w:pPr>
              <w:pStyle w:val="58"/>
              <w:spacing w:before="24" w:after="24"/>
              <w:jc w:val="both"/>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1、选用低噪声级设备；</w:t>
            </w:r>
          </w:p>
          <w:p>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2、采用设备减振、厂房隔声等措施。</w:t>
            </w:r>
          </w:p>
        </w:tc>
        <w:tc>
          <w:tcPr>
            <w:tcW w:w="2698" w:type="dxa"/>
            <w:vAlign w:val="center"/>
          </w:tcPr>
          <w:p>
            <w:pPr>
              <w:pStyle w:val="58"/>
              <w:spacing w:before="24" w:after="24"/>
              <w:jc w:val="both"/>
              <w:rPr>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各厂界噪声达到《工业企业厂界环境噪声排放标准》（GB12348-2008）中</w:t>
            </w:r>
            <w:r>
              <w:rPr>
                <w:rFonts w:hint="eastAsia" w:ascii="Times New Roman"/>
                <w:color w:val="000000" w:themeColor="text1"/>
                <w:szCs w:val="21"/>
                <w:highlight w:val="none"/>
                <w14:textFill>
                  <w14:solidFill>
                    <w14:schemeClr w14:val="tx1"/>
                  </w14:solidFill>
                </w14:textFill>
              </w:rPr>
              <w:t>3类</w:t>
            </w:r>
            <w:r>
              <w:rPr>
                <w:rFonts w:ascii="Times New Roman"/>
                <w:color w:val="000000" w:themeColor="text1"/>
                <w:szCs w:val="21"/>
                <w:highlight w:val="none"/>
                <w14:textFill>
                  <w14:solidFill>
                    <w14:schemeClr w14:val="tx1"/>
                  </w14:solidFill>
                </w14:textFill>
              </w:rPr>
              <w:t>标准</w:t>
            </w:r>
            <w:r>
              <w:rPr>
                <w:rFonts w:hint="eastAsia" w:ascii="Times New Roman"/>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264"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电磁辐射</w:t>
            </w:r>
          </w:p>
        </w:tc>
        <w:tc>
          <w:tcPr>
            <w:tcW w:w="7706" w:type="dxa"/>
            <w:gridSpan w:val="4"/>
            <w:vAlign w:val="center"/>
          </w:tcPr>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07"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固体废物</w:t>
            </w:r>
          </w:p>
        </w:tc>
        <w:tc>
          <w:tcPr>
            <w:tcW w:w="7706" w:type="dxa"/>
            <w:gridSpan w:val="4"/>
            <w:vAlign w:val="center"/>
          </w:tcPr>
          <w:p>
            <w:pPr>
              <w:pStyle w:val="95"/>
              <w:adjustRightInd w:val="0"/>
              <w:snapToGrid w:val="0"/>
              <w:jc w:val="left"/>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1、一般生产固废收集后外售综合利用。</w:t>
            </w:r>
          </w:p>
          <w:p>
            <w:pPr>
              <w:pStyle w:val="98"/>
              <w:spacing w:line="240" w:lineRule="auto"/>
              <w:ind w:firstLine="0" w:firstLineChars="0"/>
              <w:jc w:val="both"/>
              <w:rPr>
                <w:color w:val="000000" w:themeColor="text1"/>
                <w:kern w:val="2"/>
                <w:highlight w:val="none"/>
                <w14:textFill>
                  <w14:solidFill>
                    <w14:schemeClr w14:val="tx1"/>
                  </w14:solidFill>
                </w14:textFill>
              </w:rPr>
            </w:pPr>
            <w:r>
              <w:rPr>
                <w:color w:val="000000" w:themeColor="text1"/>
                <w:kern w:val="2"/>
                <w:highlight w:val="none"/>
                <w14:textFill>
                  <w14:solidFill>
                    <w14:schemeClr w14:val="tx1"/>
                  </w14:solidFill>
                </w14:textFill>
              </w:rPr>
              <w:t>2、生活垃圾委托环卫部门每日清运。</w:t>
            </w:r>
          </w:p>
          <w:p>
            <w:pPr>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3、危险废物收集后暂存危废间，并委托有资质单位处置。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718"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土壤及地下水污染防治措施</w:t>
            </w:r>
          </w:p>
        </w:tc>
        <w:tc>
          <w:tcPr>
            <w:tcW w:w="7706" w:type="dxa"/>
            <w:gridSpan w:val="4"/>
            <w:vAlign w:val="center"/>
          </w:tcPr>
          <w:p>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厂房地面硬化，厂区雨污分流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61"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生态保护措施</w:t>
            </w:r>
          </w:p>
        </w:tc>
        <w:tc>
          <w:tcPr>
            <w:tcW w:w="7706" w:type="dxa"/>
            <w:gridSpan w:val="4"/>
            <w:vAlign w:val="center"/>
          </w:tcPr>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276" w:hRule="atLeast"/>
          <w:jc w:val="center"/>
        </w:trPr>
        <w:tc>
          <w:tcPr>
            <w:tcW w:w="1094" w:type="dxa"/>
            <w:vAlign w:val="center"/>
          </w:tcPr>
          <w:p>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环境风险</w:t>
            </w:r>
          </w:p>
          <w:p>
            <w:pPr>
              <w:adjustRightInd w:val="0"/>
              <w:snapToGrid w:val="0"/>
              <w:jc w:val="center"/>
              <w:rPr>
                <w:color w:val="000000" w:themeColor="text1"/>
                <w:spacing w:val="-8"/>
                <w:szCs w:val="21"/>
                <w:highlight w:val="none"/>
                <w14:textFill>
                  <w14:solidFill>
                    <w14:schemeClr w14:val="tx1"/>
                  </w14:solidFill>
                </w14:textFill>
              </w:rPr>
            </w:pPr>
            <w:r>
              <w:rPr>
                <w:color w:val="000000" w:themeColor="text1"/>
                <w:spacing w:val="-8"/>
                <w:szCs w:val="21"/>
                <w:highlight w:val="none"/>
                <w14:textFill>
                  <w14:solidFill>
                    <w14:schemeClr w14:val="tx1"/>
                  </w14:solidFill>
                </w14:textFill>
              </w:rPr>
              <w:t>防范措施</w:t>
            </w:r>
          </w:p>
        </w:tc>
        <w:tc>
          <w:tcPr>
            <w:tcW w:w="7706" w:type="dxa"/>
            <w:gridSpan w:val="4"/>
            <w:vAlign w:val="center"/>
          </w:tcPr>
          <w:p>
            <w:pPr>
              <w:adjustRightInd w:val="0"/>
              <w:snapToGrid w:val="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1094" w:type="dxa"/>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其他环境</w:t>
            </w:r>
          </w:p>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管理要求</w:t>
            </w:r>
          </w:p>
        </w:tc>
        <w:tc>
          <w:tcPr>
            <w:tcW w:w="7706" w:type="dxa"/>
            <w:gridSpan w:val="4"/>
            <w:vAlign w:val="center"/>
          </w:tcPr>
          <w:p>
            <w:pPr>
              <w:adjustRightInd w:val="0"/>
              <w:snapToGrid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、设立专门的环保机构，配备专职环保工作人员。</w:t>
            </w:r>
          </w:p>
          <w:p>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2、建立日常环境管理制度和环境管理工作计划。</w:t>
            </w:r>
          </w:p>
          <w:p>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、加强环保设施运行管理维护，建立环保设施运行台账，确保环保设施正常运行及污染物稳定达标排放。</w:t>
            </w:r>
          </w:p>
          <w:p>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4、</w:t>
            </w:r>
            <w:r>
              <w:rPr>
                <w:rFonts w:ascii="Times New Roman" w:hAnsi="Times New Roman" w:eastAsia="宋体" w:cs="Times New Roman"/>
                <w:color w:val="000000" w:themeColor="text1"/>
                <w:szCs w:val="21"/>
                <w:highlight w:val="none"/>
                <w14:textFill>
                  <w14:solidFill>
                    <w14:schemeClr w14:val="tx1"/>
                  </w14:solidFill>
                </w14:textFill>
              </w:rPr>
              <w:t>落实</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三同时</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制度</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完成项目竣工验收</w:t>
            </w:r>
            <w:r>
              <w:rPr>
                <w:rFonts w:hint="eastAsia" w:ascii="Times New Roman" w:hAnsi="Times New Roman" w:eastAsia="宋体" w:cs="Times New Roman"/>
                <w:color w:val="000000" w:themeColor="text1"/>
                <w:szCs w:val="21"/>
                <w:highlight w:val="none"/>
                <w14:textFill>
                  <w14:solidFill>
                    <w14:schemeClr w14:val="tx1"/>
                  </w14:solidFill>
                </w14:textFill>
              </w:rPr>
              <w:t>。</w:t>
            </w:r>
          </w:p>
          <w:p>
            <w:pPr>
              <w:adjustRightInd w:val="0"/>
              <w:snapToGrid w:val="0"/>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5、</w:t>
            </w:r>
            <w:r>
              <w:rPr>
                <w:rFonts w:hint="eastAsia" w:cs="Times New Roman"/>
                <w:color w:val="000000" w:themeColor="text1"/>
                <w:szCs w:val="21"/>
                <w:highlight w:val="none"/>
                <w:lang w:eastAsia="zh-CN"/>
                <w14:textFill>
                  <w14:solidFill>
                    <w14:schemeClr w14:val="tx1"/>
                  </w14:solidFill>
                </w14:textFill>
              </w:rPr>
              <w:t>扩建</w:t>
            </w:r>
            <w:r>
              <w:rPr>
                <w:rFonts w:hint="eastAsia" w:ascii="Times New Roman" w:hAnsi="Times New Roman" w:eastAsia="宋体" w:cs="Times New Roman"/>
                <w:color w:val="000000" w:themeColor="text1"/>
                <w:szCs w:val="21"/>
                <w:highlight w:val="none"/>
                <w14:textFill>
                  <w14:solidFill>
                    <w14:schemeClr w14:val="tx1"/>
                  </w14:solidFill>
                </w14:textFill>
              </w:rPr>
              <w:t>项目</w:t>
            </w:r>
            <w:r>
              <w:rPr>
                <w:rFonts w:ascii="Times New Roman" w:hAnsi="Times New Roman" w:eastAsia="宋体" w:cs="Times New Roman"/>
                <w:color w:val="000000" w:themeColor="text1"/>
                <w:szCs w:val="21"/>
                <w:highlight w:val="none"/>
                <w14:textFill>
                  <w14:solidFill>
                    <w14:schemeClr w14:val="tx1"/>
                  </w14:solidFill>
                </w14:textFill>
              </w:rPr>
              <w:t>排污许可证</w:t>
            </w:r>
            <w:r>
              <w:rPr>
                <w:rFonts w:hint="eastAsia" w:ascii="Times New Roman" w:hAnsi="Times New Roman" w:eastAsia="宋体" w:cs="Times New Roman"/>
                <w:color w:val="000000" w:themeColor="text1"/>
                <w:szCs w:val="21"/>
                <w:highlight w:val="none"/>
                <w14:textFill>
                  <w14:solidFill>
                    <w14:schemeClr w14:val="tx1"/>
                  </w14:solidFill>
                </w14:textFill>
              </w:rPr>
              <w:t>属于登记管理类别</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lang w:val="en-GB"/>
                <w14:textFill>
                  <w14:solidFill>
                    <w14:schemeClr w14:val="tx1"/>
                  </w14:solidFill>
                </w14:textFill>
              </w:rPr>
              <w:t>本项目在排放污染物前，建设单位应完成排污登记变更。</w:t>
            </w:r>
            <w:r>
              <w:rPr>
                <w:rFonts w:hint="eastAsia" w:ascii="Times New Roman" w:hAnsi="Times New Roman" w:eastAsia="宋体" w:cs="Times New Roman"/>
                <w:color w:val="000000" w:themeColor="text1"/>
                <w:szCs w:val="21"/>
                <w:highlight w:val="none"/>
                <w14:textFill>
                  <w14:solidFill>
                    <w14:schemeClr w14:val="tx1"/>
                  </w14:solidFill>
                </w14:textFill>
              </w:rPr>
              <w:t>实行登记管理的排污单位，不需要申请取得排污许可证，应当在全国排污许可证管理信用平台填报排污登记表，登记基本信息、污染物排放去向、执行的污染物排放标准以及采取的污染防治措施等信息。</w:t>
            </w:r>
          </w:p>
          <w:p>
            <w:pPr>
              <w:adjustRightInd w:val="0"/>
              <w:snapToGrid w:val="0"/>
              <w:rPr>
                <w:color w:val="000000" w:themeColor="text1"/>
                <w:szCs w:val="21"/>
                <w:highlight w:val="none"/>
                <w14:textFill>
                  <w14:solidFill>
                    <w14:schemeClr w14:val="tx1"/>
                  </w14:solidFill>
                </w14:textFill>
              </w:rPr>
            </w:pPr>
          </w:p>
        </w:tc>
      </w:tr>
    </w:tbl>
    <w:p>
      <w:pPr>
        <w:pStyle w:val="24"/>
        <w:jc w:val="both"/>
        <w:outlineLvl w:val="0"/>
        <w:rPr>
          <w:rFonts w:hint="eastAsia" w:ascii="Times New Roman" w:hAnsi="Times New Roman" w:eastAsia="黑体"/>
          <w:snapToGrid w:val="0"/>
          <w:color w:val="000000" w:themeColor="text1"/>
          <w:sz w:val="30"/>
          <w:szCs w:val="30"/>
          <w:highlight w:val="none"/>
          <w:lang w:eastAsia="zh-CN"/>
          <w14:textFill>
            <w14:solidFill>
              <w14:schemeClr w14:val="tx1"/>
            </w14:solidFill>
          </w14:textFill>
        </w:rPr>
      </w:pPr>
    </w:p>
    <w:p>
      <w:pPr>
        <w:pStyle w:val="24"/>
        <w:jc w:val="both"/>
        <w:outlineLvl w:val="0"/>
        <w:rPr>
          <w:color w:val="000000" w:themeColor="text1"/>
          <w:highlight w:val="none"/>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黑体"/>
          <w:snapToGrid w:val="0"/>
          <w:color w:val="000000" w:themeColor="text1"/>
          <w:sz w:val="30"/>
          <w:szCs w:val="30"/>
          <w:highlight w:val="none"/>
          <w:lang w:eastAsia="zh-CN"/>
          <w14:textFill>
            <w14:solidFill>
              <w14:schemeClr w14:val="tx1"/>
            </w14:solidFill>
          </w14:textFill>
        </w:rPr>
        <w:drawing>
          <wp:inline distT="0" distB="0" distL="114300" distR="114300">
            <wp:extent cx="5588635" cy="8279765"/>
            <wp:effectExtent l="0" t="0" r="12065" b="6985"/>
            <wp:docPr id="72" name="图片 72" descr="编制单位和编制人员情况表-扩建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编制单位和编制人员情况表-扩建_页面_3"/>
                    <pic:cNvPicPr>
                      <a:picLocks noChangeAspect="1"/>
                    </pic:cNvPicPr>
                  </pic:nvPicPr>
                  <pic:blipFill>
                    <a:blip r:embed="rId30"/>
                    <a:srcRect l="4286" r="5180" b="5226"/>
                    <a:stretch>
                      <a:fillRect/>
                    </a:stretch>
                  </pic:blipFill>
                  <pic:spPr>
                    <a:xfrm>
                      <a:off x="0" y="0"/>
                      <a:ext cx="5588635" cy="8279765"/>
                    </a:xfrm>
                    <a:prstGeom prst="rect">
                      <a:avLst/>
                    </a:prstGeom>
                  </pic:spPr>
                </pic:pic>
              </a:graphicData>
            </a:graphic>
          </wp:inline>
        </w:drawing>
      </w:r>
    </w:p>
    <w:p>
      <w:pPr>
        <w:pStyle w:val="24"/>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highlight w:val="none"/>
          <w14:textFill>
            <w14:solidFill>
              <w14:schemeClr w14:val="tx1"/>
            </w14:solidFill>
          </w14:textFill>
        </w:rPr>
      </w:pPr>
      <w:r>
        <w:rPr>
          <w:rFonts w:ascii="Times New Roman" w:hAnsi="Times New Roman" w:eastAsia="黑体"/>
          <w:snapToGrid w:val="0"/>
          <w:color w:val="000000" w:themeColor="text1"/>
          <w:sz w:val="32"/>
          <w:szCs w:val="32"/>
          <w:highlight w:val="none"/>
          <w14:textFill>
            <w14:solidFill>
              <w14:schemeClr w14:val="tx1"/>
            </w14:solidFill>
          </w14:textFill>
        </w:rPr>
        <w:t>附表</w:t>
      </w:r>
    </w:p>
    <w:p>
      <w:pPr>
        <w:pStyle w:val="24"/>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08"/>
        <w:gridCol w:w="1559"/>
        <w:gridCol w:w="1276"/>
        <w:gridCol w:w="1701"/>
        <w:gridCol w:w="1559"/>
        <w:gridCol w:w="1761"/>
        <w:gridCol w:w="1761"/>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tcBorders>
              <w:tl2br w:val="single" w:color="auto" w:sz="4" w:space="0"/>
            </w:tcBorders>
            <w:tcMar>
              <w:left w:w="28" w:type="dxa"/>
              <w:right w:w="28" w:type="dxa"/>
            </w:tcMar>
            <w:vAlign w:val="center"/>
          </w:tcPr>
          <w:p>
            <w:pPr>
              <w:pStyle w:val="58"/>
              <w:spacing w:beforeLines="0" w:afterLines="0" w:line="240" w:lineRule="auto"/>
              <w:jc w:val="righ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项目</w:t>
            </w:r>
          </w:p>
          <w:p>
            <w:pPr>
              <w:pStyle w:val="58"/>
              <w:spacing w:beforeLines="0" w:afterLines="0" w:line="240" w:lineRule="auto"/>
              <w:jc w:val="lef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分类</w:t>
            </w:r>
          </w:p>
        </w:tc>
        <w:tc>
          <w:tcPr>
            <w:tcW w:w="1808"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污染物名称</w:t>
            </w:r>
          </w:p>
        </w:tc>
        <w:tc>
          <w:tcPr>
            <w:tcW w:w="1559"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①</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276"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许可排放量</w:t>
            </w:r>
          </w:p>
          <w:p>
            <w:pPr>
              <w:pStyle w:val="58"/>
              <w:spacing w:beforeLines="0" w:afterLine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snapToGrid w:val="0"/>
                <w:color w:val="000000" w:themeColor="text1"/>
                <w:spacing w:val="-6"/>
                <w:kern w:val="21"/>
                <w:szCs w:val="21"/>
                <w:highlight w:val="none"/>
                <w14:textFill>
                  <w14:solidFill>
                    <w14:schemeClr w14:val="tx1"/>
                  </w14:solidFill>
                </w14:textFill>
              </w:rPr>
              <w:t>②</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0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在建工程</w:t>
            </w:r>
          </w:p>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③</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59"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本项目</w:t>
            </w:r>
          </w:p>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④</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6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以新带老削减量</w:t>
            </w:r>
          </w:p>
          <w:p>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(新建项目不填)</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⑤</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761"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本项目建成后</w:t>
            </w:r>
          </w:p>
          <w:p>
            <w:pPr>
              <w:pStyle w:val="58"/>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⑥</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024" w:type="dxa"/>
            <w:tcMar>
              <w:left w:w="28" w:type="dxa"/>
              <w:right w:w="28" w:type="dxa"/>
            </w:tcMar>
            <w:vAlign w:val="center"/>
          </w:tcPr>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变化量</w:t>
            </w:r>
          </w:p>
          <w:p>
            <w:pPr>
              <w:pStyle w:val="58"/>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kern w:val="2"/>
                <w:szCs w:val="21"/>
                <w:highlight w:val="none"/>
                <w14:textFill>
                  <w14:solidFill>
                    <w14:schemeClr w14:val="tx1"/>
                  </w14:solidFill>
                </w14:textFill>
              </w:rPr>
              <w:t>⑦</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废气</w:t>
            </w:r>
          </w:p>
        </w:tc>
        <w:tc>
          <w:tcPr>
            <w:tcW w:w="1808"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颗粒物</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c>
          <w:tcPr>
            <w:tcW w:w="1024"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+0.03</w:t>
            </w:r>
            <w:r>
              <w:rPr>
                <w:rFonts w:hint="eastAsia" w:eastAsia="宋体"/>
                <w:snapToGrid w:val="0"/>
                <w:color w:val="000000" w:themeColor="text1"/>
                <w:kern w:val="18"/>
                <w:highlight w:val="none"/>
                <w:lang w:val="en-US" w:eastAsia="zh-CN"/>
                <w14:textFill>
                  <w14:solidFill>
                    <w14:schemeClr w14:val="tx1"/>
                  </w14:solidFill>
                </w14:textFill>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非甲烷总烃</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c>
          <w:tcPr>
            <w:tcW w:w="1024"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二甲苯</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c>
          <w:tcPr>
            <w:tcW w:w="1024" w:type="dxa"/>
            <w:vAlign w:val="center"/>
          </w:tcPr>
          <w:p>
            <w:pPr>
              <w:jc w:val="center"/>
              <w:rPr>
                <w:rFonts w:eastAsia="宋体"/>
                <w:snapToGrid w:val="0"/>
                <w:color w:val="000000" w:themeColor="text1"/>
                <w:kern w:val="18"/>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+0.0064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废水</w:t>
            </w:r>
          </w:p>
        </w:tc>
        <w:tc>
          <w:tcPr>
            <w:tcW w:w="1808"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COD</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c>
          <w:tcPr>
            <w:tcW w:w="1024"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NH</w:t>
            </w:r>
            <w:r>
              <w:rPr>
                <w:rFonts w:hint="eastAsia" w:ascii="Times New Roman"/>
                <w:snapToGrid w:val="0"/>
                <w:color w:val="000000" w:themeColor="text1"/>
                <w:kern w:val="21"/>
                <w:szCs w:val="21"/>
                <w:highlight w:val="none"/>
                <w:vertAlign w:val="subscript"/>
                <w14:textFill>
                  <w14:solidFill>
                    <w14:schemeClr w14:val="tx1"/>
                  </w14:solidFill>
                </w14:textFill>
              </w:rPr>
              <w:t>3</w:t>
            </w:r>
            <w:r>
              <w:rPr>
                <w:rFonts w:hint="eastAsia" w:ascii="Times New Roman"/>
                <w:snapToGrid w:val="0"/>
                <w:color w:val="000000" w:themeColor="text1"/>
                <w:kern w:val="21"/>
                <w:szCs w:val="21"/>
                <w:highlight w:val="none"/>
                <w14:textFill>
                  <w14:solidFill>
                    <w14:schemeClr w14:val="tx1"/>
                  </w14:solidFill>
                </w14:textFill>
              </w:rPr>
              <w:t>-N</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c>
          <w:tcPr>
            <w:tcW w:w="1024"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一般工业</w:t>
            </w:r>
          </w:p>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固体废物</w:t>
            </w:r>
          </w:p>
        </w:tc>
        <w:tc>
          <w:tcPr>
            <w:tcW w:w="1808" w:type="dxa"/>
            <w:vAlign w:val="center"/>
          </w:tcPr>
          <w:p>
            <w:pPr>
              <w:jc w:val="center"/>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废边角料</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jc w:val="center"/>
              <w:rPr>
                <w:color w:val="000000" w:themeColor="text1"/>
                <w:kern w:val="0"/>
                <w:highlight w:val="none"/>
                <w14:textFill>
                  <w14:solidFill>
                    <w14:schemeClr w14:val="tx1"/>
                  </w14:solidFill>
                </w14:textFill>
              </w:rPr>
            </w:pPr>
            <w:r>
              <w:rPr>
                <w:rFonts w:hint="eastAsia"/>
                <w:color w:val="000000" w:themeColor="text1"/>
                <w:highlight w:val="none"/>
                <w14:textFill>
                  <w14:solidFill>
                    <w14:schemeClr w14:val="tx1"/>
                  </w14:solidFill>
                </w14:textFill>
              </w:rPr>
              <w:t>水性涂料废包装</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375</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375</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布袋除尘颗粒物</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0.0</w:t>
            </w:r>
            <w:r>
              <w:rPr>
                <w:rFonts w:hint="eastAsia" w:eastAsia="宋体"/>
                <w:snapToGrid w:val="0"/>
                <w:color w:val="000000" w:themeColor="text1"/>
                <w:kern w:val="18"/>
                <w:highlight w:val="none"/>
                <w:lang w:val="en-US" w:eastAsia="zh-CN"/>
                <w14:textFill>
                  <w14:solidFill>
                    <w14:schemeClr w14:val="tx1"/>
                  </w14:solidFill>
                </w14:textFill>
              </w:rPr>
              <w:t>912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restart"/>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危险废物</w:t>
            </w:r>
          </w:p>
        </w:tc>
        <w:tc>
          <w:tcPr>
            <w:tcW w:w="1808" w:type="dxa"/>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废漆渣</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default"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rFonts w:hint="default" w:eastAsia="宋体"/>
                <w:snapToGrid w:val="0"/>
                <w:color w:val="000000" w:themeColor="text1"/>
                <w:kern w:val="21"/>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c>
          <w:tcPr>
            <w:tcW w:w="1024" w:type="dxa"/>
            <w:vAlign w:val="center"/>
          </w:tcPr>
          <w:p>
            <w:pPr>
              <w:pStyle w:val="95"/>
              <w:rPr>
                <w:rFonts w:hint="default" w:eastAsia="宋体"/>
                <w:snapToGrid w:val="0"/>
                <w:color w:val="000000" w:themeColor="text1"/>
                <w:kern w:val="21"/>
                <w:highlight w:val="none"/>
                <w:lang w:val="en-US" w:eastAsia="zh-CN"/>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废活性炭</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eastAsia" w:eastAsia="宋体"/>
                <w:snapToGrid w:val="0"/>
                <w:color w:val="000000" w:themeColor="text1"/>
                <w:kern w:val="18"/>
                <w:highlight w:val="none"/>
                <w:lang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w:t>
            </w:r>
            <w:r>
              <w:rPr>
                <w:rFonts w:hint="eastAsia" w:eastAsia="宋体"/>
                <w:snapToGrid w:val="0"/>
                <w:color w:val="000000" w:themeColor="text1"/>
                <w:kern w:val="18"/>
                <w:highlight w:val="none"/>
                <w:lang w:val="en-US" w:eastAsia="zh-CN"/>
                <w14:textFill>
                  <w14:solidFill>
                    <w14:schemeClr w14:val="tx1"/>
                  </w14:solidFill>
                </w14:textFill>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废污泥</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eastAsia="宋体"/>
                <w:snapToGrid w:val="0"/>
                <w:color w:val="000000" w:themeColor="text1"/>
                <w:kern w:val="18"/>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0.14</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0.14</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9" w:type="dxa"/>
            <w:vMerge w:val="continue"/>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8" w:type="dxa"/>
            <w:vAlign w:val="center"/>
          </w:tcPr>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溶剂型涂料</w:t>
            </w:r>
          </w:p>
          <w:p>
            <w:pPr>
              <w:pStyle w:val="6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废包装</w:t>
            </w:r>
          </w:p>
        </w:tc>
        <w:tc>
          <w:tcPr>
            <w:tcW w:w="1559"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6"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0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559" w:type="dxa"/>
            <w:vAlign w:val="center"/>
          </w:tcPr>
          <w:p>
            <w:pPr>
              <w:pStyle w:val="95"/>
              <w:rPr>
                <w:rFonts w:hint="eastAsia" w:eastAsia="宋体"/>
                <w:snapToGrid w:val="0"/>
                <w:color w:val="000000" w:themeColor="text1"/>
                <w:kern w:val="18"/>
                <w:highlight w:val="none"/>
                <w:lang w:val="en-US" w:eastAsia="zh-CN"/>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w:t>
            </w:r>
            <w:r>
              <w:rPr>
                <w:rFonts w:hint="eastAsia" w:eastAsia="宋体"/>
                <w:snapToGrid w:val="0"/>
                <w:color w:val="000000" w:themeColor="text1"/>
                <w:kern w:val="18"/>
                <w:highlight w:val="none"/>
                <w:lang w:val="en-US" w:eastAsia="zh-CN"/>
                <w14:textFill>
                  <w14:solidFill>
                    <w14:schemeClr w14:val="tx1"/>
                  </w14:solidFill>
                </w14:textFill>
              </w:rPr>
              <w:t>5</w:t>
            </w:r>
          </w:p>
        </w:tc>
        <w:tc>
          <w:tcPr>
            <w:tcW w:w="1761" w:type="dxa"/>
            <w:vAlign w:val="center"/>
          </w:tcPr>
          <w:p>
            <w:pPr>
              <w:pStyle w:val="58"/>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761"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14:textFill>
                  <w14:solidFill>
                    <w14:schemeClr w14:val="tx1"/>
                  </w14:solidFill>
                </w14:textFill>
              </w:rPr>
              <w:t>0.01</w:t>
            </w:r>
            <w:r>
              <w:rPr>
                <w:rFonts w:hint="eastAsia" w:eastAsia="宋体"/>
                <w:snapToGrid w:val="0"/>
                <w:color w:val="000000" w:themeColor="text1"/>
                <w:kern w:val="18"/>
                <w:highlight w:val="none"/>
                <w:lang w:val="en-US" w:eastAsia="zh-CN"/>
                <w14:textFill>
                  <w14:solidFill>
                    <w14:schemeClr w14:val="tx1"/>
                  </w14:solidFill>
                </w14:textFill>
              </w:rPr>
              <w:t>5</w:t>
            </w:r>
          </w:p>
        </w:tc>
        <w:tc>
          <w:tcPr>
            <w:tcW w:w="1024" w:type="dxa"/>
            <w:vAlign w:val="center"/>
          </w:tcPr>
          <w:p>
            <w:pPr>
              <w:pStyle w:val="95"/>
              <w:rPr>
                <w:snapToGrid w:val="0"/>
                <w:color w:val="000000" w:themeColor="text1"/>
                <w:kern w:val="21"/>
                <w:highlight w:val="none"/>
                <w14:textFill>
                  <w14:solidFill>
                    <w14:schemeClr w14:val="tx1"/>
                  </w14:solidFill>
                </w14:textFill>
              </w:rPr>
            </w:pPr>
            <w:r>
              <w:rPr>
                <w:rFonts w:hint="eastAsia" w:eastAsia="宋体"/>
                <w:snapToGrid w:val="0"/>
                <w:color w:val="000000" w:themeColor="text1"/>
                <w:kern w:val="18"/>
                <w:highlight w:val="none"/>
                <w:lang w:val="en-US" w:eastAsia="zh-CN"/>
                <w14:textFill>
                  <w14:solidFill>
                    <w14:schemeClr w14:val="tx1"/>
                  </w14:solidFill>
                </w14:textFill>
              </w:rPr>
              <w:t>+</w:t>
            </w:r>
            <w:r>
              <w:rPr>
                <w:rFonts w:hint="eastAsia" w:eastAsia="宋体"/>
                <w:snapToGrid w:val="0"/>
                <w:color w:val="000000" w:themeColor="text1"/>
                <w:kern w:val="18"/>
                <w:highlight w:val="none"/>
                <w14:textFill>
                  <w14:solidFill>
                    <w14:schemeClr w14:val="tx1"/>
                  </w14:solidFill>
                </w14:textFill>
              </w:rPr>
              <w:t>0.01</w:t>
            </w:r>
            <w:r>
              <w:rPr>
                <w:rFonts w:hint="eastAsia" w:eastAsia="宋体"/>
                <w:snapToGrid w:val="0"/>
                <w:color w:val="000000" w:themeColor="text1"/>
                <w:kern w:val="18"/>
                <w:highlight w:val="none"/>
                <w:lang w:val="en-US" w:eastAsia="zh-CN"/>
                <w14:textFill>
                  <w14:solidFill>
                    <w14:schemeClr w14:val="tx1"/>
                  </w14:solidFill>
                </w14:textFill>
              </w:rPr>
              <w:t>5</w:t>
            </w:r>
          </w:p>
        </w:tc>
      </w:tr>
    </w:tbl>
    <w:p>
      <w:pPr>
        <w:pStyle w:val="58"/>
        <w:spacing w:before="192" w:beforeLines="80" w:after="24"/>
        <w:ind w:firstLine="480"/>
        <w:jc w:val="left"/>
        <w:rPr>
          <w:rFonts w:ascii="Times New Roman"/>
          <w:snapToGrid w:val="0"/>
          <w:color w:val="000000" w:themeColor="text1"/>
          <w:spacing w:val="-6"/>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hint="eastAsia" w:hAnsi="宋体" w:cs="宋体"/>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p>
      <w:pPr>
        <w:ind w:firstLine="480"/>
        <w:rPr>
          <w:color w:val="000000" w:themeColor="text1"/>
          <w:highlight w:val="none"/>
          <w14:textFill>
            <w14:solidFill>
              <w14:schemeClr w14:val="tx1"/>
            </w14:solidFill>
          </w14:textFill>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5"/>
        <w:ind w:firstLine="0" w:firstLineChars="0"/>
        <w:outlineLvl w:val="3"/>
        <w:rPr>
          <w:rFonts w:hint="eastAsia"/>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附件</w:t>
      </w:r>
      <w:r>
        <w:rPr>
          <w:rFonts w:hint="eastAsia"/>
          <w:b/>
          <w:bCs/>
          <w:color w:val="000000" w:themeColor="text1"/>
          <w:szCs w:val="24"/>
          <w:highlight w:val="none"/>
          <w14:textFill>
            <w14:solidFill>
              <w14:schemeClr w14:val="tx1"/>
            </w14:solidFill>
          </w14:textFill>
        </w:rPr>
        <w:t>1</w:t>
      </w:r>
      <w:r>
        <w:rPr>
          <w:rFonts w:hint="eastAsia"/>
          <w:b/>
          <w:bCs/>
          <w:color w:val="000000" w:themeColor="text1"/>
          <w:szCs w:val="24"/>
          <w:highlight w:val="none"/>
          <w:lang w:val="en-US" w:eastAsia="zh-CN"/>
          <w14:textFill>
            <w14:solidFill>
              <w14:schemeClr w14:val="tx1"/>
            </w14:solidFill>
          </w14:textFill>
        </w:rPr>
        <w:t>5</w:t>
      </w:r>
      <w:r>
        <w:rPr>
          <w:b/>
          <w:bCs/>
          <w:color w:val="000000" w:themeColor="text1"/>
          <w:szCs w:val="24"/>
          <w:highlight w:val="none"/>
          <w14:textFill>
            <w14:solidFill>
              <w14:schemeClr w14:val="tx1"/>
            </w14:solidFill>
          </w14:textFill>
        </w:rPr>
        <w:t>：</w:t>
      </w:r>
      <w:r>
        <w:rPr>
          <w:rFonts w:hint="eastAsia"/>
          <w:b/>
          <w:bCs/>
          <w:color w:val="000000" w:themeColor="text1"/>
          <w:szCs w:val="24"/>
          <w:highlight w:val="none"/>
          <w14:textFill>
            <w14:solidFill>
              <w14:schemeClr w14:val="tx1"/>
            </w14:solidFill>
          </w14:textFill>
        </w:rPr>
        <w:t>项目涉及国家秘密、商业秘密的说明</w:t>
      </w:r>
    </w:p>
    <w:p>
      <w:pPr>
        <w:rPr>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586730" cy="7919720"/>
            <wp:effectExtent l="0" t="0" r="13970" b="5080"/>
            <wp:docPr id="116" name="图片 116" descr="环评文件扩建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环评文件扩建_页面_4"/>
                    <pic:cNvPicPr>
                      <a:picLocks noChangeAspect="1"/>
                    </pic:cNvPicPr>
                  </pic:nvPicPr>
                  <pic:blipFill>
                    <a:blip r:embed="rId31"/>
                    <a:stretch>
                      <a:fillRect/>
                    </a:stretch>
                  </pic:blipFill>
                  <pic:spPr>
                    <a:xfrm>
                      <a:off x="0" y="0"/>
                      <a:ext cx="5586730" cy="7919720"/>
                    </a:xfrm>
                    <a:prstGeom prst="rect">
                      <a:avLst/>
                    </a:prstGeom>
                  </pic:spPr>
                </pic:pic>
              </a:graphicData>
            </a:graphic>
          </wp:inline>
        </w:drawing>
      </w:r>
    </w:p>
    <w:p>
      <w:pPr>
        <w:pStyle w:val="26"/>
        <w:ind w:firstLine="0" w:firstLineChars="0"/>
        <w:jc w:val="center"/>
        <w:rPr>
          <w:rFonts w:hint="eastAsia" w:eastAsia="宋体"/>
          <w:color w:val="000000" w:themeColor="text1"/>
          <w:highlight w:val="none"/>
          <w:lang w:eastAsia="zh-CN"/>
          <w14:textFill>
            <w14:solidFill>
              <w14:schemeClr w14:val="tx1"/>
            </w14:solidFill>
          </w14:textFill>
        </w:rPr>
      </w:pPr>
    </w:p>
    <w:p>
      <w:pPr>
        <w:pStyle w:val="26"/>
        <w:ind w:firstLine="0" w:firstLineChars="0"/>
        <w:jc w:val="center"/>
        <w:rPr>
          <w:rFonts w:hint="eastAsia" w:eastAsia="宋体"/>
          <w:color w:val="000000" w:themeColor="text1"/>
          <w:highlight w:val="none"/>
          <w:lang w:eastAsia="zh-CN"/>
          <w14:textFill>
            <w14:solidFill>
              <w14:schemeClr w14:val="tx1"/>
            </w14:solidFill>
          </w14:textFill>
        </w:rPr>
      </w:pPr>
    </w:p>
    <w:p>
      <w:pPr>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596890" cy="7919720"/>
            <wp:effectExtent l="0" t="0" r="3810" b="5080"/>
            <wp:docPr id="115" name="图片 115" descr="环评文件扩建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环评文件扩建_页面_5"/>
                    <pic:cNvPicPr>
                      <a:picLocks noChangeAspect="1"/>
                    </pic:cNvPicPr>
                  </pic:nvPicPr>
                  <pic:blipFill>
                    <a:blip r:embed="rId32"/>
                    <a:stretch>
                      <a:fillRect/>
                    </a:stretch>
                  </pic:blipFill>
                  <pic:spPr>
                    <a:xfrm>
                      <a:off x="0" y="0"/>
                      <a:ext cx="5596890" cy="7919720"/>
                    </a:xfrm>
                    <a:prstGeom prst="rect">
                      <a:avLst/>
                    </a:prstGeom>
                  </pic:spPr>
                </pic:pic>
              </a:graphicData>
            </a:graphic>
          </wp:inline>
        </w:drawing>
      </w: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宋体u.砸.葷.">
    <w:altName w:val="宋体"/>
    <w:panose1 w:val="00000000000000000000"/>
    <w:charset w:val="86"/>
    <w:family w:val="roma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TimesNewRomanPSMT">
    <w:altName w:val="黑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41"/>
      </w:rPr>
    </w:pPr>
    <w:r>
      <w:fldChar w:fldCharType="begin"/>
    </w:r>
    <w:r>
      <w:rPr>
        <w:rStyle w:val="41"/>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PAGE   \* MERGEFORMAT</w:instrText>
    </w:r>
    <w:r>
      <w:fldChar w:fldCharType="separate"/>
    </w:r>
    <w:r>
      <w:rPr>
        <w:lang w:val="zh-CN"/>
      </w:rPr>
      <w:t>41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DA862"/>
    <w:multiLevelType w:val="singleLevel"/>
    <w:tmpl w:val="90CDA862"/>
    <w:lvl w:ilvl="0" w:tentative="0">
      <w:start w:val="2"/>
      <w:numFmt w:val="decimal"/>
      <w:suff w:val="nothing"/>
      <w:lvlText w:val="（%1）"/>
      <w:lvlJc w:val="left"/>
    </w:lvl>
  </w:abstractNum>
  <w:abstractNum w:abstractNumId="1">
    <w:nsid w:val="ABC61790"/>
    <w:multiLevelType w:val="singleLevel"/>
    <w:tmpl w:val="ABC61790"/>
    <w:lvl w:ilvl="0" w:tentative="0">
      <w:start w:val="1"/>
      <w:numFmt w:val="decimal"/>
      <w:suff w:val="nothing"/>
      <w:lvlText w:val="（%1）"/>
      <w:lvlJc w:val="left"/>
    </w:lvl>
  </w:abstractNum>
  <w:abstractNum w:abstractNumId="2">
    <w:nsid w:val="BA0A0FB6"/>
    <w:multiLevelType w:val="singleLevel"/>
    <w:tmpl w:val="BA0A0FB6"/>
    <w:lvl w:ilvl="0" w:tentative="0">
      <w:start w:val="1"/>
      <w:numFmt w:val="decimal"/>
      <w:suff w:val="nothing"/>
      <w:lvlText w:val="（%1）"/>
      <w:lvlJc w:val="left"/>
    </w:lvl>
  </w:abstractNum>
  <w:abstractNum w:abstractNumId="3">
    <w:nsid w:val="CFBE3145"/>
    <w:multiLevelType w:val="singleLevel"/>
    <w:tmpl w:val="CFBE3145"/>
    <w:lvl w:ilvl="0" w:tentative="0">
      <w:start w:val="2"/>
      <w:numFmt w:val="chineseCounting"/>
      <w:suff w:val="nothing"/>
      <w:lvlText w:val="%1、"/>
      <w:lvlJc w:val="left"/>
      <w:rPr>
        <w:rFonts w:hint="eastAsia"/>
      </w:rPr>
    </w:lvl>
  </w:abstractNum>
  <w:abstractNum w:abstractNumId="4">
    <w:nsid w:val="60E61AC5"/>
    <w:multiLevelType w:val="singleLevel"/>
    <w:tmpl w:val="60E61AC5"/>
    <w:lvl w:ilvl="0" w:tentative="0">
      <w:start w:val="2"/>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JkNThmZjUxOTU1N2YzNDYxZGEyYTVlOTE5ODBlNjMifQ=="/>
  </w:docVars>
  <w:rsids>
    <w:rsidRoot w:val="00172A27"/>
    <w:rsid w:val="00000AA1"/>
    <w:rsid w:val="00001353"/>
    <w:rsid w:val="0000431F"/>
    <w:rsid w:val="00004BE3"/>
    <w:rsid w:val="00004E7D"/>
    <w:rsid w:val="00005C89"/>
    <w:rsid w:val="00005EC9"/>
    <w:rsid w:val="000060B3"/>
    <w:rsid w:val="00006659"/>
    <w:rsid w:val="00006683"/>
    <w:rsid w:val="00011F0B"/>
    <w:rsid w:val="00011F7C"/>
    <w:rsid w:val="0001384B"/>
    <w:rsid w:val="00013AD3"/>
    <w:rsid w:val="00013DB6"/>
    <w:rsid w:val="0001511F"/>
    <w:rsid w:val="00017D53"/>
    <w:rsid w:val="00020616"/>
    <w:rsid w:val="00020F3B"/>
    <w:rsid w:val="00022514"/>
    <w:rsid w:val="00023822"/>
    <w:rsid w:val="00027443"/>
    <w:rsid w:val="0002776A"/>
    <w:rsid w:val="00030322"/>
    <w:rsid w:val="00030EB3"/>
    <w:rsid w:val="00033832"/>
    <w:rsid w:val="0003516E"/>
    <w:rsid w:val="0003630B"/>
    <w:rsid w:val="00037B0D"/>
    <w:rsid w:val="00037DCF"/>
    <w:rsid w:val="0004037D"/>
    <w:rsid w:val="00041B57"/>
    <w:rsid w:val="00042908"/>
    <w:rsid w:val="00042E9B"/>
    <w:rsid w:val="0004364B"/>
    <w:rsid w:val="000459E2"/>
    <w:rsid w:val="000475AC"/>
    <w:rsid w:val="000479FE"/>
    <w:rsid w:val="00050183"/>
    <w:rsid w:val="00050497"/>
    <w:rsid w:val="00052769"/>
    <w:rsid w:val="00052CA5"/>
    <w:rsid w:val="00052ED4"/>
    <w:rsid w:val="00053417"/>
    <w:rsid w:val="00053553"/>
    <w:rsid w:val="00054B6F"/>
    <w:rsid w:val="000556FB"/>
    <w:rsid w:val="00056345"/>
    <w:rsid w:val="000566B6"/>
    <w:rsid w:val="00060586"/>
    <w:rsid w:val="00061B1F"/>
    <w:rsid w:val="00062097"/>
    <w:rsid w:val="00065820"/>
    <w:rsid w:val="00066AB5"/>
    <w:rsid w:val="000725A7"/>
    <w:rsid w:val="000733C4"/>
    <w:rsid w:val="00073B30"/>
    <w:rsid w:val="00074628"/>
    <w:rsid w:val="00074783"/>
    <w:rsid w:val="00075509"/>
    <w:rsid w:val="00075993"/>
    <w:rsid w:val="00075F5A"/>
    <w:rsid w:val="00076331"/>
    <w:rsid w:val="00076C15"/>
    <w:rsid w:val="000774B0"/>
    <w:rsid w:val="00077BD5"/>
    <w:rsid w:val="0008070B"/>
    <w:rsid w:val="000810AC"/>
    <w:rsid w:val="00081A02"/>
    <w:rsid w:val="00082231"/>
    <w:rsid w:val="00083B81"/>
    <w:rsid w:val="00085718"/>
    <w:rsid w:val="00092BC6"/>
    <w:rsid w:val="00092D38"/>
    <w:rsid w:val="0009377B"/>
    <w:rsid w:val="00095239"/>
    <w:rsid w:val="000975BB"/>
    <w:rsid w:val="000A0DBB"/>
    <w:rsid w:val="000A15A7"/>
    <w:rsid w:val="000A20C9"/>
    <w:rsid w:val="000A4A47"/>
    <w:rsid w:val="000A4C8A"/>
    <w:rsid w:val="000A56EE"/>
    <w:rsid w:val="000A64E4"/>
    <w:rsid w:val="000A712D"/>
    <w:rsid w:val="000B058F"/>
    <w:rsid w:val="000B3860"/>
    <w:rsid w:val="000B4467"/>
    <w:rsid w:val="000B4DB9"/>
    <w:rsid w:val="000B57C5"/>
    <w:rsid w:val="000C04B2"/>
    <w:rsid w:val="000C09AC"/>
    <w:rsid w:val="000C119D"/>
    <w:rsid w:val="000C2414"/>
    <w:rsid w:val="000C44D8"/>
    <w:rsid w:val="000C4AFC"/>
    <w:rsid w:val="000C5BA1"/>
    <w:rsid w:val="000C63D2"/>
    <w:rsid w:val="000C767F"/>
    <w:rsid w:val="000D03D3"/>
    <w:rsid w:val="000D11D2"/>
    <w:rsid w:val="000D1A22"/>
    <w:rsid w:val="000D1C66"/>
    <w:rsid w:val="000D3CC6"/>
    <w:rsid w:val="000D5864"/>
    <w:rsid w:val="000D5A44"/>
    <w:rsid w:val="000E2F01"/>
    <w:rsid w:val="000E3ED2"/>
    <w:rsid w:val="000E54BC"/>
    <w:rsid w:val="000E7EE8"/>
    <w:rsid w:val="000F00FB"/>
    <w:rsid w:val="000F1314"/>
    <w:rsid w:val="000F3848"/>
    <w:rsid w:val="001002FF"/>
    <w:rsid w:val="00100498"/>
    <w:rsid w:val="001005DC"/>
    <w:rsid w:val="00100FD2"/>
    <w:rsid w:val="00103701"/>
    <w:rsid w:val="00104A52"/>
    <w:rsid w:val="00105735"/>
    <w:rsid w:val="0010643C"/>
    <w:rsid w:val="001073AF"/>
    <w:rsid w:val="001074DE"/>
    <w:rsid w:val="00110AD5"/>
    <w:rsid w:val="00113339"/>
    <w:rsid w:val="001138DA"/>
    <w:rsid w:val="00113CD9"/>
    <w:rsid w:val="001164EA"/>
    <w:rsid w:val="00116679"/>
    <w:rsid w:val="00117C5B"/>
    <w:rsid w:val="00121E6C"/>
    <w:rsid w:val="00123920"/>
    <w:rsid w:val="001260FF"/>
    <w:rsid w:val="00126421"/>
    <w:rsid w:val="001265CB"/>
    <w:rsid w:val="00126652"/>
    <w:rsid w:val="001305A1"/>
    <w:rsid w:val="001312CD"/>
    <w:rsid w:val="00131F42"/>
    <w:rsid w:val="00132C55"/>
    <w:rsid w:val="00132FC6"/>
    <w:rsid w:val="001344A1"/>
    <w:rsid w:val="001351DD"/>
    <w:rsid w:val="001357F1"/>
    <w:rsid w:val="00135B42"/>
    <w:rsid w:val="00136BEC"/>
    <w:rsid w:val="00137512"/>
    <w:rsid w:val="001400F1"/>
    <w:rsid w:val="001402DE"/>
    <w:rsid w:val="00140E65"/>
    <w:rsid w:val="00140FA8"/>
    <w:rsid w:val="001413C6"/>
    <w:rsid w:val="001418CB"/>
    <w:rsid w:val="00142FEB"/>
    <w:rsid w:val="00143053"/>
    <w:rsid w:val="00143A2D"/>
    <w:rsid w:val="00144AD8"/>
    <w:rsid w:val="00144AE6"/>
    <w:rsid w:val="00145A41"/>
    <w:rsid w:val="00151002"/>
    <w:rsid w:val="00151675"/>
    <w:rsid w:val="00152081"/>
    <w:rsid w:val="001542A1"/>
    <w:rsid w:val="0015462B"/>
    <w:rsid w:val="00154BAD"/>
    <w:rsid w:val="0015571E"/>
    <w:rsid w:val="0015683E"/>
    <w:rsid w:val="00157435"/>
    <w:rsid w:val="00160D59"/>
    <w:rsid w:val="00163EE3"/>
    <w:rsid w:val="00164E68"/>
    <w:rsid w:val="00166043"/>
    <w:rsid w:val="00167468"/>
    <w:rsid w:val="00167DC2"/>
    <w:rsid w:val="00172A27"/>
    <w:rsid w:val="0017437B"/>
    <w:rsid w:val="0017504D"/>
    <w:rsid w:val="0017671A"/>
    <w:rsid w:val="00177422"/>
    <w:rsid w:val="00177D45"/>
    <w:rsid w:val="001820AD"/>
    <w:rsid w:val="001820ED"/>
    <w:rsid w:val="00182E99"/>
    <w:rsid w:val="00184590"/>
    <w:rsid w:val="001847B3"/>
    <w:rsid w:val="00185D1E"/>
    <w:rsid w:val="001870D1"/>
    <w:rsid w:val="0018781E"/>
    <w:rsid w:val="001922BF"/>
    <w:rsid w:val="0019262D"/>
    <w:rsid w:val="00192F08"/>
    <w:rsid w:val="001945CD"/>
    <w:rsid w:val="00194CC4"/>
    <w:rsid w:val="00195501"/>
    <w:rsid w:val="0019659A"/>
    <w:rsid w:val="001968F8"/>
    <w:rsid w:val="00196F9E"/>
    <w:rsid w:val="00197E49"/>
    <w:rsid w:val="001A026B"/>
    <w:rsid w:val="001A03DD"/>
    <w:rsid w:val="001A1944"/>
    <w:rsid w:val="001A1B35"/>
    <w:rsid w:val="001A270F"/>
    <w:rsid w:val="001A3A99"/>
    <w:rsid w:val="001A48A2"/>
    <w:rsid w:val="001A4EDD"/>
    <w:rsid w:val="001A61B2"/>
    <w:rsid w:val="001A64DB"/>
    <w:rsid w:val="001A6F61"/>
    <w:rsid w:val="001A7DC2"/>
    <w:rsid w:val="001A7F5E"/>
    <w:rsid w:val="001B1547"/>
    <w:rsid w:val="001B5DA2"/>
    <w:rsid w:val="001B6284"/>
    <w:rsid w:val="001B6FE3"/>
    <w:rsid w:val="001B72B8"/>
    <w:rsid w:val="001C15B8"/>
    <w:rsid w:val="001C1927"/>
    <w:rsid w:val="001C2793"/>
    <w:rsid w:val="001C2D59"/>
    <w:rsid w:val="001C4972"/>
    <w:rsid w:val="001C5773"/>
    <w:rsid w:val="001C5F6F"/>
    <w:rsid w:val="001C69B3"/>
    <w:rsid w:val="001C72D8"/>
    <w:rsid w:val="001D0F09"/>
    <w:rsid w:val="001D3229"/>
    <w:rsid w:val="001D4719"/>
    <w:rsid w:val="001D5595"/>
    <w:rsid w:val="001D59B0"/>
    <w:rsid w:val="001D62CB"/>
    <w:rsid w:val="001D6B91"/>
    <w:rsid w:val="001D7874"/>
    <w:rsid w:val="001D7F22"/>
    <w:rsid w:val="001E1FD4"/>
    <w:rsid w:val="001E25AB"/>
    <w:rsid w:val="001E2EE9"/>
    <w:rsid w:val="001E4468"/>
    <w:rsid w:val="001E5078"/>
    <w:rsid w:val="001E6C6B"/>
    <w:rsid w:val="001E725E"/>
    <w:rsid w:val="001F088D"/>
    <w:rsid w:val="001F0F17"/>
    <w:rsid w:val="001F1B7F"/>
    <w:rsid w:val="001F3347"/>
    <w:rsid w:val="001F393F"/>
    <w:rsid w:val="001F39F0"/>
    <w:rsid w:val="001F4049"/>
    <w:rsid w:val="001F69E4"/>
    <w:rsid w:val="001F7DC2"/>
    <w:rsid w:val="00201002"/>
    <w:rsid w:val="0020195F"/>
    <w:rsid w:val="00202209"/>
    <w:rsid w:val="00207929"/>
    <w:rsid w:val="00211C1B"/>
    <w:rsid w:val="002121DF"/>
    <w:rsid w:val="002125B4"/>
    <w:rsid w:val="00212BF8"/>
    <w:rsid w:val="00212ED0"/>
    <w:rsid w:val="00213562"/>
    <w:rsid w:val="00213FC8"/>
    <w:rsid w:val="002155B8"/>
    <w:rsid w:val="00221CB1"/>
    <w:rsid w:val="0022217A"/>
    <w:rsid w:val="0022304B"/>
    <w:rsid w:val="00224839"/>
    <w:rsid w:val="002249B2"/>
    <w:rsid w:val="00226574"/>
    <w:rsid w:val="002278EC"/>
    <w:rsid w:val="00230041"/>
    <w:rsid w:val="0023280E"/>
    <w:rsid w:val="002349A8"/>
    <w:rsid w:val="00235714"/>
    <w:rsid w:val="002377D1"/>
    <w:rsid w:val="002406E5"/>
    <w:rsid w:val="00240C51"/>
    <w:rsid w:val="002422B4"/>
    <w:rsid w:val="002427AF"/>
    <w:rsid w:val="002505E1"/>
    <w:rsid w:val="002506BC"/>
    <w:rsid w:val="00250F48"/>
    <w:rsid w:val="00251ABA"/>
    <w:rsid w:val="00254345"/>
    <w:rsid w:val="002562FE"/>
    <w:rsid w:val="0026250A"/>
    <w:rsid w:val="00264557"/>
    <w:rsid w:val="00264615"/>
    <w:rsid w:val="00264D57"/>
    <w:rsid w:val="00265723"/>
    <w:rsid w:val="00270FB9"/>
    <w:rsid w:val="002727BF"/>
    <w:rsid w:val="00275ECE"/>
    <w:rsid w:val="0027776C"/>
    <w:rsid w:val="00277A43"/>
    <w:rsid w:val="002805AB"/>
    <w:rsid w:val="00281A25"/>
    <w:rsid w:val="00281A87"/>
    <w:rsid w:val="00282E16"/>
    <w:rsid w:val="00282FF4"/>
    <w:rsid w:val="00284204"/>
    <w:rsid w:val="00284E10"/>
    <w:rsid w:val="002850B0"/>
    <w:rsid w:val="002854FC"/>
    <w:rsid w:val="0028621F"/>
    <w:rsid w:val="00287C9F"/>
    <w:rsid w:val="00290310"/>
    <w:rsid w:val="00291773"/>
    <w:rsid w:val="00294CBB"/>
    <w:rsid w:val="002950F0"/>
    <w:rsid w:val="00296C71"/>
    <w:rsid w:val="002A168C"/>
    <w:rsid w:val="002A237A"/>
    <w:rsid w:val="002A3DC7"/>
    <w:rsid w:val="002A3FD2"/>
    <w:rsid w:val="002A78C6"/>
    <w:rsid w:val="002B2A93"/>
    <w:rsid w:val="002B2CCE"/>
    <w:rsid w:val="002B2D61"/>
    <w:rsid w:val="002B4159"/>
    <w:rsid w:val="002B49E2"/>
    <w:rsid w:val="002B7B00"/>
    <w:rsid w:val="002B7C44"/>
    <w:rsid w:val="002C2B17"/>
    <w:rsid w:val="002C486B"/>
    <w:rsid w:val="002C4EB0"/>
    <w:rsid w:val="002C59DB"/>
    <w:rsid w:val="002C5B23"/>
    <w:rsid w:val="002C61E4"/>
    <w:rsid w:val="002C6E30"/>
    <w:rsid w:val="002D24AE"/>
    <w:rsid w:val="002D283A"/>
    <w:rsid w:val="002D36C8"/>
    <w:rsid w:val="002D3DD0"/>
    <w:rsid w:val="002D5208"/>
    <w:rsid w:val="002D536C"/>
    <w:rsid w:val="002E06A1"/>
    <w:rsid w:val="002E0A0B"/>
    <w:rsid w:val="002E1F3A"/>
    <w:rsid w:val="002E298A"/>
    <w:rsid w:val="002E3C08"/>
    <w:rsid w:val="002E41BE"/>
    <w:rsid w:val="002E4840"/>
    <w:rsid w:val="002E7B03"/>
    <w:rsid w:val="002E7B49"/>
    <w:rsid w:val="002F0246"/>
    <w:rsid w:val="002F215D"/>
    <w:rsid w:val="002F2340"/>
    <w:rsid w:val="002F23E9"/>
    <w:rsid w:val="002F306B"/>
    <w:rsid w:val="002F677F"/>
    <w:rsid w:val="002F6A70"/>
    <w:rsid w:val="002F6A84"/>
    <w:rsid w:val="002F7BC6"/>
    <w:rsid w:val="00301581"/>
    <w:rsid w:val="00301978"/>
    <w:rsid w:val="0030332C"/>
    <w:rsid w:val="00303811"/>
    <w:rsid w:val="00303E07"/>
    <w:rsid w:val="00304E87"/>
    <w:rsid w:val="003051C2"/>
    <w:rsid w:val="00306733"/>
    <w:rsid w:val="00306ACF"/>
    <w:rsid w:val="003105DA"/>
    <w:rsid w:val="00310F67"/>
    <w:rsid w:val="00312296"/>
    <w:rsid w:val="00313EFE"/>
    <w:rsid w:val="00314602"/>
    <w:rsid w:val="00314F0E"/>
    <w:rsid w:val="00315CDF"/>
    <w:rsid w:val="00315FFA"/>
    <w:rsid w:val="003179D1"/>
    <w:rsid w:val="003200F4"/>
    <w:rsid w:val="00321193"/>
    <w:rsid w:val="00321D8E"/>
    <w:rsid w:val="00325928"/>
    <w:rsid w:val="003271BE"/>
    <w:rsid w:val="00332863"/>
    <w:rsid w:val="0033286D"/>
    <w:rsid w:val="003349F7"/>
    <w:rsid w:val="00334DC7"/>
    <w:rsid w:val="0033684D"/>
    <w:rsid w:val="003372D7"/>
    <w:rsid w:val="00337B42"/>
    <w:rsid w:val="00341B42"/>
    <w:rsid w:val="0034348F"/>
    <w:rsid w:val="003464EC"/>
    <w:rsid w:val="00347876"/>
    <w:rsid w:val="003502FA"/>
    <w:rsid w:val="00351622"/>
    <w:rsid w:val="00351E1F"/>
    <w:rsid w:val="003524E7"/>
    <w:rsid w:val="00352C48"/>
    <w:rsid w:val="00353868"/>
    <w:rsid w:val="00354980"/>
    <w:rsid w:val="00354BF1"/>
    <w:rsid w:val="003564B0"/>
    <w:rsid w:val="00356653"/>
    <w:rsid w:val="0035743F"/>
    <w:rsid w:val="00357604"/>
    <w:rsid w:val="00357BE2"/>
    <w:rsid w:val="0036170C"/>
    <w:rsid w:val="003618FB"/>
    <w:rsid w:val="003635EE"/>
    <w:rsid w:val="00363977"/>
    <w:rsid w:val="00363CB0"/>
    <w:rsid w:val="00364892"/>
    <w:rsid w:val="00364938"/>
    <w:rsid w:val="003654BA"/>
    <w:rsid w:val="00365593"/>
    <w:rsid w:val="00366E0F"/>
    <w:rsid w:val="00367E8B"/>
    <w:rsid w:val="0037337A"/>
    <w:rsid w:val="00376384"/>
    <w:rsid w:val="0037657E"/>
    <w:rsid w:val="00376909"/>
    <w:rsid w:val="00377BAC"/>
    <w:rsid w:val="00377C60"/>
    <w:rsid w:val="00381A72"/>
    <w:rsid w:val="00384676"/>
    <w:rsid w:val="00387462"/>
    <w:rsid w:val="00390857"/>
    <w:rsid w:val="00390D06"/>
    <w:rsid w:val="00391CFF"/>
    <w:rsid w:val="00392CA8"/>
    <w:rsid w:val="003954FA"/>
    <w:rsid w:val="003965F8"/>
    <w:rsid w:val="003975AB"/>
    <w:rsid w:val="003A086D"/>
    <w:rsid w:val="003A34AE"/>
    <w:rsid w:val="003A4BF3"/>
    <w:rsid w:val="003A7043"/>
    <w:rsid w:val="003B0C31"/>
    <w:rsid w:val="003B420D"/>
    <w:rsid w:val="003B46BE"/>
    <w:rsid w:val="003B50E6"/>
    <w:rsid w:val="003C2A1D"/>
    <w:rsid w:val="003C30FB"/>
    <w:rsid w:val="003C5D24"/>
    <w:rsid w:val="003C6C16"/>
    <w:rsid w:val="003C6D3B"/>
    <w:rsid w:val="003C6E78"/>
    <w:rsid w:val="003D0712"/>
    <w:rsid w:val="003D079A"/>
    <w:rsid w:val="003D219F"/>
    <w:rsid w:val="003D476F"/>
    <w:rsid w:val="003D794D"/>
    <w:rsid w:val="003E2620"/>
    <w:rsid w:val="003E2812"/>
    <w:rsid w:val="003E3058"/>
    <w:rsid w:val="003E589C"/>
    <w:rsid w:val="003E5DA6"/>
    <w:rsid w:val="003E633A"/>
    <w:rsid w:val="003E76A9"/>
    <w:rsid w:val="003F0809"/>
    <w:rsid w:val="003F186F"/>
    <w:rsid w:val="003F1956"/>
    <w:rsid w:val="003F4F11"/>
    <w:rsid w:val="003F6A8C"/>
    <w:rsid w:val="003F755C"/>
    <w:rsid w:val="004035F7"/>
    <w:rsid w:val="00404382"/>
    <w:rsid w:val="00404C6E"/>
    <w:rsid w:val="00405734"/>
    <w:rsid w:val="00405A0A"/>
    <w:rsid w:val="00406760"/>
    <w:rsid w:val="00406F01"/>
    <w:rsid w:val="004076FB"/>
    <w:rsid w:val="00411B9A"/>
    <w:rsid w:val="00412214"/>
    <w:rsid w:val="004136C3"/>
    <w:rsid w:val="00413982"/>
    <w:rsid w:val="0041430D"/>
    <w:rsid w:val="00414504"/>
    <w:rsid w:val="004163AF"/>
    <w:rsid w:val="00416D50"/>
    <w:rsid w:val="00416FD5"/>
    <w:rsid w:val="00417162"/>
    <w:rsid w:val="00417772"/>
    <w:rsid w:val="00420E6A"/>
    <w:rsid w:val="00421B69"/>
    <w:rsid w:val="00425A9E"/>
    <w:rsid w:val="00426D6B"/>
    <w:rsid w:val="0042738A"/>
    <w:rsid w:val="00427737"/>
    <w:rsid w:val="00431E6C"/>
    <w:rsid w:val="00433596"/>
    <w:rsid w:val="00433CE7"/>
    <w:rsid w:val="00435319"/>
    <w:rsid w:val="004370EA"/>
    <w:rsid w:val="004420AE"/>
    <w:rsid w:val="004420E0"/>
    <w:rsid w:val="004428B3"/>
    <w:rsid w:val="00442D8E"/>
    <w:rsid w:val="004446C5"/>
    <w:rsid w:val="00444A45"/>
    <w:rsid w:val="00446204"/>
    <w:rsid w:val="00451EF3"/>
    <w:rsid w:val="00452738"/>
    <w:rsid w:val="00452795"/>
    <w:rsid w:val="00454534"/>
    <w:rsid w:val="0045494B"/>
    <w:rsid w:val="00455E78"/>
    <w:rsid w:val="00456091"/>
    <w:rsid w:val="004574B9"/>
    <w:rsid w:val="00460715"/>
    <w:rsid w:val="00461303"/>
    <w:rsid w:val="00462281"/>
    <w:rsid w:val="00462CC9"/>
    <w:rsid w:val="0046447C"/>
    <w:rsid w:val="00466321"/>
    <w:rsid w:val="00470A0A"/>
    <w:rsid w:val="0047335C"/>
    <w:rsid w:val="00474819"/>
    <w:rsid w:val="00474A2F"/>
    <w:rsid w:val="00480B67"/>
    <w:rsid w:val="004846D9"/>
    <w:rsid w:val="00484B9B"/>
    <w:rsid w:val="004855F6"/>
    <w:rsid w:val="00486059"/>
    <w:rsid w:val="0048661E"/>
    <w:rsid w:val="00486A14"/>
    <w:rsid w:val="00486CA3"/>
    <w:rsid w:val="0049347D"/>
    <w:rsid w:val="00494670"/>
    <w:rsid w:val="004950E9"/>
    <w:rsid w:val="004953A3"/>
    <w:rsid w:val="00495627"/>
    <w:rsid w:val="004956DC"/>
    <w:rsid w:val="004A1ABD"/>
    <w:rsid w:val="004A22C0"/>
    <w:rsid w:val="004A3823"/>
    <w:rsid w:val="004A3FE6"/>
    <w:rsid w:val="004A43CE"/>
    <w:rsid w:val="004A4FA2"/>
    <w:rsid w:val="004A69C3"/>
    <w:rsid w:val="004B0C54"/>
    <w:rsid w:val="004B17AB"/>
    <w:rsid w:val="004B4C61"/>
    <w:rsid w:val="004B5251"/>
    <w:rsid w:val="004B56A7"/>
    <w:rsid w:val="004B5BA3"/>
    <w:rsid w:val="004B5F37"/>
    <w:rsid w:val="004B6AC9"/>
    <w:rsid w:val="004B7DB8"/>
    <w:rsid w:val="004C1754"/>
    <w:rsid w:val="004C1B12"/>
    <w:rsid w:val="004C4207"/>
    <w:rsid w:val="004C4E6C"/>
    <w:rsid w:val="004C5169"/>
    <w:rsid w:val="004C62A6"/>
    <w:rsid w:val="004C6E4A"/>
    <w:rsid w:val="004D0A88"/>
    <w:rsid w:val="004D38E2"/>
    <w:rsid w:val="004D4087"/>
    <w:rsid w:val="004D6080"/>
    <w:rsid w:val="004D6464"/>
    <w:rsid w:val="004D7A5F"/>
    <w:rsid w:val="004E066B"/>
    <w:rsid w:val="004E0C79"/>
    <w:rsid w:val="004E4CB7"/>
    <w:rsid w:val="004E5630"/>
    <w:rsid w:val="004E6946"/>
    <w:rsid w:val="004E7E71"/>
    <w:rsid w:val="004F05A4"/>
    <w:rsid w:val="004F0D71"/>
    <w:rsid w:val="004F1AD8"/>
    <w:rsid w:val="004F33E0"/>
    <w:rsid w:val="004F351A"/>
    <w:rsid w:val="004F4AB3"/>
    <w:rsid w:val="004F4DDB"/>
    <w:rsid w:val="004F5976"/>
    <w:rsid w:val="004F6026"/>
    <w:rsid w:val="004F7D31"/>
    <w:rsid w:val="0050348A"/>
    <w:rsid w:val="005039CB"/>
    <w:rsid w:val="0050558F"/>
    <w:rsid w:val="00506286"/>
    <w:rsid w:val="005065EE"/>
    <w:rsid w:val="00510813"/>
    <w:rsid w:val="00511328"/>
    <w:rsid w:val="00511990"/>
    <w:rsid w:val="00511DE0"/>
    <w:rsid w:val="0051232D"/>
    <w:rsid w:val="005126F5"/>
    <w:rsid w:val="00513EEF"/>
    <w:rsid w:val="00514870"/>
    <w:rsid w:val="00514B9B"/>
    <w:rsid w:val="0051625D"/>
    <w:rsid w:val="005166DA"/>
    <w:rsid w:val="00517A77"/>
    <w:rsid w:val="00517F02"/>
    <w:rsid w:val="00523985"/>
    <w:rsid w:val="00523E89"/>
    <w:rsid w:val="005240B2"/>
    <w:rsid w:val="0052417E"/>
    <w:rsid w:val="00524303"/>
    <w:rsid w:val="0052487D"/>
    <w:rsid w:val="005258A2"/>
    <w:rsid w:val="00530161"/>
    <w:rsid w:val="0053037B"/>
    <w:rsid w:val="00530FF2"/>
    <w:rsid w:val="00531DE5"/>
    <w:rsid w:val="00532EF3"/>
    <w:rsid w:val="00534FA3"/>
    <w:rsid w:val="005401AE"/>
    <w:rsid w:val="00541068"/>
    <w:rsid w:val="005413BC"/>
    <w:rsid w:val="00541615"/>
    <w:rsid w:val="005422FD"/>
    <w:rsid w:val="00542E07"/>
    <w:rsid w:val="0054439C"/>
    <w:rsid w:val="00544E42"/>
    <w:rsid w:val="00545424"/>
    <w:rsid w:val="0054704C"/>
    <w:rsid w:val="00554A7B"/>
    <w:rsid w:val="00554A98"/>
    <w:rsid w:val="0055572C"/>
    <w:rsid w:val="00560760"/>
    <w:rsid w:val="00560EE5"/>
    <w:rsid w:val="0056106A"/>
    <w:rsid w:val="0056378C"/>
    <w:rsid w:val="005652EE"/>
    <w:rsid w:val="0056719E"/>
    <w:rsid w:val="00571D17"/>
    <w:rsid w:val="005720AE"/>
    <w:rsid w:val="005759B4"/>
    <w:rsid w:val="00577118"/>
    <w:rsid w:val="00577328"/>
    <w:rsid w:val="00577931"/>
    <w:rsid w:val="00581D96"/>
    <w:rsid w:val="005825A7"/>
    <w:rsid w:val="00586A07"/>
    <w:rsid w:val="005877DF"/>
    <w:rsid w:val="0059055B"/>
    <w:rsid w:val="00590DBC"/>
    <w:rsid w:val="00593C6F"/>
    <w:rsid w:val="00594D77"/>
    <w:rsid w:val="0059528B"/>
    <w:rsid w:val="005969E4"/>
    <w:rsid w:val="00597664"/>
    <w:rsid w:val="00597A99"/>
    <w:rsid w:val="005A06B7"/>
    <w:rsid w:val="005A1111"/>
    <w:rsid w:val="005A1759"/>
    <w:rsid w:val="005A3924"/>
    <w:rsid w:val="005A68A7"/>
    <w:rsid w:val="005A7556"/>
    <w:rsid w:val="005B1D3F"/>
    <w:rsid w:val="005B1F10"/>
    <w:rsid w:val="005B33F9"/>
    <w:rsid w:val="005B694D"/>
    <w:rsid w:val="005B70ED"/>
    <w:rsid w:val="005B7FF9"/>
    <w:rsid w:val="005C0730"/>
    <w:rsid w:val="005C1E85"/>
    <w:rsid w:val="005C1F69"/>
    <w:rsid w:val="005C4C9A"/>
    <w:rsid w:val="005C5E1F"/>
    <w:rsid w:val="005C625C"/>
    <w:rsid w:val="005D00D5"/>
    <w:rsid w:val="005D147D"/>
    <w:rsid w:val="005D1A22"/>
    <w:rsid w:val="005D36AB"/>
    <w:rsid w:val="005D5182"/>
    <w:rsid w:val="005D76F9"/>
    <w:rsid w:val="005D7944"/>
    <w:rsid w:val="005E0355"/>
    <w:rsid w:val="005E0E91"/>
    <w:rsid w:val="005E18DB"/>
    <w:rsid w:val="005E206D"/>
    <w:rsid w:val="005E4221"/>
    <w:rsid w:val="005E5417"/>
    <w:rsid w:val="005E7643"/>
    <w:rsid w:val="005F026F"/>
    <w:rsid w:val="005F10E5"/>
    <w:rsid w:val="005F1CD4"/>
    <w:rsid w:val="005F2B02"/>
    <w:rsid w:val="005F2E21"/>
    <w:rsid w:val="005F5251"/>
    <w:rsid w:val="005F60F7"/>
    <w:rsid w:val="005F63D9"/>
    <w:rsid w:val="005F76B8"/>
    <w:rsid w:val="006009D0"/>
    <w:rsid w:val="00601E38"/>
    <w:rsid w:val="0060345F"/>
    <w:rsid w:val="00604A9E"/>
    <w:rsid w:val="006063E0"/>
    <w:rsid w:val="0060675D"/>
    <w:rsid w:val="006106BF"/>
    <w:rsid w:val="00612751"/>
    <w:rsid w:val="00613D9B"/>
    <w:rsid w:val="00614DF9"/>
    <w:rsid w:val="0061691D"/>
    <w:rsid w:val="00617204"/>
    <w:rsid w:val="006178E6"/>
    <w:rsid w:val="00617CC3"/>
    <w:rsid w:val="0062077F"/>
    <w:rsid w:val="00620889"/>
    <w:rsid w:val="006210A7"/>
    <w:rsid w:val="006241B4"/>
    <w:rsid w:val="006306AB"/>
    <w:rsid w:val="006309E7"/>
    <w:rsid w:val="00630EAA"/>
    <w:rsid w:val="006326C7"/>
    <w:rsid w:val="00633FA4"/>
    <w:rsid w:val="00636923"/>
    <w:rsid w:val="006377A6"/>
    <w:rsid w:val="00637A3D"/>
    <w:rsid w:val="00637D9C"/>
    <w:rsid w:val="006411EF"/>
    <w:rsid w:val="0064740D"/>
    <w:rsid w:val="00652205"/>
    <w:rsid w:val="00652EF2"/>
    <w:rsid w:val="00656700"/>
    <w:rsid w:val="006572DD"/>
    <w:rsid w:val="00660B23"/>
    <w:rsid w:val="00660BB6"/>
    <w:rsid w:val="00660E82"/>
    <w:rsid w:val="0066173F"/>
    <w:rsid w:val="00662DF7"/>
    <w:rsid w:val="00664AA5"/>
    <w:rsid w:val="006678DA"/>
    <w:rsid w:val="006748B8"/>
    <w:rsid w:val="00675902"/>
    <w:rsid w:val="006761BC"/>
    <w:rsid w:val="00676B8B"/>
    <w:rsid w:val="00676E11"/>
    <w:rsid w:val="006775C3"/>
    <w:rsid w:val="00680ACF"/>
    <w:rsid w:val="00680C54"/>
    <w:rsid w:val="00682593"/>
    <w:rsid w:val="00682897"/>
    <w:rsid w:val="006840DF"/>
    <w:rsid w:val="0068486F"/>
    <w:rsid w:val="0068529B"/>
    <w:rsid w:val="006861A9"/>
    <w:rsid w:val="006863F8"/>
    <w:rsid w:val="00687FD3"/>
    <w:rsid w:val="0069290A"/>
    <w:rsid w:val="00692B71"/>
    <w:rsid w:val="00696E3B"/>
    <w:rsid w:val="0069775A"/>
    <w:rsid w:val="00697813"/>
    <w:rsid w:val="006A05C5"/>
    <w:rsid w:val="006A0AF6"/>
    <w:rsid w:val="006A3EE8"/>
    <w:rsid w:val="006A59E6"/>
    <w:rsid w:val="006A6A7D"/>
    <w:rsid w:val="006A6A99"/>
    <w:rsid w:val="006A72BF"/>
    <w:rsid w:val="006A73A6"/>
    <w:rsid w:val="006A7B9B"/>
    <w:rsid w:val="006B03F2"/>
    <w:rsid w:val="006B37DC"/>
    <w:rsid w:val="006B47DD"/>
    <w:rsid w:val="006B4F68"/>
    <w:rsid w:val="006B4FC3"/>
    <w:rsid w:val="006B6D0E"/>
    <w:rsid w:val="006C0592"/>
    <w:rsid w:val="006C07C9"/>
    <w:rsid w:val="006C272E"/>
    <w:rsid w:val="006C2AE4"/>
    <w:rsid w:val="006C2DF8"/>
    <w:rsid w:val="006C3D18"/>
    <w:rsid w:val="006C3E07"/>
    <w:rsid w:val="006C463F"/>
    <w:rsid w:val="006C52BF"/>
    <w:rsid w:val="006C5479"/>
    <w:rsid w:val="006C54B2"/>
    <w:rsid w:val="006C75DD"/>
    <w:rsid w:val="006C7801"/>
    <w:rsid w:val="006D13B5"/>
    <w:rsid w:val="006D21E4"/>
    <w:rsid w:val="006D2842"/>
    <w:rsid w:val="006D4226"/>
    <w:rsid w:val="006D55CB"/>
    <w:rsid w:val="006D59B6"/>
    <w:rsid w:val="006D5B8E"/>
    <w:rsid w:val="006D68FF"/>
    <w:rsid w:val="006E12FF"/>
    <w:rsid w:val="006E2600"/>
    <w:rsid w:val="006E587D"/>
    <w:rsid w:val="006E5E3A"/>
    <w:rsid w:val="006E607E"/>
    <w:rsid w:val="006E635B"/>
    <w:rsid w:val="006F0A3B"/>
    <w:rsid w:val="006F4976"/>
    <w:rsid w:val="006F4F5C"/>
    <w:rsid w:val="006F56BD"/>
    <w:rsid w:val="006F7139"/>
    <w:rsid w:val="00703885"/>
    <w:rsid w:val="007056A3"/>
    <w:rsid w:val="00706827"/>
    <w:rsid w:val="00706C5D"/>
    <w:rsid w:val="007118B0"/>
    <w:rsid w:val="00713A0F"/>
    <w:rsid w:val="007152DA"/>
    <w:rsid w:val="00715E44"/>
    <w:rsid w:val="00715EAE"/>
    <w:rsid w:val="0071678D"/>
    <w:rsid w:val="00716FA4"/>
    <w:rsid w:val="00717103"/>
    <w:rsid w:val="00722CDA"/>
    <w:rsid w:val="00725CB0"/>
    <w:rsid w:val="00725E55"/>
    <w:rsid w:val="0072613B"/>
    <w:rsid w:val="0072627F"/>
    <w:rsid w:val="007300CE"/>
    <w:rsid w:val="00732922"/>
    <w:rsid w:val="00733689"/>
    <w:rsid w:val="0073529C"/>
    <w:rsid w:val="0073587D"/>
    <w:rsid w:val="007442F7"/>
    <w:rsid w:val="00745DC5"/>
    <w:rsid w:val="007468EE"/>
    <w:rsid w:val="007469AF"/>
    <w:rsid w:val="0075162E"/>
    <w:rsid w:val="00751762"/>
    <w:rsid w:val="00751DD0"/>
    <w:rsid w:val="00752C6F"/>
    <w:rsid w:val="007531EC"/>
    <w:rsid w:val="00754034"/>
    <w:rsid w:val="00754C97"/>
    <w:rsid w:val="00754CEB"/>
    <w:rsid w:val="007556A2"/>
    <w:rsid w:val="00755978"/>
    <w:rsid w:val="007559C6"/>
    <w:rsid w:val="00755ED0"/>
    <w:rsid w:val="00756091"/>
    <w:rsid w:val="007563C7"/>
    <w:rsid w:val="00756556"/>
    <w:rsid w:val="00756CB0"/>
    <w:rsid w:val="007579B0"/>
    <w:rsid w:val="00757E0B"/>
    <w:rsid w:val="007618C4"/>
    <w:rsid w:val="007641CF"/>
    <w:rsid w:val="007659EC"/>
    <w:rsid w:val="007661CC"/>
    <w:rsid w:val="007662BD"/>
    <w:rsid w:val="00767227"/>
    <w:rsid w:val="007677D4"/>
    <w:rsid w:val="00767980"/>
    <w:rsid w:val="00767B50"/>
    <w:rsid w:val="00767C54"/>
    <w:rsid w:val="00770141"/>
    <w:rsid w:val="00770B19"/>
    <w:rsid w:val="00771569"/>
    <w:rsid w:val="0077216F"/>
    <w:rsid w:val="007739AE"/>
    <w:rsid w:val="0077463F"/>
    <w:rsid w:val="007752F1"/>
    <w:rsid w:val="007756CC"/>
    <w:rsid w:val="00776F9E"/>
    <w:rsid w:val="0077764C"/>
    <w:rsid w:val="00780301"/>
    <w:rsid w:val="00780611"/>
    <w:rsid w:val="00780EF5"/>
    <w:rsid w:val="00781478"/>
    <w:rsid w:val="00781548"/>
    <w:rsid w:val="0078362D"/>
    <w:rsid w:val="007836EA"/>
    <w:rsid w:val="00784CDA"/>
    <w:rsid w:val="0078686E"/>
    <w:rsid w:val="007906C4"/>
    <w:rsid w:val="00792588"/>
    <w:rsid w:val="007929B8"/>
    <w:rsid w:val="007940EA"/>
    <w:rsid w:val="007967E8"/>
    <w:rsid w:val="00796F67"/>
    <w:rsid w:val="007A1417"/>
    <w:rsid w:val="007A2170"/>
    <w:rsid w:val="007A22BF"/>
    <w:rsid w:val="007A2E97"/>
    <w:rsid w:val="007A3323"/>
    <w:rsid w:val="007A4140"/>
    <w:rsid w:val="007A44D7"/>
    <w:rsid w:val="007A60B9"/>
    <w:rsid w:val="007A7C77"/>
    <w:rsid w:val="007B2B96"/>
    <w:rsid w:val="007B364F"/>
    <w:rsid w:val="007B4B49"/>
    <w:rsid w:val="007B506A"/>
    <w:rsid w:val="007B6BBC"/>
    <w:rsid w:val="007B72B8"/>
    <w:rsid w:val="007B751A"/>
    <w:rsid w:val="007B7A58"/>
    <w:rsid w:val="007C21B5"/>
    <w:rsid w:val="007C21CE"/>
    <w:rsid w:val="007C25B4"/>
    <w:rsid w:val="007C35AF"/>
    <w:rsid w:val="007C4200"/>
    <w:rsid w:val="007C453B"/>
    <w:rsid w:val="007C62A1"/>
    <w:rsid w:val="007D02A0"/>
    <w:rsid w:val="007D04F9"/>
    <w:rsid w:val="007D6A53"/>
    <w:rsid w:val="007E1696"/>
    <w:rsid w:val="007E23D3"/>
    <w:rsid w:val="007E2490"/>
    <w:rsid w:val="007E329C"/>
    <w:rsid w:val="007E4BD2"/>
    <w:rsid w:val="007E5A7E"/>
    <w:rsid w:val="007E5EBD"/>
    <w:rsid w:val="007F1E37"/>
    <w:rsid w:val="007F3944"/>
    <w:rsid w:val="007F4835"/>
    <w:rsid w:val="007F5EC9"/>
    <w:rsid w:val="007F6997"/>
    <w:rsid w:val="00801393"/>
    <w:rsid w:val="00802047"/>
    <w:rsid w:val="00802F88"/>
    <w:rsid w:val="00803A79"/>
    <w:rsid w:val="008049D9"/>
    <w:rsid w:val="00805711"/>
    <w:rsid w:val="008078DD"/>
    <w:rsid w:val="008109AB"/>
    <w:rsid w:val="00812793"/>
    <w:rsid w:val="0081293E"/>
    <w:rsid w:val="00813791"/>
    <w:rsid w:val="00814FC9"/>
    <w:rsid w:val="00815465"/>
    <w:rsid w:val="00816122"/>
    <w:rsid w:val="0081618F"/>
    <w:rsid w:val="00816873"/>
    <w:rsid w:val="00817A9E"/>
    <w:rsid w:val="00817E9A"/>
    <w:rsid w:val="00820F8F"/>
    <w:rsid w:val="00822AE6"/>
    <w:rsid w:val="008251C1"/>
    <w:rsid w:val="00825663"/>
    <w:rsid w:val="00825E9A"/>
    <w:rsid w:val="00826FCD"/>
    <w:rsid w:val="008270CD"/>
    <w:rsid w:val="0083045E"/>
    <w:rsid w:val="008306BD"/>
    <w:rsid w:val="008313FC"/>
    <w:rsid w:val="00831A80"/>
    <w:rsid w:val="00833743"/>
    <w:rsid w:val="008340A4"/>
    <w:rsid w:val="008371F1"/>
    <w:rsid w:val="00837E78"/>
    <w:rsid w:val="00840E1D"/>
    <w:rsid w:val="008433B1"/>
    <w:rsid w:val="00844126"/>
    <w:rsid w:val="00844285"/>
    <w:rsid w:val="008465E3"/>
    <w:rsid w:val="00853B7B"/>
    <w:rsid w:val="00853BEF"/>
    <w:rsid w:val="00853FC9"/>
    <w:rsid w:val="00856AE6"/>
    <w:rsid w:val="0086140A"/>
    <w:rsid w:val="00861C53"/>
    <w:rsid w:val="00862C40"/>
    <w:rsid w:val="00863997"/>
    <w:rsid w:val="00863D12"/>
    <w:rsid w:val="00863D9C"/>
    <w:rsid w:val="00864E64"/>
    <w:rsid w:val="008663E4"/>
    <w:rsid w:val="00867600"/>
    <w:rsid w:val="00867DC3"/>
    <w:rsid w:val="0087135F"/>
    <w:rsid w:val="008716FB"/>
    <w:rsid w:val="00872D94"/>
    <w:rsid w:val="0087491C"/>
    <w:rsid w:val="00875DD9"/>
    <w:rsid w:val="00876728"/>
    <w:rsid w:val="008778C1"/>
    <w:rsid w:val="00880364"/>
    <w:rsid w:val="008815CB"/>
    <w:rsid w:val="00881B3D"/>
    <w:rsid w:val="00881CA2"/>
    <w:rsid w:val="00883325"/>
    <w:rsid w:val="00883579"/>
    <w:rsid w:val="00883AA7"/>
    <w:rsid w:val="008845D1"/>
    <w:rsid w:val="00885337"/>
    <w:rsid w:val="00885689"/>
    <w:rsid w:val="0088776E"/>
    <w:rsid w:val="00890342"/>
    <w:rsid w:val="00891592"/>
    <w:rsid w:val="00891E9E"/>
    <w:rsid w:val="008923C2"/>
    <w:rsid w:val="00892C1F"/>
    <w:rsid w:val="00893D06"/>
    <w:rsid w:val="00893FC0"/>
    <w:rsid w:val="008A0721"/>
    <w:rsid w:val="008A0BAF"/>
    <w:rsid w:val="008A2F68"/>
    <w:rsid w:val="008A414B"/>
    <w:rsid w:val="008A5086"/>
    <w:rsid w:val="008B102A"/>
    <w:rsid w:val="008B116E"/>
    <w:rsid w:val="008B17A5"/>
    <w:rsid w:val="008B1DB8"/>
    <w:rsid w:val="008B3246"/>
    <w:rsid w:val="008B358E"/>
    <w:rsid w:val="008B37D8"/>
    <w:rsid w:val="008B3991"/>
    <w:rsid w:val="008B455F"/>
    <w:rsid w:val="008B4FA6"/>
    <w:rsid w:val="008B5282"/>
    <w:rsid w:val="008B6319"/>
    <w:rsid w:val="008B6924"/>
    <w:rsid w:val="008B7C17"/>
    <w:rsid w:val="008C1AEC"/>
    <w:rsid w:val="008C2D01"/>
    <w:rsid w:val="008C40E6"/>
    <w:rsid w:val="008C595C"/>
    <w:rsid w:val="008C7730"/>
    <w:rsid w:val="008D0EB5"/>
    <w:rsid w:val="008D0F7A"/>
    <w:rsid w:val="008D12FA"/>
    <w:rsid w:val="008D1DB3"/>
    <w:rsid w:val="008D1EB4"/>
    <w:rsid w:val="008D61F3"/>
    <w:rsid w:val="008D68E4"/>
    <w:rsid w:val="008D6B7F"/>
    <w:rsid w:val="008D6EE0"/>
    <w:rsid w:val="008E00FE"/>
    <w:rsid w:val="008E0506"/>
    <w:rsid w:val="008E0CFF"/>
    <w:rsid w:val="008E1A31"/>
    <w:rsid w:val="008E3EBB"/>
    <w:rsid w:val="008E4C02"/>
    <w:rsid w:val="008E4F7F"/>
    <w:rsid w:val="008E5D6B"/>
    <w:rsid w:val="008E76F0"/>
    <w:rsid w:val="008F1055"/>
    <w:rsid w:val="008F15FE"/>
    <w:rsid w:val="008F2D29"/>
    <w:rsid w:val="008F4A61"/>
    <w:rsid w:val="008F5187"/>
    <w:rsid w:val="008F60D8"/>
    <w:rsid w:val="008F6216"/>
    <w:rsid w:val="008F642D"/>
    <w:rsid w:val="00900D02"/>
    <w:rsid w:val="00901D97"/>
    <w:rsid w:val="00902323"/>
    <w:rsid w:val="00902727"/>
    <w:rsid w:val="0090312B"/>
    <w:rsid w:val="00905205"/>
    <w:rsid w:val="009110C4"/>
    <w:rsid w:val="00912540"/>
    <w:rsid w:val="009132D5"/>
    <w:rsid w:val="009139D0"/>
    <w:rsid w:val="00916AEE"/>
    <w:rsid w:val="0091736D"/>
    <w:rsid w:val="00917A35"/>
    <w:rsid w:val="00921ACC"/>
    <w:rsid w:val="00921DFB"/>
    <w:rsid w:val="00922A10"/>
    <w:rsid w:val="00923655"/>
    <w:rsid w:val="00923D6F"/>
    <w:rsid w:val="00927CED"/>
    <w:rsid w:val="0093037A"/>
    <w:rsid w:val="00931EEF"/>
    <w:rsid w:val="00934014"/>
    <w:rsid w:val="009376A7"/>
    <w:rsid w:val="0094154D"/>
    <w:rsid w:val="00943CB1"/>
    <w:rsid w:val="00945442"/>
    <w:rsid w:val="00946ED7"/>
    <w:rsid w:val="0095068D"/>
    <w:rsid w:val="0095155F"/>
    <w:rsid w:val="0095277F"/>
    <w:rsid w:val="0095320F"/>
    <w:rsid w:val="00954429"/>
    <w:rsid w:val="009563CE"/>
    <w:rsid w:val="00960DA6"/>
    <w:rsid w:val="00963589"/>
    <w:rsid w:val="00966C58"/>
    <w:rsid w:val="00967364"/>
    <w:rsid w:val="009712B1"/>
    <w:rsid w:val="009719E3"/>
    <w:rsid w:val="00973634"/>
    <w:rsid w:val="0097398B"/>
    <w:rsid w:val="00973FBF"/>
    <w:rsid w:val="00976328"/>
    <w:rsid w:val="0097680D"/>
    <w:rsid w:val="00977FEE"/>
    <w:rsid w:val="00982438"/>
    <w:rsid w:val="009827AF"/>
    <w:rsid w:val="00983170"/>
    <w:rsid w:val="0098355B"/>
    <w:rsid w:val="0098404C"/>
    <w:rsid w:val="00985283"/>
    <w:rsid w:val="00986E23"/>
    <w:rsid w:val="009929F5"/>
    <w:rsid w:val="00993935"/>
    <w:rsid w:val="009947D1"/>
    <w:rsid w:val="00995992"/>
    <w:rsid w:val="00995B5E"/>
    <w:rsid w:val="0099731D"/>
    <w:rsid w:val="00997B6E"/>
    <w:rsid w:val="009A0069"/>
    <w:rsid w:val="009A03E5"/>
    <w:rsid w:val="009A0F3B"/>
    <w:rsid w:val="009A1852"/>
    <w:rsid w:val="009A1BB4"/>
    <w:rsid w:val="009A2628"/>
    <w:rsid w:val="009A3200"/>
    <w:rsid w:val="009A5E03"/>
    <w:rsid w:val="009A609A"/>
    <w:rsid w:val="009A6AFB"/>
    <w:rsid w:val="009A6C51"/>
    <w:rsid w:val="009B025F"/>
    <w:rsid w:val="009B0897"/>
    <w:rsid w:val="009B1A47"/>
    <w:rsid w:val="009B69C8"/>
    <w:rsid w:val="009B7BD9"/>
    <w:rsid w:val="009C0E71"/>
    <w:rsid w:val="009C302D"/>
    <w:rsid w:val="009C3C98"/>
    <w:rsid w:val="009C45A5"/>
    <w:rsid w:val="009C7DD5"/>
    <w:rsid w:val="009D0CD4"/>
    <w:rsid w:val="009D0FEE"/>
    <w:rsid w:val="009D2B69"/>
    <w:rsid w:val="009D5023"/>
    <w:rsid w:val="009D5B42"/>
    <w:rsid w:val="009D5FDB"/>
    <w:rsid w:val="009D7E7F"/>
    <w:rsid w:val="009E0832"/>
    <w:rsid w:val="009E227D"/>
    <w:rsid w:val="009E23C8"/>
    <w:rsid w:val="009E2AED"/>
    <w:rsid w:val="009E320B"/>
    <w:rsid w:val="009E5019"/>
    <w:rsid w:val="009E5253"/>
    <w:rsid w:val="009E5863"/>
    <w:rsid w:val="009F44F4"/>
    <w:rsid w:val="009F4AE9"/>
    <w:rsid w:val="009F4D22"/>
    <w:rsid w:val="009F58F9"/>
    <w:rsid w:val="00A00A71"/>
    <w:rsid w:val="00A013D5"/>
    <w:rsid w:val="00A0144C"/>
    <w:rsid w:val="00A01AC5"/>
    <w:rsid w:val="00A026AA"/>
    <w:rsid w:val="00A034A0"/>
    <w:rsid w:val="00A04ED9"/>
    <w:rsid w:val="00A04F1B"/>
    <w:rsid w:val="00A0501B"/>
    <w:rsid w:val="00A05A04"/>
    <w:rsid w:val="00A111FD"/>
    <w:rsid w:val="00A11DB7"/>
    <w:rsid w:val="00A14946"/>
    <w:rsid w:val="00A14947"/>
    <w:rsid w:val="00A15421"/>
    <w:rsid w:val="00A1594F"/>
    <w:rsid w:val="00A15AC2"/>
    <w:rsid w:val="00A162C6"/>
    <w:rsid w:val="00A20986"/>
    <w:rsid w:val="00A232CA"/>
    <w:rsid w:val="00A23B93"/>
    <w:rsid w:val="00A23DF4"/>
    <w:rsid w:val="00A26942"/>
    <w:rsid w:val="00A2703B"/>
    <w:rsid w:val="00A31540"/>
    <w:rsid w:val="00A32A83"/>
    <w:rsid w:val="00A3572D"/>
    <w:rsid w:val="00A368DB"/>
    <w:rsid w:val="00A36F52"/>
    <w:rsid w:val="00A37FCD"/>
    <w:rsid w:val="00A41EB4"/>
    <w:rsid w:val="00A41EE9"/>
    <w:rsid w:val="00A423AA"/>
    <w:rsid w:val="00A4326C"/>
    <w:rsid w:val="00A4437F"/>
    <w:rsid w:val="00A444A9"/>
    <w:rsid w:val="00A44962"/>
    <w:rsid w:val="00A454C1"/>
    <w:rsid w:val="00A47F24"/>
    <w:rsid w:val="00A51B43"/>
    <w:rsid w:val="00A5248B"/>
    <w:rsid w:val="00A53671"/>
    <w:rsid w:val="00A53EC6"/>
    <w:rsid w:val="00A54E5B"/>
    <w:rsid w:val="00A55518"/>
    <w:rsid w:val="00A55C0F"/>
    <w:rsid w:val="00A56967"/>
    <w:rsid w:val="00A576C9"/>
    <w:rsid w:val="00A617E9"/>
    <w:rsid w:val="00A61FB3"/>
    <w:rsid w:val="00A62A47"/>
    <w:rsid w:val="00A642BF"/>
    <w:rsid w:val="00A6580C"/>
    <w:rsid w:val="00A7034F"/>
    <w:rsid w:val="00A705E0"/>
    <w:rsid w:val="00A721AB"/>
    <w:rsid w:val="00A73113"/>
    <w:rsid w:val="00A73B8C"/>
    <w:rsid w:val="00A7415B"/>
    <w:rsid w:val="00A75881"/>
    <w:rsid w:val="00A7617D"/>
    <w:rsid w:val="00A8009F"/>
    <w:rsid w:val="00A8155A"/>
    <w:rsid w:val="00A8386F"/>
    <w:rsid w:val="00A84C32"/>
    <w:rsid w:val="00A84D2C"/>
    <w:rsid w:val="00A85026"/>
    <w:rsid w:val="00A8566B"/>
    <w:rsid w:val="00A86D82"/>
    <w:rsid w:val="00A8713F"/>
    <w:rsid w:val="00A90BA1"/>
    <w:rsid w:val="00A91AA0"/>
    <w:rsid w:val="00A949F3"/>
    <w:rsid w:val="00A9729B"/>
    <w:rsid w:val="00A97A9A"/>
    <w:rsid w:val="00AA0671"/>
    <w:rsid w:val="00AA1AB0"/>
    <w:rsid w:val="00AA1E3D"/>
    <w:rsid w:val="00AA2531"/>
    <w:rsid w:val="00AA73FC"/>
    <w:rsid w:val="00AA751B"/>
    <w:rsid w:val="00AB0117"/>
    <w:rsid w:val="00AB1CFF"/>
    <w:rsid w:val="00AB1E09"/>
    <w:rsid w:val="00AB31D7"/>
    <w:rsid w:val="00AB50CD"/>
    <w:rsid w:val="00AB521E"/>
    <w:rsid w:val="00AB5330"/>
    <w:rsid w:val="00AB54B1"/>
    <w:rsid w:val="00AB5E54"/>
    <w:rsid w:val="00AB733B"/>
    <w:rsid w:val="00AB7747"/>
    <w:rsid w:val="00AB7EF3"/>
    <w:rsid w:val="00AC14CE"/>
    <w:rsid w:val="00AC2A56"/>
    <w:rsid w:val="00AC6356"/>
    <w:rsid w:val="00AC6B1E"/>
    <w:rsid w:val="00AC78D6"/>
    <w:rsid w:val="00AC79FC"/>
    <w:rsid w:val="00AD055E"/>
    <w:rsid w:val="00AD0974"/>
    <w:rsid w:val="00AD1708"/>
    <w:rsid w:val="00AD2054"/>
    <w:rsid w:val="00AD2B6D"/>
    <w:rsid w:val="00AD33B2"/>
    <w:rsid w:val="00AD47A7"/>
    <w:rsid w:val="00AD4CCF"/>
    <w:rsid w:val="00AD575B"/>
    <w:rsid w:val="00AE05BF"/>
    <w:rsid w:val="00AE3DF1"/>
    <w:rsid w:val="00AE4945"/>
    <w:rsid w:val="00AE4BA7"/>
    <w:rsid w:val="00AE786A"/>
    <w:rsid w:val="00AE7CCD"/>
    <w:rsid w:val="00AF003F"/>
    <w:rsid w:val="00AF0C09"/>
    <w:rsid w:val="00AF0CBF"/>
    <w:rsid w:val="00AF257F"/>
    <w:rsid w:val="00AF26E7"/>
    <w:rsid w:val="00AF33CF"/>
    <w:rsid w:val="00AF34A4"/>
    <w:rsid w:val="00AF4D50"/>
    <w:rsid w:val="00AF4E90"/>
    <w:rsid w:val="00AF6179"/>
    <w:rsid w:val="00AF7D58"/>
    <w:rsid w:val="00B0093A"/>
    <w:rsid w:val="00B018C4"/>
    <w:rsid w:val="00B01FE8"/>
    <w:rsid w:val="00B12080"/>
    <w:rsid w:val="00B128DD"/>
    <w:rsid w:val="00B1295A"/>
    <w:rsid w:val="00B153A4"/>
    <w:rsid w:val="00B17FB0"/>
    <w:rsid w:val="00B20A45"/>
    <w:rsid w:val="00B20CE2"/>
    <w:rsid w:val="00B2127B"/>
    <w:rsid w:val="00B21D6C"/>
    <w:rsid w:val="00B22594"/>
    <w:rsid w:val="00B22C5C"/>
    <w:rsid w:val="00B234BC"/>
    <w:rsid w:val="00B23A7D"/>
    <w:rsid w:val="00B242D0"/>
    <w:rsid w:val="00B24F30"/>
    <w:rsid w:val="00B26D44"/>
    <w:rsid w:val="00B316CB"/>
    <w:rsid w:val="00B31ABF"/>
    <w:rsid w:val="00B33BE3"/>
    <w:rsid w:val="00B3568F"/>
    <w:rsid w:val="00B3591C"/>
    <w:rsid w:val="00B3602E"/>
    <w:rsid w:val="00B370F7"/>
    <w:rsid w:val="00B37935"/>
    <w:rsid w:val="00B37D01"/>
    <w:rsid w:val="00B411C1"/>
    <w:rsid w:val="00B41A50"/>
    <w:rsid w:val="00B437B1"/>
    <w:rsid w:val="00B46156"/>
    <w:rsid w:val="00B4648B"/>
    <w:rsid w:val="00B5010D"/>
    <w:rsid w:val="00B5320E"/>
    <w:rsid w:val="00B5382D"/>
    <w:rsid w:val="00B53B5D"/>
    <w:rsid w:val="00B53C85"/>
    <w:rsid w:val="00B55BA5"/>
    <w:rsid w:val="00B573C7"/>
    <w:rsid w:val="00B576A5"/>
    <w:rsid w:val="00B57815"/>
    <w:rsid w:val="00B57FDE"/>
    <w:rsid w:val="00B6055E"/>
    <w:rsid w:val="00B6095F"/>
    <w:rsid w:val="00B61AD5"/>
    <w:rsid w:val="00B626E9"/>
    <w:rsid w:val="00B6317D"/>
    <w:rsid w:val="00B65C6B"/>
    <w:rsid w:val="00B73137"/>
    <w:rsid w:val="00B7723F"/>
    <w:rsid w:val="00B775C1"/>
    <w:rsid w:val="00B77E15"/>
    <w:rsid w:val="00B80534"/>
    <w:rsid w:val="00B8064A"/>
    <w:rsid w:val="00B80914"/>
    <w:rsid w:val="00B80AD0"/>
    <w:rsid w:val="00B8302E"/>
    <w:rsid w:val="00B8331F"/>
    <w:rsid w:val="00B8433C"/>
    <w:rsid w:val="00B87491"/>
    <w:rsid w:val="00B91F89"/>
    <w:rsid w:val="00B93293"/>
    <w:rsid w:val="00B93B49"/>
    <w:rsid w:val="00B94525"/>
    <w:rsid w:val="00B95210"/>
    <w:rsid w:val="00B96DF4"/>
    <w:rsid w:val="00BA133A"/>
    <w:rsid w:val="00BA1534"/>
    <w:rsid w:val="00BA18A4"/>
    <w:rsid w:val="00BA1FEA"/>
    <w:rsid w:val="00BA29E9"/>
    <w:rsid w:val="00BA2CA7"/>
    <w:rsid w:val="00BA2DCB"/>
    <w:rsid w:val="00BA5C75"/>
    <w:rsid w:val="00BA5DA5"/>
    <w:rsid w:val="00BA6084"/>
    <w:rsid w:val="00BA6A82"/>
    <w:rsid w:val="00BA7142"/>
    <w:rsid w:val="00BB0D74"/>
    <w:rsid w:val="00BB1443"/>
    <w:rsid w:val="00BB1507"/>
    <w:rsid w:val="00BB237C"/>
    <w:rsid w:val="00BB350A"/>
    <w:rsid w:val="00BB41A3"/>
    <w:rsid w:val="00BB5320"/>
    <w:rsid w:val="00BB6EC5"/>
    <w:rsid w:val="00BC1717"/>
    <w:rsid w:val="00BC259B"/>
    <w:rsid w:val="00BC32DC"/>
    <w:rsid w:val="00BC35B6"/>
    <w:rsid w:val="00BC41EA"/>
    <w:rsid w:val="00BC5661"/>
    <w:rsid w:val="00BC600F"/>
    <w:rsid w:val="00BC75FD"/>
    <w:rsid w:val="00BC77C6"/>
    <w:rsid w:val="00BD0ABF"/>
    <w:rsid w:val="00BD1B51"/>
    <w:rsid w:val="00BD42E7"/>
    <w:rsid w:val="00BD452C"/>
    <w:rsid w:val="00BD4596"/>
    <w:rsid w:val="00BD5F15"/>
    <w:rsid w:val="00BD67A0"/>
    <w:rsid w:val="00BD6A81"/>
    <w:rsid w:val="00BD6EFE"/>
    <w:rsid w:val="00BE100A"/>
    <w:rsid w:val="00BE1405"/>
    <w:rsid w:val="00BE312D"/>
    <w:rsid w:val="00BE6E31"/>
    <w:rsid w:val="00BE7688"/>
    <w:rsid w:val="00BF1C20"/>
    <w:rsid w:val="00BF5C0E"/>
    <w:rsid w:val="00C0493F"/>
    <w:rsid w:val="00C0600B"/>
    <w:rsid w:val="00C06BB3"/>
    <w:rsid w:val="00C10578"/>
    <w:rsid w:val="00C11AC9"/>
    <w:rsid w:val="00C11C56"/>
    <w:rsid w:val="00C12023"/>
    <w:rsid w:val="00C124E7"/>
    <w:rsid w:val="00C135BC"/>
    <w:rsid w:val="00C1476C"/>
    <w:rsid w:val="00C1596C"/>
    <w:rsid w:val="00C15C95"/>
    <w:rsid w:val="00C16261"/>
    <w:rsid w:val="00C20B33"/>
    <w:rsid w:val="00C21297"/>
    <w:rsid w:val="00C2596A"/>
    <w:rsid w:val="00C26678"/>
    <w:rsid w:val="00C27537"/>
    <w:rsid w:val="00C3269D"/>
    <w:rsid w:val="00C328FE"/>
    <w:rsid w:val="00C33507"/>
    <w:rsid w:val="00C3360E"/>
    <w:rsid w:val="00C345C3"/>
    <w:rsid w:val="00C41AB8"/>
    <w:rsid w:val="00C43383"/>
    <w:rsid w:val="00C43F03"/>
    <w:rsid w:val="00C4409D"/>
    <w:rsid w:val="00C44E72"/>
    <w:rsid w:val="00C45A06"/>
    <w:rsid w:val="00C47E5B"/>
    <w:rsid w:val="00C52DD6"/>
    <w:rsid w:val="00C54D83"/>
    <w:rsid w:val="00C55B2E"/>
    <w:rsid w:val="00C61E4B"/>
    <w:rsid w:val="00C629A2"/>
    <w:rsid w:val="00C62D2A"/>
    <w:rsid w:val="00C64BFF"/>
    <w:rsid w:val="00C65D27"/>
    <w:rsid w:val="00C67C87"/>
    <w:rsid w:val="00C704E9"/>
    <w:rsid w:val="00C70873"/>
    <w:rsid w:val="00C74756"/>
    <w:rsid w:val="00C74FEC"/>
    <w:rsid w:val="00C75194"/>
    <w:rsid w:val="00C75AF8"/>
    <w:rsid w:val="00C763C9"/>
    <w:rsid w:val="00C774BC"/>
    <w:rsid w:val="00C80057"/>
    <w:rsid w:val="00C80993"/>
    <w:rsid w:val="00C82232"/>
    <w:rsid w:val="00C823C1"/>
    <w:rsid w:val="00C82913"/>
    <w:rsid w:val="00C8470D"/>
    <w:rsid w:val="00C85E84"/>
    <w:rsid w:val="00C878DD"/>
    <w:rsid w:val="00C91998"/>
    <w:rsid w:val="00C93053"/>
    <w:rsid w:val="00C9480D"/>
    <w:rsid w:val="00C96F6F"/>
    <w:rsid w:val="00C972B1"/>
    <w:rsid w:val="00C978A8"/>
    <w:rsid w:val="00CA0087"/>
    <w:rsid w:val="00CA0E9E"/>
    <w:rsid w:val="00CA2CCE"/>
    <w:rsid w:val="00CA43FD"/>
    <w:rsid w:val="00CA7A11"/>
    <w:rsid w:val="00CA7EF8"/>
    <w:rsid w:val="00CB16E1"/>
    <w:rsid w:val="00CB17E7"/>
    <w:rsid w:val="00CB1BF5"/>
    <w:rsid w:val="00CB5002"/>
    <w:rsid w:val="00CB5BDD"/>
    <w:rsid w:val="00CB6618"/>
    <w:rsid w:val="00CB7550"/>
    <w:rsid w:val="00CB797B"/>
    <w:rsid w:val="00CB7D40"/>
    <w:rsid w:val="00CC0939"/>
    <w:rsid w:val="00CC12BB"/>
    <w:rsid w:val="00CC1DD5"/>
    <w:rsid w:val="00CC489B"/>
    <w:rsid w:val="00CC4927"/>
    <w:rsid w:val="00CC7995"/>
    <w:rsid w:val="00CC7E44"/>
    <w:rsid w:val="00CD2A33"/>
    <w:rsid w:val="00CD2BCD"/>
    <w:rsid w:val="00CD324A"/>
    <w:rsid w:val="00CD342D"/>
    <w:rsid w:val="00CD34A7"/>
    <w:rsid w:val="00CD3A4C"/>
    <w:rsid w:val="00CD58B5"/>
    <w:rsid w:val="00CE04F8"/>
    <w:rsid w:val="00CE10E9"/>
    <w:rsid w:val="00CE2910"/>
    <w:rsid w:val="00CE3E75"/>
    <w:rsid w:val="00CE4536"/>
    <w:rsid w:val="00CE4C4E"/>
    <w:rsid w:val="00CE5393"/>
    <w:rsid w:val="00CE6CD5"/>
    <w:rsid w:val="00CE7177"/>
    <w:rsid w:val="00CE7422"/>
    <w:rsid w:val="00CF1FC1"/>
    <w:rsid w:val="00CF22BC"/>
    <w:rsid w:val="00CF36BE"/>
    <w:rsid w:val="00CF3CC1"/>
    <w:rsid w:val="00CF42BB"/>
    <w:rsid w:val="00CF484C"/>
    <w:rsid w:val="00CF5A00"/>
    <w:rsid w:val="00CF6000"/>
    <w:rsid w:val="00CF66BF"/>
    <w:rsid w:val="00CF697B"/>
    <w:rsid w:val="00CF6AA2"/>
    <w:rsid w:val="00CF7653"/>
    <w:rsid w:val="00D003F3"/>
    <w:rsid w:val="00D009F7"/>
    <w:rsid w:val="00D00C5F"/>
    <w:rsid w:val="00D01054"/>
    <w:rsid w:val="00D01366"/>
    <w:rsid w:val="00D01FA8"/>
    <w:rsid w:val="00D02BF2"/>
    <w:rsid w:val="00D0364F"/>
    <w:rsid w:val="00D05BFA"/>
    <w:rsid w:val="00D06834"/>
    <w:rsid w:val="00D070F7"/>
    <w:rsid w:val="00D07600"/>
    <w:rsid w:val="00D1167F"/>
    <w:rsid w:val="00D1351D"/>
    <w:rsid w:val="00D15112"/>
    <w:rsid w:val="00D1615C"/>
    <w:rsid w:val="00D16A67"/>
    <w:rsid w:val="00D17749"/>
    <w:rsid w:val="00D20A9D"/>
    <w:rsid w:val="00D2178D"/>
    <w:rsid w:val="00D21F0C"/>
    <w:rsid w:val="00D308ED"/>
    <w:rsid w:val="00D31571"/>
    <w:rsid w:val="00D3436C"/>
    <w:rsid w:val="00D36414"/>
    <w:rsid w:val="00D36D86"/>
    <w:rsid w:val="00D406BD"/>
    <w:rsid w:val="00D40F52"/>
    <w:rsid w:val="00D4139C"/>
    <w:rsid w:val="00D41EA9"/>
    <w:rsid w:val="00D428AA"/>
    <w:rsid w:val="00D4509F"/>
    <w:rsid w:val="00D4788B"/>
    <w:rsid w:val="00D50A34"/>
    <w:rsid w:val="00D518E9"/>
    <w:rsid w:val="00D53EFA"/>
    <w:rsid w:val="00D53FEB"/>
    <w:rsid w:val="00D54F61"/>
    <w:rsid w:val="00D56D53"/>
    <w:rsid w:val="00D60042"/>
    <w:rsid w:val="00D61C20"/>
    <w:rsid w:val="00D620C1"/>
    <w:rsid w:val="00D63A4C"/>
    <w:rsid w:val="00D67008"/>
    <w:rsid w:val="00D6740C"/>
    <w:rsid w:val="00D70FF8"/>
    <w:rsid w:val="00D71AAF"/>
    <w:rsid w:val="00D71AF7"/>
    <w:rsid w:val="00D74F2D"/>
    <w:rsid w:val="00D77248"/>
    <w:rsid w:val="00D846AA"/>
    <w:rsid w:val="00D84705"/>
    <w:rsid w:val="00D8548B"/>
    <w:rsid w:val="00D854F7"/>
    <w:rsid w:val="00D862D7"/>
    <w:rsid w:val="00D90D28"/>
    <w:rsid w:val="00D912CD"/>
    <w:rsid w:val="00D918B1"/>
    <w:rsid w:val="00D92DD9"/>
    <w:rsid w:val="00D93FBE"/>
    <w:rsid w:val="00D94A7C"/>
    <w:rsid w:val="00D95896"/>
    <w:rsid w:val="00D96ABA"/>
    <w:rsid w:val="00D96DAD"/>
    <w:rsid w:val="00D975D8"/>
    <w:rsid w:val="00D97A17"/>
    <w:rsid w:val="00DA2DB8"/>
    <w:rsid w:val="00DA3796"/>
    <w:rsid w:val="00DA3AEE"/>
    <w:rsid w:val="00DA40ED"/>
    <w:rsid w:val="00DA6BAA"/>
    <w:rsid w:val="00DB032D"/>
    <w:rsid w:val="00DB0837"/>
    <w:rsid w:val="00DB16F9"/>
    <w:rsid w:val="00DB2983"/>
    <w:rsid w:val="00DB311F"/>
    <w:rsid w:val="00DB3425"/>
    <w:rsid w:val="00DB3C2D"/>
    <w:rsid w:val="00DB5E23"/>
    <w:rsid w:val="00DB600C"/>
    <w:rsid w:val="00DB6349"/>
    <w:rsid w:val="00DB78BC"/>
    <w:rsid w:val="00DC013B"/>
    <w:rsid w:val="00DC1257"/>
    <w:rsid w:val="00DC19A6"/>
    <w:rsid w:val="00DC2721"/>
    <w:rsid w:val="00DC3DC0"/>
    <w:rsid w:val="00DC5133"/>
    <w:rsid w:val="00DC5B2B"/>
    <w:rsid w:val="00DC7744"/>
    <w:rsid w:val="00DC7DAF"/>
    <w:rsid w:val="00DD10A8"/>
    <w:rsid w:val="00DD1367"/>
    <w:rsid w:val="00DD318D"/>
    <w:rsid w:val="00DD3D13"/>
    <w:rsid w:val="00DD636F"/>
    <w:rsid w:val="00DE1003"/>
    <w:rsid w:val="00DE1A2A"/>
    <w:rsid w:val="00DE3F5B"/>
    <w:rsid w:val="00DE4F67"/>
    <w:rsid w:val="00DE692D"/>
    <w:rsid w:val="00DF1857"/>
    <w:rsid w:val="00DF1CC4"/>
    <w:rsid w:val="00DF2053"/>
    <w:rsid w:val="00DF217B"/>
    <w:rsid w:val="00DF2E12"/>
    <w:rsid w:val="00DF2F7C"/>
    <w:rsid w:val="00DF514A"/>
    <w:rsid w:val="00DF6690"/>
    <w:rsid w:val="00DF6804"/>
    <w:rsid w:val="00DF6AD2"/>
    <w:rsid w:val="00DF76BA"/>
    <w:rsid w:val="00E0074B"/>
    <w:rsid w:val="00E010C9"/>
    <w:rsid w:val="00E01990"/>
    <w:rsid w:val="00E01AC0"/>
    <w:rsid w:val="00E02630"/>
    <w:rsid w:val="00E02BEF"/>
    <w:rsid w:val="00E03271"/>
    <w:rsid w:val="00E0341A"/>
    <w:rsid w:val="00E0358D"/>
    <w:rsid w:val="00E040D9"/>
    <w:rsid w:val="00E04323"/>
    <w:rsid w:val="00E05BF3"/>
    <w:rsid w:val="00E06D24"/>
    <w:rsid w:val="00E070A2"/>
    <w:rsid w:val="00E07F41"/>
    <w:rsid w:val="00E10275"/>
    <w:rsid w:val="00E11EAB"/>
    <w:rsid w:val="00E21B42"/>
    <w:rsid w:val="00E22F14"/>
    <w:rsid w:val="00E2570B"/>
    <w:rsid w:val="00E2656A"/>
    <w:rsid w:val="00E26B5D"/>
    <w:rsid w:val="00E2752D"/>
    <w:rsid w:val="00E27DEA"/>
    <w:rsid w:val="00E31BB7"/>
    <w:rsid w:val="00E33041"/>
    <w:rsid w:val="00E33117"/>
    <w:rsid w:val="00E34529"/>
    <w:rsid w:val="00E3680A"/>
    <w:rsid w:val="00E36C09"/>
    <w:rsid w:val="00E37723"/>
    <w:rsid w:val="00E40E43"/>
    <w:rsid w:val="00E40E74"/>
    <w:rsid w:val="00E412D0"/>
    <w:rsid w:val="00E474AB"/>
    <w:rsid w:val="00E5144E"/>
    <w:rsid w:val="00E54B96"/>
    <w:rsid w:val="00E56322"/>
    <w:rsid w:val="00E60982"/>
    <w:rsid w:val="00E61CFA"/>
    <w:rsid w:val="00E62497"/>
    <w:rsid w:val="00E62C62"/>
    <w:rsid w:val="00E64EB4"/>
    <w:rsid w:val="00E654C1"/>
    <w:rsid w:val="00E65D97"/>
    <w:rsid w:val="00E65FDF"/>
    <w:rsid w:val="00E70D48"/>
    <w:rsid w:val="00E72837"/>
    <w:rsid w:val="00E72A5A"/>
    <w:rsid w:val="00E72A8C"/>
    <w:rsid w:val="00E73141"/>
    <w:rsid w:val="00E731F3"/>
    <w:rsid w:val="00E73354"/>
    <w:rsid w:val="00E7523A"/>
    <w:rsid w:val="00E77519"/>
    <w:rsid w:val="00E8003B"/>
    <w:rsid w:val="00E84114"/>
    <w:rsid w:val="00E8560F"/>
    <w:rsid w:val="00E85B0B"/>
    <w:rsid w:val="00E8655D"/>
    <w:rsid w:val="00E86BF8"/>
    <w:rsid w:val="00E91824"/>
    <w:rsid w:val="00E9242D"/>
    <w:rsid w:val="00E93BCB"/>
    <w:rsid w:val="00E94931"/>
    <w:rsid w:val="00E9540B"/>
    <w:rsid w:val="00E959F1"/>
    <w:rsid w:val="00E96BDF"/>
    <w:rsid w:val="00E977F7"/>
    <w:rsid w:val="00EA0EBC"/>
    <w:rsid w:val="00EA2711"/>
    <w:rsid w:val="00EA6002"/>
    <w:rsid w:val="00EA6AD2"/>
    <w:rsid w:val="00EA766A"/>
    <w:rsid w:val="00EB0920"/>
    <w:rsid w:val="00EB0BD9"/>
    <w:rsid w:val="00EB171A"/>
    <w:rsid w:val="00EB17CD"/>
    <w:rsid w:val="00EB25AF"/>
    <w:rsid w:val="00EB4F8E"/>
    <w:rsid w:val="00EB5255"/>
    <w:rsid w:val="00EB5C47"/>
    <w:rsid w:val="00EB6A7C"/>
    <w:rsid w:val="00EC282F"/>
    <w:rsid w:val="00EC332E"/>
    <w:rsid w:val="00EC48EA"/>
    <w:rsid w:val="00EC4C8F"/>
    <w:rsid w:val="00EC564E"/>
    <w:rsid w:val="00EC64E4"/>
    <w:rsid w:val="00EC7336"/>
    <w:rsid w:val="00ED05B2"/>
    <w:rsid w:val="00ED0639"/>
    <w:rsid w:val="00ED1764"/>
    <w:rsid w:val="00ED350B"/>
    <w:rsid w:val="00ED36EF"/>
    <w:rsid w:val="00ED42DB"/>
    <w:rsid w:val="00ED4926"/>
    <w:rsid w:val="00ED4BED"/>
    <w:rsid w:val="00ED56D7"/>
    <w:rsid w:val="00ED78A8"/>
    <w:rsid w:val="00EE03B6"/>
    <w:rsid w:val="00EF07E9"/>
    <w:rsid w:val="00EF08B1"/>
    <w:rsid w:val="00EF18C8"/>
    <w:rsid w:val="00EF1C01"/>
    <w:rsid w:val="00EF4755"/>
    <w:rsid w:val="00EF4B80"/>
    <w:rsid w:val="00EF7135"/>
    <w:rsid w:val="00F001BE"/>
    <w:rsid w:val="00F0144D"/>
    <w:rsid w:val="00F027DB"/>
    <w:rsid w:val="00F040AC"/>
    <w:rsid w:val="00F0725A"/>
    <w:rsid w:val="00F07DDB"/>
    <w:rsid w:val="00F10001"/>
    <w:rsid w:val="00F111D6"/>
    <w:rsid w:val="00F1306A"/>
    <w:rsid w:val="00F13967"/>
    <w:rsid w:val="00F14A7A"/>
    <w:rsid w:val="00F14F65"/>
    <w:rsid w:val="00F16279"/>
    <w:rsid w:val="00F20E2F"/>
    <w:rsid w:val="00F20EF3"/>
    <w:rsid w:val="00F21FCE"/>
    <w:rsid w:val="00F22985"/>
    <w:rsid w:val="00F22A78"/>
    <w:rsid w:val="00F22C04"/>
    <w:rsid w:val="00F233A0"/>
    <w:rsid w:val="00F26DC2"/>
    <w:rsid w:val="00F30099"/>
    <w:rsid w:val="00F302C2"/>
    <w:rsid w:val="00F32FF8"/>
    <w:rsid w:val="00F3383E"/>
    <w:rsid w:val="00F4111B"/>
    <w:rsid w:val="00F43E1A"/>
    <w:rsid w:val="00F44F13"/>
    <w:rsid w:val="00F457FC"/>
    <w:rsid w:val="00F465A7"/>
    <w:rsid w:val="00F4715B"/>
    <w:rsid w:val="00F50731"/>
    <w:rsid w:val="00F50B7C"/>
    <w:rsid w:val="00F51ED4"/>
    <w:rsid w:val="00F52058"/>
    <w:rsid w:val="00F53303"/>
    <w:rsid w:val="00F53D08"/>
    <w:rsid w:val="00F550E6"/>
    <w:rsid w:val="00F55735"/>
    <w:rsid w:val="00F56708"/>
    <w:rsid w:val="00F6067F"/>
    <w:rsid w:val="00F638A5"/>
    <w:rsid w:val="00F64435"/>
    <w:rsid w:val="00F64E98"/>
    <w:rsid w:val="00F71D6C"/>
    <w:rsid w:val="00F74345"/>
    <w:rsid w:val="00F7548C"/>
    <w:rsid w:val="00F755E6"/>
    <w:rsid w:val="00F80A0A"/>
    <w:rsid w:val="00F812A1"/>
    <w:rsid w:val="00F818F8"/>
    <w:rsid w:val="00F82B19"/>
    <w:rsid w:val="00F84127"/>
    <w:rsid w:val="00F84521"/>
    <w:rsid w:val="00F90903"/>
    <w:rsid w:val="00F91205"/>
    <w:rsid w:val="00F9212D"/>
    <w:rsid w:val="00F93D4E"/>
    <w:rsid w:val="00F957EC"/>
    <w:rsid w:val="00F965DA"/>
    <w:rsid w:val="00F96819"/>
    <w:rsid w:val="00F972DC"/>
    <w:rsid w:val="00F97957"/>
    <w:rsid w:val="00FA1E9A"/>
    <w:rsid w:val="00FA2816"/>
    <w:rsid w:val="00FA28EA"/>
    <w:rsid w:val="00FA35C2"/>
    <w:rsid w:val="00FA3E01"/>
    <w:rsid w:val="00FA406A"/>
    <w:rsid w:val="00FA4429"/>
    <w:rsid w:val="00FA5929"/>
    <w:rsid w:val="00FB31FF"/>
    <w:rsid w:val="00FB45CC"/>
    <w:rsid w:val="00FB503A"/>
    <w:rsid w:val="00FB516C"/>
    <w:rsid w:val="00FB5EA8"/>
    <w:rsid w:val="00FB5F7E"/>
    <w:rsid w:val="00FB779F"/>
    <w:rsid w:val="00FC11A5"/>
    <w:rsid w:val="00FC5394"/>
    <w:rsid w:val="00FC6CAA"/>
    <w:rsid w:val="00FD0236"/>
    <w:rsid w:val="00FD18F4"/>
    <w:rsid w:val="00FD2EBE"/>
    <w:rsid w:val="00FD3056"/>
    <w:rsid w:val="00FD54DB"/>
    <w:rsid w:val="00FD619F"/>
    <w:rsid w:val="00FE0D7D"/>
    <w:rsid w:val="00FE122C"/>
    <w:rsid w:val="00FE159D"/>
    <w:rsid w:val="00FE164F"/>
    <w:rsid w:val="00FE4A94"/>
    <w:rsid w:val="00FE532C"/>
    <w:rsid w:val="00FE54E7"/>
    <w:rsid w:val="00FE6722"/>
    <w:rsid w:val="00FE7D4D"/>
    <w:rsid w:val="00FF085A"/>
    <w:rsid w:val="00FF0F82"/>
    <w:rsid w:val="00FF15AE"/>
    <w:rsid w:val="00FF44C8"/>
    <w:rsid w:val="00FF53DD"/>
    <w:rsid w:val="00FF5B8C"/>
    <w:rsid w:val="010B2944"/>
    <w:rsid w:val="01290F7E"/>
    <w:rsid w:val="01567550"/>
    <w:rsid w:val="0159301C"/>
    <w:rsid w:val="015D1E09"/>
    <w:rsid w:val="019F2069"/>
    <w:rsid w:val="025739FF"/>
    <w:rsid w:val="02697903"/>
    <w:rsid w:val="02C26B15"/>
    <w:rsid w:val="02F96569"/>
    <w:rsid w:val="03045209"/>
    <w:rsid w:val="037F58E9"/>
    <w:rsid w:val="0382266C"/>
    <w:rsid w:val="0390274B"/>
    <w:rsid w:val="03A65D25"/>
    <w:rsid w:val="03B46C2F"/>
    <w:rsid w:val="03EA7B21"/>
    <w:rsid w:val="04032D5A"/>
    <w:rsid w:val="040977C0"/>
    <w:rsid w:val="04A24703"/>
    <w:rsid w:val="04FC43EA"/>
    <w:rsid w:val="0550438A"/>
    <w:rsid w:val="055743A9"/>
    <w:rsid w:val="05AF5900"/>
    <w:rsid w:val="05E57574"/>
    <w:rsid w:val="05F83EAE"/>
    <w:rsid w:val="063E7D85"/>
    <w:rsid w:val="06491EA2"/>
    <w:rsid w:val="07293586"/>
    <w:rsid w:val="07295285"/>
    <w:rsid w:val="073C31C4"/>
    <w:rsid w:val="07636392"/>
    <w:rsid w:val="07770C56"/>
    <w:rsid w:val="07BF4195"/>
    <w:rsid w:val="07E21FBD"/>
    <w:rsid w:val="080041F1"/>
    <w:rsid w:val="08687FE8"/>
    <w:rsid w:val="092217DD"/>
    <w:rsid w:val="09271EEA"/>
    <w:rsid w:val="092D64DA"/>
    <w:rsid w:val="093A7294"/>
    <w:rsid w:val="0946657C"/>
    <w:rsid w:val="09770614"/>
    <w:rsid w:val="097F70D9"/>
    <w:rsid w:val="099E6880"/>
    <w:rsid w:val="09C0632E"/>
    <w:rsid w:val="09CF0402"/>
    <w:rsid w:val="0A132C02"/>
    <w:rsid w:val="0A2006DF"/>
    <w:rsid w:val="0A263993"/>
    <w:rsid w:val="0A2D3AC2"/>
    <w:rsid w:val="0A80786B"/>
    <w:rsid w:val="0AA755DF"/>
    <w:rsid w:val="0B120D44"/>
    <w:rsid w:val="0BBB4168"/>
    <w:rsid w:val="0BD27BF6"/>
    <w:rsid w:val="0BD9521E"/>
    <w:rsid w:val="0BEF1D0B"/>
    <w:rsid w:val="0BF64289"/>
    <w:rsid w:val="0C2506CA"/>
    <w:rsid w:val="0C3B3C7D"/>
    <w:rsid w:val="0C937D2A"/>
    <w:rsid w:val="0CAB2EAE"/>
    <w:rsid w:val="0CCB5F18"/>
    <w:rsid w:val="0D26335B"/>
    <w:rsid w:val="0D621C7D"/>
    <w:rsid w:val="0D8060B9"/>
    <w:rsid w:val="0D8E6743"/>
    <w:rsid w:val="0DB963BF"/>
    <w:rsid w:val="0DC67C8B"/>
    <w:rsid w:val="0E0C69F8"/>
    <w:rsid w:val="0E172295"/>
    <w:rsid w:val="0E460DCC"/>
    <w:rsid w:val="0E575C13"/>
    <w:rsid w:val="0E6F20D1"/>
    <w:rsid w:val="0E73034D"/>
    <w:rsid w:val="0F13775A"/>
    <w:rsid w:val="0F271BAF"/>
    <w:rsid w:val="0F5F45FE"/>
    <w:rsid w:val="0F9A112B"/>
    <w:rsid w:val="0FDA17CC"/>
    <w:rsid w:val="106D2F64"/>
    <w:rsid w:val="108005C5"/>
    <w:rsid w:val="10B63710"/>
    <w:rsid w:val="10E3528B"/>
    <w:rsid w:val="10F10820"/>
    <w:rsid w:val="11020FDA"/>
    <w:rsid w:val="1103189B"/>
    <w:rsid w:val="111C2F7A"/>
    <w:rsid w:val="11665CA1"/>
    <w:rsid w:val="11AB1672"/>
    <w:rsid w:val="126B26FB"/>
    <w:rsid w:val="127A35BD"/>
    <w:rsid w:val="13091A27"/>
    <w:rsid w:val="13951726"/>
    <w:rsid w:val="13FB0A64"/>
    <w:rsid w:val="14201CF4"/>
    <w:rsid w:val="14396509"/>
    <w:rsid w:val="14933F06"/>
    <w:rsid w:val="14AC691B"/>
    <w:rsid w:val="14DD2C3C"/>
    <w:rsid w:val="15192D96"/>
    <w:rsid w:val="15897F1C"/>
    <w:rsid w:val="15C56A7A"/>
    <w:rsid w:val="16087E1D"/>
    <w:rsid w:val="161872CC"/>
    <w:rsid w:val="16F75359"/>
    <w:rsid w:val="170867EA"/>
    <w:rsid w:val="174F484D"/>
    <w:rsid w:val="17701D14"/>
    <w:rsid w:val="17735226"/>
    <w:rsid w:val="17784B61"/>
    <w:rsid w:val="17CB3713"/>
    <w:rsid w:val="182C53DC"/>
    <w:rsid w:val="189F624C"/>
    <w:rsid w:val="18FA36E1"/>
    <w:rsid w:val="1935655D"/>
    <w:rsid w:val="196B0DBD"/>
    <w:rsid w:val="19A968F2"/>
    <w:rsid w:val="1A027489"/>
    <w:rsid w:val="1A1C66C0"/>
    <w:rsid w:val="1A27385F"/>
    <w:rsid w:val="1A393593"/>
    <w:rsid w:val="1A42393B"/>
    <w:rsid w:val="1A4C776A"/>
    <w:rsid w:val="1A5E3C5E"/>
    <w:rsid w:val="1AA44EB0"/>
    <w:rsid w:val="1AAA1F45"/>
    <w:rsid w:val="1AAD45DE"/>
    <w:rsid w:val="1AC82188"/>
    <w:rsid w:val="1AE50D50"/>
    <w:rsid w:val="1B046F80"/>
    <w:rsid w:val="1B1F09DB"/>
    <w:rsid w:val="1B3267B5"/>
    <w:rsid w:val="1B40161D"/>
    <w:rsid w:val="1B441859"/>
    <w:rsid w:val="1B6606B1"/>
    <w:rsid w:val="1BD45C69"/>
    <w:rsid w:val="1BEC092D"/>
    <w:rsid w:val="1BF64BAE"/>
    <w:rsid w:val="1BF80C4D"/>
    <w:rsid w:val="1C2838BF"/>
    <w:rsid w:val="1C5446B4"/>
    <w:rsid w:val="1C5E7925"/>
    <w:rsid w:val="1CBB76EF"/>
    <w:rsid w:val="1CE42735"/>
    <w:rsid w:val="1CFD070F"/>
    <w:rsid w:val="1D5F6196"/>
    <w:rsid w:val="1D6132A5"/>
    <w:rsid w:val="1D8D3BBF"/>
    <w:rsid w:val="1D8E56D5"/>
    <w:rsid w:val="1D994A74"/>
    <w:rsid w:val="1D9A49A4"/>
    <w:rsid w:val="1D9B5229"/>
    <w:rsid w:val="1DD0420E"/>
    <w:rsid w:val="1E036392"/>
    <w:rsid w:val="1E0C13CE"/>
    <w:rsid w:val="1E326C0D"/>
    <w:rsid w:val="1E7A43DA"/>
    <w:rsid w:val="1EC71520"/>
    <w:rsid w:val="1EDD1822"/>
    <w:rsid w:val="1EFA1543"/>
    <w:rsid w:val="1FA1294E"/>
    <w:rsid w:val="1FC61D6D"/>
    <w:rsid w:val="1FE7539E"/>
    <w:rsid w:val="20671BE0"/>
    <w:rsid w:val="206C2914"/>
    <w:rsid w:val="20963CB8"/>
    <w:rsid w:val="20A65B06"/>
    <w:rsid w:val="20A81A1B"/>
    <w:rsid w:val="20AE4CDA"/>
    <w:rsid w:val="20B07FB6"/>
    <w:rsid w:val="20B646FB"/>
    <w:rsid w:val="20BA7C64"/>
    <w:rsid w:val="213B74B1"/>
    <w:rsid w:val="215A2310"/>
    <w:rsid w:val="21A34113"/>
    <w:rsid w:val="21CB71C6"/>
    <w:rsid w:val="21DE318A"/>
    <w:rsid w:val="21DF3243"/>
    <w:rsid w:val="21E85FCA"/>
    <w:rsid w:val="21ED1832"/>
    <w:rsid w:val="21EF5B80"/>
    <w:rsid w:val="22576990"/>
    <w:rsid w:val="22AB1C1C"/>
    <w:rsid w:val="22F47480"/>
    <w:rsid w:val="230E7CB2"/>
    <w:rsid w:val="23DE1C48"/>
    <w:rsid w:val="240210CD"/>
    <w:rsid w:val="24BF09F7"/>
    <w:rsid w:val="24EE7D9B"/>
    <w:rsid w:val="24EF35A7"/>
    <w:rsid w:val="251251DD"/>
    <w:rsid w:val="252D53FE"/>
    <w:rsid w:val="25421E95"/>
    <w:rsid w:val="25A01EE3"/>
    <w:rsid w:val="25A95A70"/>
    <w:rsid w:val="25CA6327"/>
    <w:rsid w:val="25CE54D7"/>
    <w:rsid w:val="25EC2D81"/>
    <w:rsid w:val="25ED78CC"/>
    <w:rsid w:val="26663961"/>
    <w:rsid w:val="26700749"/>
    <w:rsid w:val="268F66AE"/>
    <w:rsid w:val="269A326B"/>
    <w:rsid w:val="26A10E3D"/>
    <w:rsid w:val="26D14F16"/>
    <w:rsid w:val="27133AE9"/>
    <w:rsid w:val="27381994"/>
    <w:rsid w:val="277057A2"/>
    <w:rsid w:val="27BB6E46"/>
    <w:rsid w:val="281C077C"/>
    <w:rsid w:val="282569DC"/>
    <w:rsid w:val="29206EB8"/>
    <w:rsid w:val="29595666"/>
    <w:rsid w:val="297773D6"/>
    <w:rsid w:val="29874881"/>
    <w:rsid w:val="2995461C"/>
    <w:rsid w:val="29986C5C"/>
    <w:rsid w:val="29D11A3A"/>
    <w:rsid w:val="29E325E0"/>
    <w:rsid w:val="2A32274B"/>
    <w:rsid w:val="2A452503"/>
    <w:rsid w:val="2AED63FF"/>
    <w:rsid w:val="2B005BEA"/>
    <w:rsid w:val="2B724877"/>
    <w:rsid w:val="2B7663F5"/>
    <w:rsid w:val="2BA936A8"/>
    <w:rsid w:val="2C315A5A"/>
    <w:rsid w:val="2C4B1C25"/>
    <w:rsid w:val="2C6170A5"/>
    <w:rsid w:val="2C7A413A"/>
    <w:rsid w:val="2CB80ED5"/>
    <w:rsid w:val="2CDC3BC7"/>
    <w:rsid w:val="2D1401E3"/>
    <w:rsid w:val="2D15440E"/>
    <w:rsid w:val="2D5F7AEE"/>
    <w:rsid w:val="2D9E56F5"/>
    <w:rsid w:val="2DBC3181"/>
    <w:rsid w:val="2DF80288"/>
    <w:rsid w:val="2E0425E4"/>
    <w:rsid w:val="2E667F96"/>
    <w:rsid w:val="2E8226AB"/>
    <w:rsid w:val="2E951288"/>
    <w:rsid w:val="2EB909D8"/>
    <w:rsid w:val="2EBD25DD"/>
    <w:rsid w:val="2FD065E6"/>
    <w:rsid w:val="2FD96870"/>
    <w:rsid w:val="2FE95426"/>
    <w:rsid w:val="2FED29FE"/>
    <w:rsid w:val="30363749"/>
    <w:rsid w:val="30580BC9"/>
    <w:rsid w:val="306427D2"/>
    <w:rsid w:val="306C416A"/>
    <w:rsid w:val="307153DD"/>
    <w:rsid w:val="311E2ED7"/>
    <w:rsid w:val="315619EE"/>
    <w:rsid w:val="315C449C"/>
    <w:rsid w:val="316B5742"/>
    <w:rsid w:val="31B45EC9"/>
    <w:rsid w:val="31B82709"/>
    <w:rsid w:val="31CD6F8B"/>
    <w:rsid w:val="31D05482"/>
    <w:rsid w:val="31D40319"/>
    <w:rsid w:val="31F34794"/>
    <w:rsid w:val="32250B75"/>
    <w:rsid w:val="32400B34"/>
    <w:rsid w:val="327827C9"/>
    <w:rsid w:val="32911D66"/>
    <w:rsid w:val="329E5D4B"/>
    <w:rsid w:val="329E6876"/>
    <w:rsid w:val="32A41A99"/>
    <w:rsid w:val="333015F2"/>
    <w:rsid w:val="334B6320"/>
    <w:rsid w:val="336D632F"/>
    <w:rsid w:val="33884F17"/>
    <w:rsid w:val="33C55E5D"/>
    <w:rsid w:val="33D934D4"/>
    <w:rsid w:val="33FE2F6A"/>
    <w:rsid w:val="340E07E5"/>
    <w:rsid w:val="34161341"/>
    <w:rsid w:val="34235BF7"/>
    <w:rsid w:val="343D57A7"/>
    <w:rsid w:val="34CC2FCA"/>
    <w:rsid w:val="34EC50F6"/>
    <w:rsid w:val="34F41FC6"/>
    <w:rsid w:val="3510079E"/>
    <w:rsid w:val="351331F9"/>
    <w:rsid w:val="356B689E"/>
    <w:rsid w:val="357A11D7"/>
    <w:rsid w:val="358C5FA8"/>
    <w:rsid w:val="35B50293"/>
    <w:rsid w:val="35B82BD8"/>
    <w:rsid w:val="35C15DF1"/>
    <w:rsid w:val="35C76DF6"/>
    <w:rsid w:val="35F920FC"/>
    <w:rsid w:val="35FE3DC2"/>
    <w:rsid w:val="36074A7F"/>
    <w:rsid w:val="360A0F8C"/>
    <w:rsid w:val="36566112"/>
    <w:rsid w:val="36680922"/>
    <w:rsid w:val="36923549"/>
    <w:rsid w:val="36B75FBF"/>
    <w:rsid w:val="36BD0C45"/>
    <w:rsid w:val="36D466C5"/>
    <w:rsid w:val="36F4364C"/>
    <w:rsid w:val="36F9749B"/>
    <w:rsid w:val="37645C9B"/>
    <w:rsid w:val="378325C5"/>
    <w:rsid w:val="37991DE9"/>
    <w:rsid w:val="379A7F64"/>
    <w:rsid w:val="37E00298"/>
    <w:rsid w:val="38194CD8"/>
    <w:rsid w:val="38353194"/>
    <w:rsid w:val="383D21D3"/>
    <w:rsid w:val="38726196"/>
    <w:rsid w:val="38B302F9"/>
    <w:rsid w:val="38F12CD3"/>
    <w:rsid w:val="38F94775"/>
    <w:rsid w:val="38FE7A29"/>
    <w:rsid w:val="39113C01"/>
    <w:rsid w:val="391938B8"/>
    <w:rsid w:val="392971ED"/>
    <w:rsid w:val="392C29C6"/>
    <w:rsid w:val="39325651"/>
    <w:rsid w:val="396C5CA3"/>
    <w:rsid w:val="3A3E7A83"/>
    <w:rsid w:val="3A661D2A"/>
    <w:rsid w:val="3A7247F2"/>
    <w:rsid w:val="3A872856"/>
    <w:rsid w:val="3AB60ED4"/>
    <w:rsid w:val="3ABE3914"/>
    <w:rsid w:val="3AF9494C"/>
    <w:rsid w:val="3B051B7D"/>
    <w:rsid w:val="3B0F229E"/>
    <w:rsid w:val="3B3515B6"/>
    <w:rsid w:val="3B3763D1"/>
    <w:rsid w:val="3B3F32BB"/>
    <w:rsid w:val="3B765F9D"/>
    <w:rsid w:val="3B8D45DF"/>
    <w:rsid w:val="3BB56080"/>
    <w:rsid w:val="3BC74A4B"/>
    <w:rsid w:val="3C0E2679"/>
    <w:rsid w:val="3C0F23BF"/>
    <w:rsid w:val="3C2F6E1E"/>
    <w:rsid w:val="3C4F64BA"/>
    <w:rsid w:val="3C6109FB"/>
    <w:rsid w:val="3CDA245A"/>
    <w:rsid w:val="3D1E06B7"/>
    <w:rsid w:val="3DBB771F"/>
    <w:rsid w:val="3DE74B05"/>
    <w:rsid w:val="3E1E71EA"/>
    <w:rsid w:val="3E5A3954"/>
    <w:rsid w:val="3E9210E8"/>
    <w:rsid w:val="3EDA0523"/>
    <w:rsid w:val="3FA04B59"/>
    <w:rsid w:val="401D10DD"/>
    <w:rsid w:val="40363F4D"/>
    <w:rsid w:val="404600E6"/>
    <w:rsid w:val="40556AC9"/>
    <w:rsid w:val="407A6407"/>
    <w:rsid w:val="40955117"/>
    <w:rsid w:val="40C652D1"/>
    <w:rsid w:val="41C45CB4"/>
    <w:rsid w:val="4200449D"/>
    <w:rsid w:val="423A3BCC"/>
    <w:rsid w:val="424E57D2"/>
    <w:rsid w:val="42B26C49"/>
    <w:rsid w:val="42BB0811"/>
    <w:rsid w:val="42F94AE0"/>
    <w:rsid w:val="431E7646"/>
    <w:rsid w:val="433231BB"/>
    <w:rsid w:val="433A6FE6"/>
    <w:rsid w:val="43480868"/>
    <w:rsid w:val="434846C3"/>
    <w:rsid w:val="4350713C"/>
    <w:rsid w:val="436037BB"/>
    <w:rsid w:val="43656E2C"/>
    <w:rsid w:val="436653E0"/>
    <w:rsid w:val="4399229E"/>
    <w:rsid w:val="43C4431A"/>
    <w:rsid w:val="43E83A5C"/>
    <w:rsid w:val="444404EC"/>
    <w:rsid w:val="448734FB"/>
    <w:rsid w:val="44B951CC"/>
    <w:rsid w:val="44CD14E0"/>
    <w:rsid w:val="44DC3315"/>
    <w:rsid w:val="44F20B0B"/>
    <w:rsid w:val="4517259F"/>
    <w:rsid w:val="452E5F4C"/>
    <w:rsid w:val="45352A25"/>
    <w:rsid w:val="45612018"/>
    <w:rsid w:val="456926CF"/>
    <w:rsid w:val="457C2402"/>
    <w:rsid w:val="458946E9"/>
    <w:rsid w:val="45A47C0E"/>
    <w:rsid w:val="46577FD6"/>
    <w:rsid w:val="469B2D5C"/>
    <w:rsid w:val="46B207D1"/>
    <w:rsid w:val="46D955A7"/>
    <w:rsid w:val="46DD4B7E"/>
    <w:rsid w:val="47133957"/>
    <w:rsid w:val="473867FC"/>
    <w:rsid w:val="475B0D80"/>
    <w:rsid w:val="47743CD8"/>
    <w:rsid w:val="478851A5"/>
    <w:rsid w:val="47A07E0C"/>
    <w:rsid w:val="4870272E"/>
    <w:rsid w:val="48BD345D"/>
    <w:rsid w:val="4921579A"/>
    <w:rsid w:val="49285078"/>
    <w:rsid w:val="49DA0653"/>
    <w:rsid w:val="49DC7715"/>
    <w:rsid w:val="4A023139"/>
    <w:rsid w:val="4A3817DB"/>
    <w:rsid w:val="4A42352F"/>
    <w:rsid w:val="4A6E0EB3"/>
    <w:rsid w:val="4A710AA3"/>
    <w:rsid w:val="4A7B576F"/>
    <w:rsid w:val="4AC74ACE"/>
    <w:rsid w:val="4AF561A9"/>
    <w:rsid w:val="4B135E36"/>
    <w:rsid w:val="4B85737C"/>
    <w:rsid w:val="4BC32EDC"/>
    <w:rsid w:val="4BE7296C"/>
    <w:rsid w:val="4BED4684"/>
    <w:rsid w:val="4C4A0649"/>
    <w:rsid w:val="4C7E5ECA"/>
    <w:rsid w:val="4C876AA5"/>
    <w:rsid w:val="4C9149E5"/>
    <w:rsid w:val="4CB42157"/>
    <w:rsid w:val="4CD465B5"/>
    <w:rsid w:val="4CEE1E37"/>
    <w:rsid w:val="4D0E00FB"/>
    <w:rsid w:val="4D176606"/>
    <w:rsid w:val="4D3F2693"/>
    <w:rsid w:val="4DE30433"/>
    <w:rsid w:val="4DEC4FB0"/>
    <w:rsid w:val="4E075D8A"/>
    <w:rsid w:val="4E0B7EEB"/>
    <w:rsid w:val="4E27511C"/>
    <w:rsid w:val="4E3F3B7F"/>
    <w:rsid w:val="4E810FA4"/>
    <w:rsid w:val="4EB32F14"/>
    <w:rsid w:val="4EC00FAD"/>
    <w:rsid w:val="4EF16274"/>
    <w:rsid w:val="4EF35686"/>
    <w:rsid w:val="4F9843DC"/>
    <w:rsid w:val="4F9D0C0C"/>
    <w:rsid w:val="4FC62A8C"/>
    <w:rsid w:val="4FE20F0D"/>
    <w:rsid w:val="4FE51552"/>
    <w:rsid w:val="501E3E9C"/>
    <w:rsid w:val="50504C4B"/>
    <w:rsid w:val="5086130F"/>
    <w:rsid w:val="509C6E7C"/>
    <w:rsid w:val="50A72A9D"/>
    <w:rsid w:val="50B377D1"/>
    <w:rsid w:val="512D4760"/>
    <w:rsid w:val="51621046"/>
    <w:rsid w:val="5162104E"/>
    <w:rsid w:val="516E106E"/>
    <w:rsid w:val="51711289"/>
    <w:rsid w:val="51826FF2"/>
    <w:rsid w:val="52610D67"/>
    <w:rsid w:val="53467959"/>
    <w:rsid w:val="53886742"/>
    <w:rsid w:val="53A039CC"/>
    <w:rsid w:val="53A1505A"/>
    <w:rsid w:val="53DC3268"/>
    <w:rsid w:val="54063E08"/>
    <w:rsid w:val="543437E8"/>
    <w:rsid w:val="545B3DC0"/>
    <w:rsid w:val="54A84E02"/>
    <w:rsid w:val="54F55D2D"/>
    <w:rsid w:val="54F73313"/>
    <w:rsid w:val="54F80955"/>
    <w:rsid w:val="55513A7D"/>
    <w:rsid w:val="555170A7"/>
    <w:rsid w:val="55575E7C"/>
    <w:rsid w:val="55607EBF"/>
    <w:rsid w:val="557355CF"/>
    <w:rsid w:val="5587536D"/>
    <w:rsid w:val="559B174B"/>
    <w:rsid w:val="55B00B2E"/>
    <w:rsid w:val="55C0534A"/>
    <w:rsid w:val="55CE0CF4"/>
    <w:rsid w:val="55E26FF6"/>
    <w:rsid w:val="55FC6467"/>
    <w:rsid w:val="562E599A"/>
    <w:rsid w:val="56B22A9C"/>
    <w:rsid w:val="57623B4D"/>
    <w:rsid w:val="57AD745F"/>
    <w:rsid w:val="57B72A76"/>
    <w:rsid w:val="57C3426C"/>
    <w:rsid w:val="57C71C02"/>
    <w:rsid w:val="57CE1F93"/>
    <w:rsid w:val="57CF2865"/>
    <w:rsid w:val="583F5C3D"/>
    <w:rsid w:val="58704048"/>
    <w:rsid w:val="588743D1"/>
    <w:rsid w:val="5887701A"/>
    <w:rsid w:val="59142C25"/>
    <w:rsid w:val="59C0439F"/>
    <w:rsid w:val="5ABE2233"/>
    <w:rsid w:val="5BA069F2"/>
    <w:rsid w:val="5BCF536E"/>
    <w:rsid w:val="5BD4669C"/>
    <w:rsid w:val="5BDF5D95"/>
    <w:rsid w:val="5BF705DC"/>
    <w:rsid w:val="5BFE7528"/>
    <w:rsid w:val="5C9014E4"/>
    <w:rsid w:val="5CC06FCC"/>
    <w:rsid w:val="5CDE61E5"/>
    <w:rsid w:val="5D010983"/>
    <w:rsid w:val="5D1364F8"/>
    <w:rsid w:val="5D1F3E3E"/>
    <w:rsid w:val="5D45063D"/>
    <w:rsid w:val="5D746389"/>
    <w:rsid w:val="5DDC7A8A"/>
    <w:rsid w:val="5E001ACF"/>
    <w:rsid w:val="5E030B0D"/>
    <w:rsid w:val="5E082F75"/>
    <w:rsid w:val="5E2467F1"/>
    <w:rsid w:val="5EF07EF4"/>
    <w:rsid w:val="5F1A2B43"/>
    <w:rsid w:val="5F2003BF"/>
    <w:rsid w:val="5F491F3C"/>
    <w:rsid w:val="5F4A106A"/>
    <w:rsid w:val="5F5D70B9"/>
    <w:rsid w:val="5F842C8D"/>
    <w:rsid w:val="5FB837BB"/>
    <w:rsid w:val="602776E2"/>
    <w:rsid w:val="605A6A74"/>
    <w:rsid w:val="608A54F5"/>
    <w:rsid w:val="60CC405A"/>
    <w:rsid w:val="611F03B9"/>
    <w:rsid w:val="61232F88"/>
    <w:rsid w:val="614C27B6"/>
    <w:rsid w:val="61E17D65"/>
    <w:rsid w:val="61E215D8"/>
    <w:rsid w:val="61EB0BE3"/>
    <w:rsid w:val="61F736C3"/>
    <w:rsid w:val="621B3775"/>
    <w:rsid w:val="62364782"/>
    <w:rsid w:val="62A80882"/>
    <w:rsid w:val="62F13046"/>
    <w:rsid w:val="633D0FCB"/>
    <w:rsid w:val="636522D0"/>
    <w:rsid w:val="6394356A"/>
    <w:rsid w:val="639D1DD4"/>
    <w:rsid w:val="63A252D2"/>
    <w:rsid w:val="63B91AA2"/>
    <w:rsid w:val="63C61B2C"/>
    <w:rsid w:val="63D40BE9"/>
    <w:rsid w:val="64002526"/>
    <w:rsid w:val="64074BCA"/>
    <w:rsid w:val="64102431"/>
    <w:rsid w:val="64A5243A"/>
    <w:rsid w:val="64CB7B8C"/>
    <w:rsid w:val="64F531DE"/>
    <w:rsid w:val="64FB738F"/>
    <w:rsid w:val="65373578"/>
    <w:rsid w:val="665A1E94"/>
    <w:rsid w:val="66742F55"/>
    <w:rsid w:val="66C0619B"/>
    <w:rsid w:val="66CA526B"/>
    <w:rsid w:val="671F124A"/>
    <w:rsid w:val="67314E6D"/>
    <w:rsid w:val="67395F4D"/>
    <w:rsid w:val="673D1924"/>
    <w:rsid w:val="67750BD7"/>
    <w:rsid w:val="677A33C6"/>
    <w:rsid w:val="67862A4E"/>
    <w:rsid w:val="681F6961"/>
    <w:rsid w:val="683C7725"/>
    <w:rsid w:val="68610A2F"/>
    <w:rsid w:val="68805514"/>
    <w:rsid w:val="68D6755C"/>
    <w:rsid w:val="68E56022"/>
    <w:rsid w:val="69316E2F"/>
    <w:rsid w:val="694E2071"/>
    <w:rsid w:val="69766163"/>
    <w:rsid w:val="697A3B33"/>
    <w:rsid w:val="698E6A48"/>
    <w:rsid w:val="698F00A6"/>
    <w:rsid w:val="69D44760"/>
    <w:rsid w:val="6A2745F0"/>
    <w:rsid w:val="6A520EC7"/>
    <w:rsid w:val="6A5E1592"/>
    <w:rsid w:val="6A621B00"/>
    <w:rsid w:val="6AF87E20"/>
    <w:rsid w:val="6AF976F8"/>
    <w:rsid w:val="6B322639"/>
    <w:rsid w:val="6B563571"/>
    <w:rsid w:val="6B953331"/>
    <w:rsid w:val="6B9F03FA"/>
    <w:rsid w:val="6BB2249C"/>
    <w:rsid w:val="6BE16873"/>
    <w:rsid w:val="6C021E4C"/>
    <w:rsid w:val="6C3917ED"/>
    <w:rsid w:val="6C420F8A"/>
    <w:rsid w:val="6C636C38"/>
    <w:rsid w:val="6C8163CC"/>
    <w:rsid w:val="6CFC3B75"/>
    <w:rsid w:val="6D0B213A"/>
    <w:rsid w:val="6D5D0BE7"/>
    <w:rsid w:val="6D661494"/>
    <w:rsid w:val="6D687340"/>
    <w:rsid w:val="6D8445D4"/>
    <w:rsid w:val="6DB34098"/>
    <w:rsid w:val="6DB545B6"/>
    <w:rsid w:val="6DCF4F15"/>
    <w:rsid w:val="6DE02FB4"/>
    <w:rsid w:val="6E2C67ED"/>
    <w:rsid w:val="6E3D732E"/>
    <w:rsid w:val="6E514CED"/>
    <w:rsid w:val="6E886252"/>
    <w:rsid w:val="6EB563D5"/>
    <w:rsid w:val="6EB56801"/>
    <w:rsid w:val="6ED92677"/>
    <w:rsid w:val="6EE92007"/>
    <w:rsid w:val="6EFE2DFA"/>
    <w:rsid w:val="6F0137F4"/>
    <w:rsid w:val="6F042205"/>
    <w:rsid w:val="6F225983"/>
    <w:rsid w:val="6F4F679F"/>
    <w:rsid w:val="6FFC5590"/>
    <w:rsid w:val="70052FBB"/>
    <w:rsid w:val="70176FD3"/>
    <w:rsid w:val="701E52DD"/>
    <w:rsid w:val="706D1DD0"/>
    <w:rsid w:val="70856B87"/>
    <w:rsid w:val="708E7E23"/>
    <w:rsid w:val="7091750E"/>
    <w:rsid w:val="709D579F"/>
    <w:rsid w:val="70AB7EBB"/>
    <w:rsid w:val="70AD69B0"/>
    <w:rsid w:val="70D527EE"/>
    <w:rsid w:val="70EB475C"/>
    <w:rsid w:val="715B5300"/>
    <w:rsid w:val="71B92164"/>
    <w:rsid w:val="71D27F8A"/>
    <w:rsid w:val="721532A0"/>
    <w:rsid w:val="72553024"/>
    <w:rsid w:val="725D6F93"/>
    <w:rsid w:val="72604CD6"/>
    <w:rsid w:val="73122968"/>
    <w:rsid w:val="731F5D5E"/>
    <w:rsid w:val="73C03C7E"/>
    <w:rsid w:val="73C51AD5"/>
    <w:rsid w:val="7419513C"/>
    <w:rsid w:val="741E793C"/>
    <w:rsid w:val="744A79EB"/>
    <w:rsid w:val="745E3944"/>
    <w:rsid w:val="75412B9C"/>
    <w:rsid w:val="75432889"/>
    <w:rsid w:val="759E7FEF"/>
    <w:rsid w:val="75BC1606"/>
    <w:rsid w:val="75C75614"/>
    <w:rsid w:val="7635099D"/>
    <w:rsid w:val="76530DD9"/>
    <w:rsid w:val="76E85717"/>
    <w:rsid w:val="77106CCA"/>
    <w:rsid w:val="77762421"/>
    <w:rsid w:val="77A0522A"/>
    <w:rsid w:val="77B56B1F"/>
    <w:rsid w:val="77DE0382"/>
    <w:rsid w:val="77FD0061"/>
    <w:rsid w:val="780F09F4"/>
    <w:rsid w:val="78872FBC"/>
    <w:rsid w:val="78A90480"/>
    <w:rsid w:val="78B24758"/>
    <w:rsid w:val="78CF6711"/>
    <w:rsid w:val="795D3716"/>
    <w:rsid w:val="79CB2FD9"/>
    <w:rsid w:val="7A364017"/>
    <w:rsid w:val="7A4553DD"/>
    <w:rsid w:val="7A5B1910"/>
    <w:rsid w:val="7A8265E1"/>
    <w:rsid w:val="7AC04563"/>
    <w:rsid w:val="7AD82A70"/>
    <w:rsid w:val="7B2F566B"/>
    <w:rsid w:val="7B482659"/>
    <w:rsid w:val="7B4D0FEC"/>
    <w:rsid w:val="7B686D42"/>
    <w:rsid w:val="7B7E14CD"/>
    <w:rsid w:val="7B841746"/>
    <w:rsid w:val="7B8A5F60"/>
    <w:rsid w:val="7BA1502A"/>
    <w:rsid w:val="7BA307A7"/>
    <w:rsid w:val="7C3A0345"/>
    <w:rsid w:val="7C3D3207"/>
    <w:rsid w:val="7C633D33"/>
    <w:rsid w:val="7C6C5AC7"/>
    <w:rsid w:val="7CC6544B"/>
    <w:rsid w:val="7CF60710"/>
    <w:rsid w:val="7CF82511"/>
    <w:rsid w:val="7D0239FF"/>
    <w:rsid w:val="7D2B2488"/>
    <w:rsid w:val="7D5E40CD"/>
    <w:rsid w:val="7DCD56F2"/>
    <w:rsid w:val="7DF63F66"/>
    <w:rsid w:val="7E0230E5"/>
    <w:rsid w:val="7E1846B6"/>
    <w:rsid w:val="7EE06F82"/>
    <w:rsid w:val="7F001CE7"/>
    <w:rsid w:val="7F2F1CB8"/>
    <w:rsid w:val="7F36260E"/>
    <w:rsid w:val="7FE47E50"/>
    <w:rsid w:val="7FF222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iPriority="99"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iPriority="99"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locked/>
    <w:uiPriority w:val="0"/>
    <w:pPr>
      <w:keepNext/>
      <w:overflowPunct w:val="0"/>
      <w:snapToGrid w:val="0"/>
      <w:spacing w:beforeLines="100" w:afterLines="50" w:line="360" w:lineRule="auto"/>
      <w:outlineLvl w:val="0"/>
    </w:pPr>
    <w:rPr>
      <w:b/>
      <w:bCs/>
      <w:color w:val="000000"/>
      <w:kern w:val="44"/>
      <w:sz w:val="30"/>
      <w:szCs w:val="30"/>
    </w:rPr>
  </w:style>
  <w:style w:type="paragraph" w:styleId="2">
    <w:name w:val="heading 2"/>
    <w:basedOn w:val="1"/>
    <w:next w:val="1"/>
    <w:link w:val="47"/>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8"/>
    <w:qFormat/>
    <w:locked/>
    <w:uiPriority w:val="0"/>
    <w:pPr>
      <w:keepNext/>
      <w:keepLines/>
      <w:spacing w:before="260" w:after="260" w:line="416" w:lineRule="auto"/>
      <w:outlineLvl w:val="2"/>
    </w:pPr>
    <w:rPr>
      <w:b/>
      <w:bCs/>
      <w:sz w:val="32"/>
      <w:szCs w:val="32"/>
    </w:rPr>
  </w:style>
  <w:style w:type="paragraph" w:styleId="5">
    <w:name w:val="heading 4"/>
    <w:basedOn w:val="1"/>
    <w:next w:val="1"/>
    <w:link w:val="49"/>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7"/>
    <w:link w:val="51"/>
    <w:qFormat/>
    <w:locked/>
    <w:uiPriority w:val="0"/>
    <w:pPr>
      <w:keepNext/>
      <w:keepLines/>
      <w:autoSpaceDE w:val="0"/>
      <w:autoSpaceDN w:val="0"/>
      <w:adjustRightInd w:val="0"/>
      <w:spacing w:before="280" w:after="290" w:line="376" w:lineRule="atLeast"/>
      <w:ind w:left="170" w:hanging="113"/>
      <w:outlineLvl w:val="4"/>
    </w:pPr>
    <w:rPr>
      <w:rFonts w:eastAsia="仿宋_GB2312"/>
      <w:kern w:val="0"/>
      <w:sz w:val="28"/>
      <w:szCs w:val="20"/>
    </w:rPr>
  </w:style>
  <w:style w:type="paragraph" w:styleId="8">
    <w:name w:val="heading 6"/>
    <w:basedOn w:val="1"/>
    <w:next w:val="1"/>
    <w:link w:val="329"/>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unhideWhenUsed/>
    <w:qFormat/>
    <w:locked/>
    <w:uiPriority w:val="0"/>
    <w:pPr>
      <w:spacing w:line="360" w:lineRule="auto"/>
      <w:ind w:firstLine="420" w:firstLineChars="200"/>
    </w:pPr>
    <w:rPr>
      <w:kern w:val="0"/>
      <w:sz w:val="24"/>
      <w:szCs w:val="22"/>
    </w:rPr>
  </w:style>
  <w:style w:type="paragraph" w:styleId="9">
    <w:name w:val="List 3"/>
    <w:basedOn w:val="1"/>
    <w:unhideWhenUsed/>
    <w:qFormat/>
    <w:locked/>
    <w:uiPriority w:val="99"/>
    <w:pPr>
      <w:spacing w:line="360" w:lineRule="auto"/>
      <w:ind w:left="100" w:leftChars="400" w:hanging="200" w:hangingChars="200"/>
      <w:contextualSpacing/>
    </w:pPr>
    <w:rPr>
      <w:sz w:val="24"/>
      <w:szCs w:val="20"/>
    </w:rPr>
  </w:style>
  <w:style w:type="paragraph" w:styleId="10">
    <w:name w:val="toc 7"/>
    <w:basedOn w:val="1"/>
    <w:next w:val="1"/>
    <w:qFormat/>
    <w:locked/>
    <w:uiPriority w:val="0"/>
    <w:pPr>
      <w:spacing w:line="360" w:lineRule="auto"/>
      <w:ind w:left="2520" w:firstLine="200" w:firstLineChars="200"/>
    </w:pPr>
    <w:rPr>
      <w:sz w:val="24"/>
      <w:szCs w:val="20"/>
    </w:rPr>
  </w:style>
  <w:style w:type="paragraph" w:styleId="11">
    <w:name w:val="Note Heading"/>
    <w:basedOn w:val="1"/>
    <w:next w:val="1"/>
    <w:link w:val="151"/>
    <w:qFormat/>
    <w:locked/>
    <w:uiPriority w:val="0"/>
    <w:pPr>
      <w:spacing w:line="360" w:lineRule="auto"/>
      <w:ind w:firstLine="200" w:firstLineChars="200"/>
      <w:jc w:val="center"/>
    </w:pPr>
    <w:rPr>
      <w:sz w:val="24"/>
      <w:szCs w:val="20"/>
    </w:rPr>
  </w:style>
  <w:style w:type="paragraph" w:styleId="12">
    <w:name w:val="Document Map"/>
    <w:basedOn w:val="1"/>
    <w:link w:val="137"/>
    <w:unhideWhenUsed/>
    <w:qFormat/>
    <w:locked/>
    <w:uiPriority w:val="99"/>
    <w:pPr>
      <w:spacing w:line="360" w:lineRule="auto"/>
      <w:ind w:firstLine="200" w:firstLineChars="200"/>
    </w:pPr>
    <w:rPr>
      <w:rFonts w:ascii="宋体"/>
      <w:sz w:val="18"/>
      <w:szCs w:val="18"/>
    </w:rPr>
  </w:style>
  <w:style w:type="paragraph" w:styleId="13">
    <w:name w:val="annotation text"/>
    <w:basedOn w:val="1"/>
    <w:link w:val="59"/>
    <w:qFormat/>
    <w:uiPriority w:val="99"/>
    <w:rPr>
      <w:kern w:val="0"/>
      <w:sz w:val="24"/>
      <w:szCs w:val="20"/>
    </w:rPr>
  </w:style>
  <w:style w:type="paragraph" w:styleId="14">
    <w:name w:val="Body Text 3"/>
    <w:basedOn w:val="1"/>
    <w:link w:val="153"/>
    <w:qFormat/>
    <w:locked/>
    <w:uiPriority w:val="0"/>
    <w:pPr>
      <w:spacing w:line="360" w:lineRule="auto"/>
      <w:ind w:firstLine="200" w:firstLineChars="200"/>
    </w:pPr>
    <w:rPr>
      <w:rFonts w:ascii="宋体" w:hAnsi="宋体"/>
      <w:sz w:val="24"/>
      <w:szCs w:val="20"/>
    </w:rPr>
  </w:style>
  <w:style w:type="paragraph" w:styleId="15">
    <w:name w:val="Body Text"/>
    <w:basedOn w:val="1"/>
    <w:next w:val="1"/>
    <w:link w:val="74"/>
    <w:qFormat/>
    <w:uiPriority w:val="0"/>
    <w:pPr>
      <w:snapToGrid w:val="0"/>
      <w:spacing w:before="60" w:after="160" w:line="259" w:lineRule="auto"/>
      <w:ind w:right="113"/>
    </w:pPr>
    <w:rPr>
      <w:kern w:val="0"/>
      <w:sz w:val="18"/>
      <w:szCs w:val="20"/>
    </w:rPr>
  </w:style>
  <w:style w:type="paragraph" w:styleId="16">
    <w:name w:val="Body Text Indent"/>
    <w:basedOn w:val="1"/>
    <w:next w:val="15"/>
    <w:link w:val="56"/>
    <w:qFormat/>
    <w:uiPriority w:val="0"/>
    <w:pPr>
      <w:spacing w:after="120"/>
      <w:ind w:left="420" w:leftChars="200"/>
    </w:pPr>
    <w:rPr>
      <w:kern w:val="0"/>
      <w:sz w:val="24"/>
      <w:szCs w:val="20"/>
    </w:rPr>
  </w:style>
  <w:style w:type="paragraph" w:styleId="17">
    <w:name w:val="List 2"/>
    <w:basedOn w:val="1"/>
    <w:unhideWhenUsed/>
    <w:qFormat/>
    <w:locked/>
    <w:uiPriority w:val="99"/>
    <w:pPr>
      <w:spacing w:line="360" w:lineRule="auto"/>
      <w:ind w:left="840" w:hanging="420" w:firstLineChars="200"/>
    </w:pPr>
    <w:rPr>
      <w:sz w:val="24"/>
      <w:szCs w:val="20"/>
    </w:rPr>
  </w:style>
  <w:style w:type="paragraph" w:styleId="18">
    <w:name w:val="Block Text"/>
    <w:basedOn w:val="1"/>
    <w:unhideWhenUsed/>
    <w:qFormat/>
    <w:locked/>
    <w:uiPriority w:val="99"/>
    <w:pPr>
      <w:spacing w:line="440" w:lineRule="exact"/>
      <w:ind w:left="113" w:right="113" w:firstLine="567" w:firstLineChars="200"/>
    </w:pPr>
    <w:rPr>
      <w:rFonts w:ascii="仿宋_GB2312" w:eastAsia="仿宋_GB2312"/>
      <w:sz w:val="28"/>
      <w:szCs w:val="20"/>
    </w:rPr>
  </w:style>
  <w:style w:type="paragraph" w:styleId="19">
    <w:name w:val="Plain Text"/>
    <w:basedOn w:val="1"/>
    <w:link w:val="144"/>
    <w:qFormat/>
    <w:locked/>
    <w:uiPriority w:val="0"/>
    <w:pPr>
      <w:ind w:firstLine="200" w:firstLineChars="200"/>
    </w:pPr>
    <w:rPr>
      <w:rFonts w:ascii="宋体" w:hAnsi="Courier New"/>
      <w:szCs w:val="20"/>
    </w:rPr>
  </w:style>
  <w:style w:type="paragraph" w:styleId="20">
    <w:name w:val="Date"/>
    <w:basedOn w:val="1"/>
    <w:next w:val="1"/>
    <w:link w:val="69"/>
    <w:qFormat/>
    <w:uiPriority w:val="0"/>
    <w:pPr>
      <w:ind w:left="100" w:leftChars="2500"/>
    </w:pPr>
    <w:rPr>
      <w:kern w:val="0"/>
      <w:sz w:val="24"/>
      <w:szCs w:val="20"/>
    </w:rPr>
  </w:style>
  <w:style w:type="paragraph" w:styleId="21">
    <w:name w:val="Body Text Indent 2"/>
    <w:basedOn w:val="1"/>
    <w:link w:val="154"/>
    <w:qFormat/>
    <w:locked/>
    <w:uiPriority w:val="0"/>
    <w:pPr>
      <w:spacing w:after="120" w:line="480" w:lineRule="auto"/>
      <w:ind w:left="420" w:leftChars="200" w:firstLine="200" w:firstLineChars="200"/>
    </w:pPr>
    <w:rPr>
      <w:sz w:val="24"/>
      <w:szCs w:val="20"/>
    </w:rPr>
  </w:style>
  <w:style w:type="paragraph" w:styleId="22">
    <w:name w:val="Balloon Text"/>
    <w:basedOn w:val="1"/>
    <w:link w:val="60"/>
    <w:qFormat/>
    <w:uiPriority w:val="0"/>
    <w:rPr>
      <w:kern w:val="0"/>
      <w:sz w:val="18"/>
      <w:szCs w:val="20"/>
    </w:rPr>
  </w:style>
  <w:style w:type="paragraph" w:styleId="23">
    <w:name w:val="footer"/>
    <w:basedOn w:val="1"/>
    <w:next w:val="24"/>
    <w:link w:val="61"/>
    <w:qFormat/>
    <w:uiPriority w:val="99"/>
    <w:pPr>
      <w:tabs>
        <w:tab w:val="center" w:pos="4153"/>
        <w:tab w:val="right" w:pos="8306"/>
      </w:tabs>
      <w:snapToGrid w:val="0"/>
    </w:pPr>
    <w:rPr>
      <w:kern w:val="0"/>
      <w:sz w:val="18"/>
      <w:szCs w:val="20"/>
    </w:rPr>
  </w:style>
  <w:style w:type="paragraph" w:styleId="24">
    <w:name w:val="Normal (Web)"/>
    <w:basedOn w:val="1"/>
    <w:link w:val="72"/>
    <w:qFormat/>
    <w:uiPriority w:val="0"/>
    <w:pPr>
      <w:spacing w:before="100" w:beforeAutospacing="1" w:after="100" w:afterAutospacing="1"/>
    </w:pPr>
    <w:rPr>
      <w:rFonts w:ascii="宋体" w:hAnsi="宋体"/>
      <w:kern w:val="0"/>
      <w:sz w:val="24"/>
      <w:szCs w:val="20"/>
    </w:rPr>
  </w:style>
  <w:style w:type="paragraph" w:styleId="25">
    <w:name w:val="header"/>
    <w:basedOn w:val="1"/>
    <w:link w:val="73"/>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toc 1"/>
    <w:basedOn w:val="1"/>
    <w:next w:val="1"/>
    <w:unhideWhenUsed/>
    <w:qFormat/>
    <w:locked/>
    <w:uiPriority w:val="39"/>
    <w:pPr>
      <w:spacing w:line="360" w:lineRule="auto"/>
      <w:ind w:firstLine="200" w:firstLineChars="200"/>
    </w:pPr>
    <w:rPr>
      <w:sz w:val="24"/>
      <w:szCs w:val="20"/>
    </w:rPr>
  </w:style>
  <w:style w:type="paragraph" w:styleId="27">
    <w:name w:val="List"/>
    <w:basedOn w:val="1"/>
    <w:qFormat/>
    <w:locked/>
    <w:uiPriority w:val="0"/>
    <w:pPr>
      <w:spacing w:line="360" w:lineRule="exact"/>
      <w:ind w:firstLine="200" w:firstLineChars="200"/>
      <w:jc w:val="center"/>
    </w:pPr>
    <w:rPr>
      <w:rFonts w:ascii="仿宋_GB2312" w:eastAsia="仿宋_GB2312"/>
      <w:sz w:val="28"/>
      <w:szCs w:val="20"/>
    </w:rPr>
  </w:style>
  <w:style w:type="paragraph" w:styleId="28">
    <w:name w:val="footnote text"/>
    <w:basedOn w:val="1"/>
    <w:link w:val="143"/>
    <w:qFormat/>
    <w:locked/>
    <w:uiPriority w:val="0"/>
    <w:pPr>
      <w:snapToGrid w:val="0"/>
    </w:pPr>
    <w:rPr>
      <w:sz w:val="18"/>
      <w:szCs w:val="18"/>
    </w:rPr>
  </w:style>
  <w:style w:type="paragraph" w:styleId="29">
    <w:name w:val="Body Text Indent 3"/>
    <w:basedOn w:val="1"/>
    <w:link w:val="158"/>
    <w:qFormat/>
    <w:locked/>
    <w:uiPriority w:val="0"/>
    <w:pPr>
      <w:spacing w:after="120" w:line="360" w:lineRule="auto"/>
      <w:ind w:left="420" w:leftChars="200" w:firstLine="200" w:firstLineChars="200"/>
    </w:pPr>
    <w:rPr>
      <w:sz w:val="16"/>
      <w:szCs w:val="16"/>
    </w:rPr>
  </w:style>
  <w:style w:type="paragraph" w:styleId="30">
    <w:name w:val="table of figures"/>
    <w:basedOn w:val="1"/>
    <w:next w:val="1"/>
    <w:qFormat/>
    <w:locked/>
    <w:uiPriority w:val="0"/>
    <w:pPr>
      <w:ind w:left="200" w:leftChars="200" w:hanging="200" w:hangingChars="200"/>
    </w:pPr>
  </w:style>
  <w:style w:type="paragraph" w:styleId="31">
    <w:name w:val="toc 2"/>
    <w:basedOn w:val="1"/>
    <w:next w:val="1"/>
    <w:unhideWhenUsed/>
    <w:qFormat/>
    <w:locked/>
    <w:uiPriority w:val="39"/>
    <w:pPr>
      <w:spacing w:line="360" w:lineRule="auto"/>
      <w:ind w:left="420" w:leftChars="200" w:firstLine="200" w:firstLineChars="200"/>
    </w:pPr>
    <w:rPr>
      <w:sz w:val="24"/>
      <w:szCs w:val="20"/>
    </w:rPr>
  </w:style>
  <w:style w:type="paragraph" w:styleId="32">
    <w:name w:val="HTML Preformatted"/>
    <w:basedOn w:val="1"/>
    <w:link w:val="159"/>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 w:val="24"/>
      <w:szCs w:val="20"/>
    </w:rPr>
  </w:style>
  <w:style w:type="paragraph" w:styleId="33">
    <w:name w:val="Title"/>
    <w:basedOn w:val="1"/>
    <w:next w:val="1"/>
    <w:link w:val="70"/>
    <w:qFormat/>
    <w:locked/>
    <w:uiPriority w:val="0"/>
    <w:pPr>
      <w:spacing w:before="240" w:after="60"/>
      <w:jc w:val="center"/>
      <w:outlineLvl w:val="0"/>
    </w:pPr>
    <w:rPr>
      <w:rFonts w:ascii="Cambria" w:hAnsi="Cambria"/>
      <w:b/>
      <w:bCs/>
      <w:sz w:val="32"/>
      <w:szCs w:val="32"/>
    </w:rPr>
  </w:style>
  <w:style w:type="paragraph" w:styleId="34">
    <w:name w:val="annotation subject"/>
    <w:basedOn w:val="13"/>
    <w:next w:val="13"/>
    <w:link w:val="76"/>
    <w:qFormat/>
    <w:uiPriority w:val="0"/>
    <w:rPr>
      <w:b/>
      <w:kern w:val="2"/>
    </w:rPr>
  </w:style>
  <w:style w:type="paragraph" w:styleId="35">
    <w:name w:val="Body Text First Indent"/>
    <w:basedOn w:val="15"/>
    <w:next w:val="1"/>
    <w:link w:val="155"/>
    <w:qFormat/>
    <w:locked/>
    <w:uiPriority w:val="0"/>
    <w:pPr>
      <w:widowControl w:val="0"/>
      <w:snapToGrid/>
      <w:spacing w:before="0" w:after="120" w:line="360" w:lineRule="auto"/>
      <w:ind w:right="0" w:firstLine="200" w:firstLineChars="200"/>
    </w:pPr>
    <w:rPr>
      <w:snapToGrid w:val="0"/>
      <w:color w:val="000000"/>
      <w:kern w:val="2"/>
      <w:sz w:val="24"/>
    </w:rPr>
  </w:style>
  <w:style w:type="paragraph" w:styleId="36">
    <w:name w:val="Body Text First Indent 2"/>
    <w:basedOn w:val="16"/>
    <w:next w:val="1"/>
    <w:link w:val="157"/>
    <w:unhideWhenUsed/>
    <w:qFormat/>
    <w:locked/>
    <w:uiPriority w:val="99"/>
    <w:pPr>
      <w:spacing w:line="360" w:lineRule="auto"/>
      <w:ind w:left="0" w:leftChars="0" w:firstLine="1044" w:firstLineChars="200"/>
    </w:pPr>
    <w:rPr>
      <w:kern w:val="2"/>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locked/>
    <w:uiPriority w:val="22"/>
    <w:rPr>
      <w:b/>
      <w:bCs/>
    </w:rPr>
  </w:style>
  <w:style w:type="character" w:styleId="41">
    <w:name w:val="page number"/>
    <w:basedOn w:val="39"/>
    <w:qFormat/>
    <w:locked/>
    <w:uiPriority w:val="0"/>
  </w:style>
  <w:style w:type="character" w:styleId="42">
    <w:name w:val="FollowedHyperlink"/>
    <w:unhideWhenUsed/>
    <w:qFormat/>
    <w:locked/>
    <w:uiPriority w:val="99"/>
    <w:rPr>
      <w:rFonts w:ascii="Times New Roman" w:hAnsi="Times New Roman" w:eastAsia="宋体" w:cs="Times New Roman"/>
      <w:color w:val="333333"/>
      <w:sz w:val="21"/>
      <w:szCs w:val="24"/>
      <w:u w:val="none"/>
    </w:rPr>
  </w:style>
  <w:style w:type="character" w:styleId="43">
    <w:name w:val="Emphasis"/>
    <w:qFormat/>
    <w:locked/>
    <w:uiPriority w:val="20"/>
    <w:rPr>
      <w:i/>
      <w:sz w:val="24"/>
      <w:szCs w:val="20"/>
    </w:rPr>
  </w:style>
  <w:style w:type="character" w:styleId="44">
    <w:name w:val="Hyperlink"/>
    <w:qFormat/>
    <w:locked/>
    <w:uiPriority w:val="99"/>
    <w:rPr>
      <w:color w:val="0000FF"/>
      <w:u w:val="single"/>
    </w:rPr>
  </w:style>
  <w:style w:type="character" w:styleId="45">
    <w:name w:val="annotation reference"/>
    <w:qFormat/>
    <w:uiPriority w:val="0"/>
    <w:rPr>
      <w:sz w:val="21"/>
    </w:rPr>
  </w:style>
  <w:style w:type="character" w:customStyle="1" w:styleId="46">
    <w:name w:val="标题 1 字符"/>
    <w:link w:val="3"/>
    <w:qFormat/>
    <w:uiPriority w:val="0"/>
    <w:rPr>
      <w:b/>
      <w:bCs/>
      <w:color w:val="000000"/>
      <w:kern w:val="44"/>
      <w:sz w:val="30"/>
      <w:szCs w:val="30"/>
    </w:rPr>
  </w:style>
  <w:style w:type="character" w:customStyle="1" w:styleId="47">
    <w:name w:val="标题 2 字符"/>
    <w:link w:val="2"/>
    <w:qFormat/>
    <w:uiPriority w:val="0"/>
    <w:rPr>
      <w:rFonts w:ascii="Cambria" w:hAnsi="Cambria" w:eastAsia="宋体" w:cs="Times New Roman"/>
      <w:b/>
      <w:bCs/>
      <w:kern w:val="2"/>
      <w:sz w:val="32"/>
      <w:szCs w:val="32"/>
    </w:rPr>
  </w:style>
  <w:style w:type="character" w:customStyle="1" w:styleId="48">
    <w:name w:val="标题 3 字符"/>
    <w:link w:val="4"/>
    <w:qFormat/>
    <w:uiPriority w:val="9"/>
    <w:rPr>
      <w:b/>
      <w:bCs/>
      <w:kern w:val="2"/>
      <w:sz w:val="32"/>
      <w:szCs w:val="32"/>
    </w:rPr>
  </w:style>
  <w:style w:type="character" w:customStyle="1" w:styleId="49">
    <w:name w:val="标题 4 字符"/>
    <w:link w:val="5"/>
    <w:qFormat/>
    <w:uiPriority w:val="0"/>
    <w:rPr>
      <w:rFonts w:ascii="Cambria" w:hAnsi="Cambria" w:eastAsia="宋体" w:cs="Times New Roman"/>
      <w:b/>
      <w:bCs/>
      <w:kern w:val="2"/>
      <w:sz w:val="28"/>
      <w:szCs w:val="28"/>
    </w:rPr>
  </w:style>
  <w:style w:type="character" w:customStyle="1" w:styleId="50">
    <w:name w:val="正文缩进 字符"/>
    <w:link w:val="7"/>
    <w:qFormat/>
    <w:uiPriority w:val="0"/>
    <w:rPr>
      <w:sz w:val="24"/>
      <w:szCs w:val="22"/>
    </w:rPr>
  </w:style>
  <w:style w:type="character" w:customStyle="1" w:styleId="51">
    <w:name w:val="标题 5 字符"/>
    <w:link w:val="6"/>
    <w:qFormat/>
    <w:uiPriority w:val="0"/>
    <w:rPr>
      <w:rFonts w:eastAsia="仿宋_GB2312"/>
      <w:sz w:val="28"/>
    </w:rPr>
  </w:style>
  <w:style w:type="character" w:customStyle="1" w:styleId="52">
    <w:name w:val="图文标题 Char"/>
    <w:link w:val="53"/>
    <w:qFormat/>
    <w:uiPriority w:val="0"/>
    <w:rPr>
      <w:rFonts w:ascii="Arial" w:hAnsi="Arial"/>
      <w:b/>
      <w:kern w:val="2"/>
      <w:sz w:val="24"/>
      <w:szCs w:val="22"/>
    </w:rPr>
  </w:style>
  <w:style w:type="paragraph" w:customStyle="1" w:styleId="53">
    <w:name w:val="图文标题"/>
    <w:basedOn w:val="1"/>
    <w:next w:val="1"/>
    <w:link w:val="52"/>
    <w:qFormat/>
    <w:uiPriority w:val="0"/>
    <w:pPr>
      <w:spacing w:line="360" w:lineRule="auto"/>
      <w:jc w:val="center"/>
    </w:pPr>
    <w:rPr>
      <w:rFonts w:ascii="Arial" w:hAnsi="Arial"/>
      <w:b/>
      <w:sz w:val="24"/>
      <w:szCs w:val="22"/>
    </w:rPr>
  </w:style>
  <w:style w:type="character" w:customStyle="1" w:styleId="54">
    <w:name w:val="zhang正文 Char1"/>
    <w:link w:val="55"/>
    <w:qFormat/>
    <w:uiPriority w:val="0"/>
    <w:rPr>
      <w:rFonts w:eastAsia="楷体_GB2312"/>
      <w:sz w:val="28"/>
    </w:rPr>
  </w:style>
  <w:style w:type="paragraph" w:customStyle="1" w:styleId="55">
    <w:name w:val="zhang正文"/>
    <w:basedOn w:val="16"/>
    <w:link w:val="54"/>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character" w:customStyle="1" w:styleId="56">
    <w:name w:val="正文文本缩进 字符"/>
    <w:link w:val="16"/>
    <w:qFormat/>
    <w:locked/>
    <w:uiPriority w:val="0"/>
    <w:rPr>
      <w:rFonts w:ascii="Times New Roman" w:hAnsi="Times New Roman" w:eastAsia="宋体"/>
      <w:sz w:val="24"/>
    </w:rPr>
  </w:style>
  <w:style w:type="character" w:customStyle="1" w:styleId="57">
    <w:name w:val="表格 Char"/>
    <w:link w:val="58"/>
    <w:qFormat/>
    <w:locked/>
    <w:uiPriority w:val="0"/>
    <w:rPr>
      <w:rFonts w:ascii="宋体"/>
      <w:sz w:val="21"/>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批注文字 字符"/>
    <w:link w:val="13"/>
    <w:qFormat/>
    <w:locked/>
    <w:uiPriority w:val="99"/>
    <w:rPr>
      <w:rFonts w:ascii="Times New Roman" w:hAnsi="Times New Roman" w:eastAsia="宋体"/>
      <w:sz w:val="24"/>
    </w:rPr>
  </w:style>
  <w:style w:type="character" w:customStyle="1" w:styleId="60">
    <w:name w:val="批注框文本 字符"/>
    <w:link w:val="22"/>
    <w:qFormat/>
    <w:locked/>
    <w:uiPriority w:val="0"/>
    <w:rPr>
      <w:rFonts w:ascii="Times New Roman" w:hAnsi="Times New Roman" w:eastAsia="宋体"/>
      <w:sz w:val="18"/>
    </w:rPr>
  </w:style>
  <w:style w:type="character" w:customStyle="1" w:styleId="61">
    <w:name w:val="页脚 字符1"/>
    <w:link w:val="23"/>
    <w:qFormat/>
    <w:locked/>
    <w:uiPriority w:val="99"/>
    <w:rPr>
      <w:sz w:val="18"/>
    </w:rPr>
  </w:style>
  <w:style w:type="character" w:customStyle="1" w:styleId="62">
    <w:name w:val="表格标题 Char1"/>
    <w:link w:val="63"/>
    <w:qFormat/>
    <w:uiPriority w:val="0"/>
    <w:rPr>
      <w:b/>
      <w:sz w:val="24"/>
      <w:szCs w:val="24"/>
    </w:rPr>
  </w:style>
  <w:style w:type="paragraph" w:customStyle="1" w:styleId="63">
    <w:name w:val="表格标题"/>
    <w:basedOn w:val="1"/>
    <w:link w:val="62"/>
    <w:qFormat/>
    <w:uiPriority w:val="0"/>
    <w:pPr>
      <w:spacing w:line="360" w:lineRule="auto"/>
      <w:ind w:left="420" w:hanging="420"/>
      <w:jc w:val="center"/>
      <w:outlineLvl w:val="4"/>
    </w:pPr>
    <w:rPr>
      <w:b/>
      <w:kern w:val="0"/>
      <w:sz w:val="24"/>
    </w:rPr>
  </w:style>
  <w:style w:type="character" w:customStyle="1" w:styleId="64">
    <w:name w:val="日期 字符"/>
    <w:semiHidden/>
    <w:qFormat/>
    <w:uiPriority w:val="0"/>
    <w:rPr>
      <w:rFonts w:ascii="Times New Roman" w:hAnsi="Times New Roman" w:eastAsia="宋体"/>
      <w:sz w:val="24"/>
    </w:rPr>
  </w:style>
  <w:style w:type="character" w:customStyle="1" w:styleId="65">
    <w:name w:val="表格标题 Char"/>
    <w:qFormat/>
    <w:uiPriority w:val="0"/>
    <w:rPr>
      <w:b/>
      <w:color w:val="222222"/>
      <w:sz w:val="24"/>
    </w:rPr>
  </w:style>
  <w:style w:type="character" w:customStyle="1" w:styleId="66">
    <w:name w:val="表格内容 Char"/>
    <w:link w:val="67"/>
    <w:qFormat/>
    <w:uiPriority w:val="0"/>
    <w:rPr>
      <w:kern w:val="2"/>
      <w:sz w:val="21"/>
      <w:szCs w:val="22"/>
    </w:rPr>
  </w:style>
  <w:style w:type="paragraph" w:customStyle="1" w:styleId="67">
    <w:name w:val="表格内容"/>
    <w:basedOn w:val="1"/>
    <w:next w:val="1"/>
    <w:link w:val="66"/>
    <w:qFormat/>
    <w:uiPriority w:val="0"/>
    <w:pPr>
      <w:jc w:val="center"/>
    </w:pPr>
    <w:rPr>
      <w:szCs w:val="22"/>
    </w:rPr>
  </w:style>
  <w:style w:type="character" w:customStyle="1" w:styleId="68">
    <w:name w:val="页脚 字符"/>
    <w:basedOn w:val="39"/>
    <w:qFormat/>
    <w:uiPriority w:val="99"/>
  </w:style>
  <w:style w:type="character" w:customStyle="1" w:styleId="69">
    <w:name w:val="日期 字符1"/>
    <w:link w:val="20"/>
    <w:qFormat/>
    <w:locked/>
    <w:uiPriority w:val="0"/>
    <w:rPr>
      <w:rFonts w:ascii="Times New Roman" w:hAnsi="Times New Roman" w:eastAsia="宋体"/>
      <w:sz w:val="24"/>
    </w:rPr>
  </w:style>
  <w:style w:type="character" w:customStyle="1" w:styleId="70">
    <w:name w:val="标题 字符"/>
    <w:link w:val="33"/>
    <w:qFormat/>
    <w:uiPriority w:val="0"/>
    <w:rPr>
      <w:rFonts w:ascii="Cambria" w:hAnsi="Cambria" w:cs="Times New Roman"/>
      <w:b/>
      <w:bCs/>
      <w:kern w:val="2"/>
      <w:sz w:val="32"/>
      <w:szCs w:val="32"/>
    </w:rPr>
  </w:style>
  <w:style w:type="character" w:customStyle="1" w:styleId="71">
    <w:name w:val="正文文本 字符1"/>
    <w:semiHidden/>
    <w:qFormat/>
    <w:uiPriority w:val="0"/>
    <w:rPr>
      <w:rFonts w:ascii="Times New Roman" w:hAnsi="Times New Roman" w:eastAsia="宋体"/>
      <w:sz w:val="24"/>
    </w:rPr>
  </w:style>
  <w:style w:type="character" w:customStyle="1" w:styleId="72">
    <w:name w:val="普通(网站) 字符"/>
    <w:link w:val="24"/>
    <w:qFormat/>
    <w:locked/>
    <w:uiPriority w:val="0"/>
    <w:rPr>
      <w:rFonts w:ascii="宋体" w:hAnsi="宋体" w:eastAsia="宋体"/>
      <w:sz w:val="24"/>
    </w:rPr>
  </w:style>
  <w:style w:type="character" w:customStyle="1" w:styleId="73">
    <w:name w:val="页眉 字符"/>
    <w:link w:val="25"/>
    <w:qFormat/>
    <w:locked/>
    <w:uiPriority w:val="0"/>
    <w:rPr>
      <w:sz w:val="18"/>
    </w:rPr>
  </w:style>
  <w:style w:type="character" w:customStyle="1" w:styleId="74">
    <w:name w:val="正文文本 字符"/>
    <w:link w:val="15"/>
    <w:qFormat/>
    <w:locked/>
    <w:uiPriority w:val="0"/>
    <w:rPr>
      <w:sz w:val="18"/>
    </w:rPr>
  </w:style>
  <w:style w:type="character" w:customStyle="1" w:styleId="75">
    <w:name w:val="批注文字 字符1"/>
    <w:semiHidden/>
    <w:qFormat/>
    <w:uiPriority w:val="0"/>
    <w:rPr>
      <w:rFonts w:ascii="Times New Roman" w:hAnsi="Times New Roman" w:eastAsia="宋体"/>
      <w:sz w:val="24"/>
    </w:rPr>
  </w:style>
  <w:style w:type="character" w:customStyle="1" w:styleId="76">
    <w:name w:val="批注主题 字符"/>
    <w:link w:val="34"/>
    <w:qFormat/>
    <w:locked/>
    <w:uiPriority w:val="0"/>
    <w:rPr>
      <w:rFonts w:ascii="Times New Roman" w:hAnsi="Times New Roman" w:eastAsia="宋体"/>
      <w:b/>
      <w:kern w:val="2"/>
      <w:sz w:val="24"/>
    </w:rPr>
  </w:style>
  <w:style w:type="character" w:customStyle="1" w:styleId="77">
    <w:name w:val="1表格 Char"/>
    <w:link w:val="78"/>
    <w:qFormat/>
    <w:uiPriority w:val="0"/>
    <w:rPr>
      <w:rFonts w:eastAsia="仿宋_GB2312"/>
      <w:kern w:val="2"/>
      <w:sz w:val="21"/>
      <w:szCs w:val="21"/>
    </w:rPr>
  </w:style>
  <w:style w:type="paragraph" w:customStyle="1" w:styleId="78">
    <w:name w:val="1表格"/>
    <w:basedOn w:val="1"/>
    <w:link w:val="77"/>
    <w:qFormat/>
    <w:uiPriority w:val="0"/>
    <w:pPr>
      <w:snapToGrid w:val="0"/>
      <w:jc w:val="center"/>
      <w:outlineLvl w:val="4"/>
    </w:pPr>
    <w:rPr>
      <w:rFonts w:eastAsia="仿宋_GB2312"/>
      <w:szCs w:val="21"/>
    </w:rPr>
  </w:style>
  <w:style w:type="character" w:customStyle="1" w:styleId="79">
    <w:name w:val="表格内容 Char1"/>
    <w:qFormat/>
    <w:uiPriority w:val="0"/>
    <w:rPr>
      <w:rFonts w:ascii="宋体" w:hAnsi="宋体" w:eastAsia="宋体"/>
      <w:kern w:val="0"/>
      <w:sz w:val="21"/>
    </w:rPr>
  </w:style>
  <w:style w:type="paragraph" w:customStyle="1" w:styleId="80">
    <w:name w:val="普通(网站)2"/>
    <w:basedOn w:val="1"/>
    <w:qFormat/>
    <w:uiPriority w:val="0"/>
    <w:pPr>
      <w:spacing w:before="100" w:beforeAutospacing="1" w:after="100" w:afterAutospacing="1"/>
    </w:pPr>
    <w:rPr>
      <w:rFonts w:ascii="宋体" w:hAnsi="宋体"/>
      <w:sz w:val="24"/>
      <w:szCs w:val="20"/>
    </w:rPr>
  </w:style>
  <w:style w:type="paragraph" w:customStyle="1" w:styleId="81">
    <w:name w:val="Default"/>
    <w:qFormat/>
    <w:uiPriority w:val="0"/>
    <w:pPr>
      <w:widowControl w:val="0"/>
      <w:autoSpaceDE w:val="0"/>
      <w:autoSpaceDN w:val="0"/>
      <w:adjustRightInd w:val="0"/>
    </w:pPr>
    <w:rPr>
      <w:rFonts w:ascii="宋体u.砸.葷." w:hAnsi="Times New Roman" w:eastAsia="宋体u.砸.葷." w:cs="宋体u.砸.葷."/>
      <w:color w:val="000000"/>
      <w:sz w:val="24"/>
      <w:szCs w:val="24"/>
      <w:lang w:val="en-US" w:eastAsia="zh-CN" w:bidi="ar-SA"/>
    </w:rPr>
  </w:style>
  <w:style w:type="paragraph" w:styleId="82">
    <w:name w:val="List Paragraph"/>
    <w:basedOn w:val="1"/>
    <w:qFormat/>
    <w:uiPriority w:val="0"/>
    <w:pPr>
      <w:spacing w:line="360" w:lineRule="auto"/>
      <w:ind w:firstLine="420" w:firstLineChars="200"/>
    </w:pPr>
    <w:rPr>
      <w:rFonts w:ascii="Calibri" w:hAnsi="Calibri"/>
      <w:sz w:val="24"/>
      <w:szCs w:val="22"/>
    </w:rPr>
  </w:style>
  <w:style w:type="paragraph" w:customStyle="1" w:styleId="83">
    <w:name w:val="标题1"/>
    <w:basedOn w:val="24"/>
    <w:qFormat/>
    <w:uiPriority w:val="0"/>
    <w:pPr>
      <w:jc w:val="center"/>
      <w:outlineLvl w:val="0"/>
    </w:pPr>
    <w:rPr>
      <w:rFonts w:ascii="黑体" w:hAnsi="黑体" w:eastAsia="黑体"/>
      <w:snapToGrid w:val="0"/>
      <w:sz w:val="30"/>
      <w:szCs w:val="30"/>
    </w:rPr>
  </w:style>
  <w:style w:type="paragraph" w:customStyle="1" w:styleId="84">
    <w:name w:val="表格标题1"/>
    <w:basedOn w:val="1"/>
    <w:qFormat/>
    <w:uiPriority w:val="0"/>
    <w:pPr>
      <w:adjustRightInd w:val="0"/>
      <w:snapToGrid w:val="0"/>
      <w:spacing w:line="360" w:lineRule="auto"/>
      <w:outlineLvl w:val="0"/>
    </w:pPr>
    <w:rPr>
      <w:rFonts w:ascii="方正小标宋_GBK"/>
      <w:bCs/>
      <w:sz w:val="28"/>
      <w:szCs w:val="72"/>
    </w:rPr>
  </w:style>
  <w:style w:type="paragraph" w:customStyle="1" w:styleId="85">
    <w:name w:val="表内容"/>
    <w:basedOn w:val="1"/>
    <w:qFormat/>
    <w:uiPriority w:val="0"/>
    <w:pPr>
      <w:jc w:val="center"/>
    </w:pPr>
    <w:rPr>
      <w:kern w:val="0"/>
      <w:lang w:val="en-GB"/>
    </w:rPr>
  </w:style>
  <w:style w:type="paragraph" w:customStyle="1" w:styleId="86">
    <w:name w:val="表正文"/>
    <w:basedOn w:val="1"/>
    <w:qFormat/>
    <w:uiPriority w:val="0"/>
    <w:pPr>
      <w:spacing w:line="360" w:lineRule="auto"/>
      <w:ind w:firstLine="200" w:firstLineChars="200"/>
    </w:pPr>
    <w:rPr>
      <w:sz w:val="24"/>
    </w:rPr>
  </w:style>
  <w:style w:type="paragraph" w:customStyle="1" w:styleId="87">
    <w:name w:val="表头"/>
    <w:basedOn w:val="1"/>
    <w:next w:val="1"/>
    <w:link w:val="88"/>
    <w:qFormat/>
    <w:uiPriority w:val="0"/>
    <w:pPr>
      <w:spacing w:line="360" w:lineRule="auto"/>
      <w:jc w:val="center"/>
    </w:pPr>
    <w:rPr>
      <w:b/>
      <w:sz w:val="24"/>
      <w:szCs w:val="22"/>
    </w:rPr>
  </w:style>
  <w:style w:type="character" w:customStyle="1" w:styleId="88">
    <w:name w:val="表头 Char"/>
    <w:link w:val="87"/>
    <w:qFormat/>
    <w:uiPriority w:val="0"/>
    <w:rPr>
      <w:b/>
      <w:kern w:val="2"/>
      <w:sz w:val="24"/>
      <w:szCs w:val="22"/>
    </w:rPr>
  </w:style>
  <w:style w:type="paragraph" w:customStyle="1" w:styleId="89">
    <w:name w:val="标题3"/>
    <w:basedOn w:val="1"/>
    <w:qFormat/>
    <w:uiPriority w:val="0"/>
    <w:pPr>
      <w:spacing w:line="360" w:lineRule="auto"/>
      <w:outlineLvl w:val="2"/>
    </w:pPr>
    <w:rPr>
      <w:b/>
      <w:sz w:val="24"/>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92">
    <w:name w:val="111正文的格式"/>
    <w:basedOn w:val="1"/>
    <w:link w:val="93"/>
    <w:qFormat/>
    <w:uiPriority w:val="0"/>
    <w:pPr>
      <w:adjustRightInd w:val="0"/>
      <w:snapToGrid w:val="0"/>
      <w:spacing w:line="360" w:lineRule="auto"/>
      <w:ind w:firstLine="480" w:firstLineChars="200"/>
    </w:pPr>
    <w:rPr>
      <w:color w:val="0000FF"/>
      <w:sz w:val="24"/>
    </w:rPr>
  </w:style>
  <w:style w:type="character" w:customStyle="1" w:styleId="93">
    <w:name w:val="111正文的格式 Char"/>
    <w:link w:val="92"/>
    <w:qFormat/>
    <w:uiPriority w:val="0"/>
    <w:rPr>
      <w:color w:val="0000FF"/>
      <w:kern w:val="2"/>
      <w:sz w:val="24"/>
      <w:szCs w:val="24"/>
    </w:rPr>
  </w:style>
  <w:style w:type="character" w:customStyle="1" w:styleId="94">
    <w:name w:val="表表表表 Char"/>
    <w:link w:val="95"/>
    <w:qFormat/>
    <w:uiPriority w:val="0"/>
    <w:rPr>
      <w:rFonts w:eastAsia="方正楷体简体"/>
      <w:kern w:val="2"/>
      <w:sz w:val="21"/>
      <w:szCs w:val="21"/>
    </w:rPr>
  </w:style>
  <w:style w:type="paragraph" w:customStyle="1" w:styleId="95">
    <w:name w:val="表表表表"/>
    <w:basedOn w:val="1"/>
    <w:link w:val="94"/>
    <w:qFormat/>
    <w:uiPriority w:val="0"/>
    <w:pPr>
      <w:jc w:val="center"/>
    </w:pPr>
    <w:rPr>
      <w:rFonts w:eastAsia="方正楷体简体"/>
      <w:szCs w:val="21"/>
    </w:rPr>
  </w:style>
  <w:style w:type="character" w:customStyle="1" w:styleId="96">
    <w:name w:val="正文11111111111 Char Char"/>
    <w:link w:val="97"/>
    <w:qFormat/>
    <w:uiPriority w:val="0"/>
    <w:rPr>
      <w:rFonts w:ascii="宋体" w:hAnsi="宋体"/>
      <w:kern w:val="2"/>
      <w:sz w:val="24"/>
      <w:szCs w:val="24"/>
    </w:rPr>
  </w:style>
  <w:style w:type="paragraph" w:customStyle="1" w:styleId="97">
    <w:name w:val="正文11111111111"/>
    <w:basedOn w:val="1"/>
    <w:link w:val="96"/>
    <w:qFormat/>
    <w:uiPriority w:val="0"/>
    <w:pPr>
      <w:spacing w:line="360" w:lineRule="auto"/>
      <w:ind w:firstLine="480" w:firstLineChars="200"/>
    </w:pPr>
    <w:rPr>
      <w:rFonts w:ascii="宋体" w:hAnsi="宋体"/>
      <w:sz w:val="24"/>
    </w:rPr>
  </w:style>
  <w:style w:type="paragraph" w:customStyle="1" w:styleId="98">
    <w:name w:val="表哥的格式"/>
    <w:basedOn w:val="1"/>
    <w:link w:val="99"/>
    <w:qFormat/>
    <w:uiPriority w:val="0"/>
    <w:pPr>
      <w:autoSpaceDE w:val="0"/>
      <w:autoSpaceDN w:val="0"/>
      <w:adjustRightInd w:val="0"/>
      <w:snapToGrid w:val="0"/>
      <w:spacing w:line="360" w:lineRule="auto"/>
      <w:ind w:firstLine="200" w:firstLineChars="200"/>
      <w:jc w:val="center"/>
    </w:pPr>
    <w:rPr>
      <w:kern w:val="0"/>
      <w:szCs w:val="21"/>
    </w:rPr>
  </w:style>
  <w:style w:type="character" w:customStyle="1" w:styleId="99">
    <w:name w:val="表哥的格式 Char"/>
    <w:link w:val="98"/>
    <w:qFormat/>
    <w:uiPriority w:val="0"/>
    <w:rPr>
      <w:sz w:val="21"/>
      <w:szCs w:val="21"/>
    </w:rPr>
  </w:style>
  <w:style w:type="paragraph" w:customStyle="1" w:styleId="100">
    <w:name w:val="Table Paragraph"/>
    <w:basedOn w:val="1"/>
    <w:qFormat/>
    <w:uiPriority w:val="1"/>
    <w:pPr>
      <w:autoSpaceDE w:val="0"/>
      <w:autoSpaceDN w:val="0"/>
      <w:spacing w:line="360" w:lineRule="auto"/>
      <w:ind w:firstLine="200" w:firstLineChars="200"/>
    </w:pPr>
    <w:rPr>
      <w:rFonts w:ascii="宋体" w:hAnsi="宋体" w:cs="宋体"/>
      <w:kern w:val="0"/>
      <w:sz w:val="22"/>
      <w:szCs w:val="22"/>
      <w:lang w:eastAsia="en-US"/>
    </w:rPr>
  </w:style>
  <w:style w:type="character" w:customStyle="1" w:styleId="101">
    <w:name w:val="统一正文 Char"/>
    <w:link w:val="102"/>
    <w:qFormat/>
    <w:uiPriority w:val="0"/>
    <w:rPr>
      <w:sz w:val="28"/>
      <w:lang w:bidi="he-IL"/>
    </w:rPr>
  </w:style>
  <w:style w:type="paragraph" w:customStyle="1" w:styleId="102">
    <w:name w:val="统一正文"/>
    <w:basedOn w:val="1"/>
    <w:link w:val="101"/>
    <w:qFormat/>
    <w:uiPriority w:val="0"/>
    <w:pPr>
      <w:autoSpaceDE w:val="0"/>
      <w:autoSpaceDN w:val="0"/>
      <w:spacing w:line="360" w:lineRule="auto"/>
      <w:ind w:firstLine="200" w:firstLineChars="200"/>
      <w:textAlignment w:val="baseline"/>
    </w:pPr>
    <w:rPr>
      <w:kern w:val="0"/>
      <w:sz w:val="28"/>
      <w:szCs w:val="20"/>
      <w:lang w:bidi="he-IL"/>
    </w:rPr>
  </w:style>
  <w:style w:type="character" w:customStyle="1" w:styleId="103">
    <w:name w:val="currecords"/>
    <w:qFormat/>
    <w:uiPriority w:val="0"/>
    <w:rPr>
      <w:rFonts w:ascii="Times New Roman" w:hAnsi="Times New Roman" w:eastAsia="宋体" w:cs="Times New Roman"/>
      <w:color w:val="D03425"/>
      <w:sz w:val="21"/>
      <w:szCs w:val="24"/>
    </w:rPr>
  </w:style>
  <w:style w:type="character" w:customStyle="1" w:styleId="104">
    <w:name w:val="curpage"/>
    <w:qFormat/>
    <w:uiPriority w:val="0"/>
    <w:rPr>
      <w:rFonts w:ascii="Times New Roman" w:hAnsi="Times New Roman" w:eastAsia="宋体" w:cs="Times New Roman"/>
      <w:color w:val="D03425"/>
      <w:sz w:val="21"/>
      <w:szCs w:val="24"/>
    </w:rPr>
  </w:style>
  <w:style w:type="character" w:customStyle="1" w:styleId="105">
    <w:name w:val="font21"/>
    <w:qFormat/>
    <w:uiPriority w:val="0"/>
    <w:rPr>
      <w:rFonts w:hint="eastAsia" w:ascii="宋体" w:hAnsi="宋体" w:eastAsia="宋体" w:cs="宋体"/>
      <w:b/>
      <w:color w:val="FF0000"/>
      <w:sz w:val="21"/>
      <w:szCs w:val="21"/>
      <w:u w:val="none"/>
    </w:rPr>
  </w:style>
  <w:style w:type="character" w:customStyle="1" w:styleId="106">
    <w:name w:val="z正文 Char"/>
    <w:link w:val="107"/>
    <w:qFormat/>
    <w:uiPriority w:val="0"/>
    <w:rPr>
      <w:sz w:val="24"/>
      <w:szCs w:val="24"/>
    </w:rPr>
  </w:style>
  <w:style w:type="paragraph" w:customStyle="1" w:styleId="107">
    <w:name w:val="z正文"/>
    <w:basedOn w:val="16"/>
    <w:link w:val="106"/>
    <w:qFormat/>
    <w:uiPriority w:val="0"/>
    <w:pPr>
      <w:autoSpaceDE w:val="0"/>
      <w:autoSpaceDN w:val="0"/>
      <w:adjustRightInd w:val="0"/>
      <w:snapToGrid w:val="0"/>
      <w:spacing w:after="0" w:line="360" w:lineRule="auto"/>
      <w:ind w:left="0" w:leftChars="0" w:firstLine="200" w:firstLineChars="200"/>
      <w:textAlignment w:val="baseline"/>
    </w:pPr>
    <w:rPr>
      <w:szCs w:val="24"/>
    </w:rPr>
  </w:style>
  <w:style w:type="character" w:customStyle="1" w:styleId="108">
    <w:name w:val="矿渣粉正文 Char"/>
    <w:link w:val="109"/>
    <w:qFormat/>
    <w:uiPriority w:val="0"/>
    <w:rPr>
      <w:color w:val="000000"/>
    </w:rPr>
  </w:style>
  <w:style w:type="paragraph" w:customStyle="1" w:styleId="109">
    <w:name w:val="矿渣粉正文"/>
    <w:basedOn w:val="1"/>
    <w:next w:val="1"/>
    <w:link w:val="108"/>
    <w:qFormat/>
    <w:uiPriority w:val="0"/>
    <w:pPr>
      <w:spacing w:line="360" w:lineRule="auto"/>
      <w:ind w:firstLine="200" w:firstLineChars="200"/>
    </w:pPr>
    <w:rPr>
      <w:color w:val="000000"/>
      <w:kern w:val="0"/>
      <w:sz w:val="20"/>
      <w:szCs w:val="20"/>
    </w:rPr>
  </w:style>
  <w:style w:type="character" w:customStyle="1" w:styleId="110">
    <w:name w:val="1文章 Char"/>
    <w:link w:val="111"/>
    <w:qFormat/>
    <w:uiPriority w:val="0"/>
    <w:rPr>
      <w:rFonts w:eastAsia="仿宋_GB2312"/>
      <w:kern w:val="2"/>
      <w:sz w:val="28"/>
    </w:rPr>
  </w:style>
  <w:style w:type="paragraph" w:customStyle="1" w:styleId="111">
    <w:name w:val="1文章"/>
    <w:basedOn w:val="1"/>
    <w:link w:val="110"/>
    <w:qFormat/>
    <w:uiPriority w:val="0"/>
    <w:pPr>
      <w:spacing w:line="360" w:lineRule="auto"/>
      <w:ind w:firstLine="573" w:firstLineChars="200"/>
    </w:pPr>
    <w:rPr>
      <w:rFonts w:eastAsia="仿宋_GB2312"/>
      <w:sz w:val="28"/>
      <w:szCs w:val="20"/>
    </w:rPr>
  </w:style>
  <w:style w:type="character" w:customStyle="1" w:styleId="112">
    <w:name w:val="表格内文字 Char"/>
    <w:link w:val="113"/>
    <w:qFormat/>
    <w:uiPriority w:val="0"/>
    <w:rPr>
      <w:rFonts w:cs="宋体"/>
      <w:color w:val="0000FF"/>
      <w:sz w:val="21"/>
    </w:rPr>
  </w:style>
  <w:style w:type="paragraph" w:customStyle="1" w:styleId="113">
    <w:name w:val="表格内文字"/>
    <w:basedOn w:val="1"/>
    <w:link w:val="112"/>
    <w:qFormat/>
    <w:uiPriority w:val="0"/>
    <w:pPr>
      <w:jc w:val="center"/>
    </w:pPr>
    <w:rPr>
      <w:color w:val="0000FF"/>
      <w:kern w:val="0"/>
      <w:szCs w:val="20"/>
    </w:rPr>
  </w:style>
  <w:style w:type="character" w:customStyle="1" w:styleId="114">
    <w:name w:val="常用 Char"/>
    <w:link w:val="115"/>
    <w:qFormat/>
    <w:uiPriority w:val="0"/>
    <w:rPr>
      <w:rFonts w:ascii="宋体" w:hAnsi="宋体"/>
      <w:sz w:val="28"/>
      <w:szCs w:val="28"/>
    </w:rPr>
  </w:style>
  <w:style w:type="paragraph" w:customStyle="1" w:styleId="115">
    <w:name w:val="常用"/>
    <w:basedOn w:val="1"/>
    <w:link w:val="114"/>
    <w:qFormat/>
    <w:uiPriority w:val="0"/>
    <w:pPr>
      <w:spacing w:line="360" w:lineRule="auto"/>
      <w:ind w:firstLine="200" w:firstLineChars="200"/>
    </w:pPr>
    <w:rPr>
      <w:rFonts w:ascii="宋体" w:hAnsi="宋体"/>
      <w:kern w:val="0"/>
      <w:sz w:val="28"/>
      <w:szCs w:val="28"/>
    </w:rPr>
  </w:style>
  <w:style w:type="character" w:customStyle="1" w:styleId="116">
    <w:name w:val="正文111111 Char"/>
    <w:link w:val="117"/>
    <w:qFormat/>
    <w:uiPriority w:val="0"/>
    <w:rPr>
      <w:kern w:val="2"/>
      <w:sz w:val="24"/>
      <w:szCs w:val="24"/>
    </w:rPr>
  </w:style>
  <w:style w:type="paragraph" w:customStyle="1" w:styleId="117">
    <w:name w:val="正文111111"/>
    <w:basedOn w:val="1"/>
    <w:link w:val="116"/>
    <w:qFormat/>
    <w:uiPriority w:val="0"/>
    <w:pPr>
      <w:spacing w:line="360" w:lineRule="auto"/>
      <w:ind w:firstLine="480" w:firstLineChars="200"/>
    </w:pPr>
    <w:rPr>
      <w:sz w:val="24"/>
    </w:rPr>
  </w:style>
  <w:style w:type="character" w:customStyle="1" w:styleId="118">
    <w:name w:val="我的正文 Char"/>
    <w:link w:val="119"/>
    <w:qFormat/>
    <w:uiPriority w:val="0"/>
    <w:rPr>
      <w:rFonts w:hAnsi="宋体"/>
      <w:color w:val="3366FF"/>
      <w:kern w:val="2"/>
      <w:sz w:val="24"/>
      <w:szCs w:val="24"/>
    </w:rPr>
  </w:style>
  <w:style w:type="paragraph" w:customStyle="1" w:styleId="119">
    <w:name w:val="我的正文"/>
    <w:basedOn w:val="1"/>
    <w:link w:val="118"/>
    <w:qFormat/>
    <w:uiPriority w:val="0"/>
    <w:pPr>
      <w:tabs>
        <w:tab w:val="left" w:pos="3915"/>
      </w:tabs>
      <w:spacing w:line="360" w:lineRule="auto"/>
      <w:ind w:firstLine="480" w:firstLineChars="200"/>
    </w:pPr>
    <w:rPr>
      <w:rFonts w:hAnsi="宋体"/>
      <w:color w:val="3366FF"/>
      <w:sz w:val="24"/>
    </w:rPr>
  </w:style>
  <w:style w:type="character" w:customStyle="1" w:styleId="120">
    <w:name w:val="font31"/>
    <w:qFormat/>
    <w:uiPriority w:val="0"/>
    <w:rPr>
      <w:rFonts w:hint="default" w:ascii="Times New Roman" w:hAnsi="Times New Roman" w:cs="Times New Roman"/>
      <w:color w:val="000000"/>
      <w:sz w:val="21"/>
      <w:szCs w:val="21"/>
      <w:u w:val="none"/>
    </w:rPr>
  </w:style>
  <w:style w:type="character" w:customStyle="1" w:styleId="121">
    <w:name w:val="小标题 正文样式 宋体 小四 Char Char"/>
    <w:link w:val="122"/>
    <w:qFormat/>
    <w:uiPriority w:val="0"/>
    <w:rPr>
      <w:rFonts w:ascii="宋体" w:hAnsi="宋体"/>
      <w:sz w:val="24"/>
      <w:szCs w:val="24"/>
    </w:rPr>
  </w:style>
  <w:style w:type="paragraph" w:customStyle="1" w:styleId="122">
    <w:name w:val="小标题 正文样式 宋体 小四"/>
    <w:basedOn w:val="1"/>
    <w:link w:val="121"/>
    <w:qFormat/>
    <w:uiPriority w:val="0"/>
    <w:pPr>
      <w:spacing w:line="360" w:lineRule="auto"/>
      <w:ind w:firstLine="200" w:firstLineChars="200"/>
    </w:pPr>
    <w:rPr>
      <w:rFonts w:ascii="宋体" w:hAnsi="宋体"/>
      <w:kern w:val="0"/>
      <w:sz w:val="24"/>
    </w:rPr>
  </w:style>
  <w:style w:type="character" w:customStyle="1" w:styleId="123">
    <w:name w:val="正文的格式 Char"/>
    <w:link w:val="124"/>
    <w:qFormat/>
    <w:uiPriority w:val="0"/>
    <w:rPr>
      <w:sz w:val="24"/>
      <w:szCs w:val="24"/>
    </w:rPr>
  </w:style>
  <w:style w:type="paragraph" w:customStyle="1" w:styleId="124">
    <w:name w:val="正文的格式"/>
    <w:basedOn w:val="125"/>
    <w:link w:val="123"/>
    <w:qFormat/>
    <w:uiPriority w:val="0"/>
    <w:rPr>
      <w:kern w:val="0"/>
    </w:rPr>
  </w:style>
  <w:style w:type="paragraph" w:customStyle="1" w:styleId="125">
    <w:name w:val="正文2"/>
    <w:basedOn w:val="1"/>
    <w:qFormat/>
    <w:uiPriority w:val="0"/>
    <w:pPr>
      <w:spacing w:line="360" w:lineRule="auto"/>
      <w:ind w:firstLine="200" w:firstLineChars="200"/>
      <w:jc w:val="center"/>
    </w:pPr>
    <w:rPr>
      <w:sz w:val="24"/>
    </w:rPr>
  </w:style>
  <w:style w:type="character" w:customStyle="1" w:styleId="126">
    <w:name w:val="ttag"/>
    <w:qFormat/>
    <w:uiPriority w:val="0"/>
    <w:rPr>
      <w:rFonts w:ascii="Times New Roman" w:hAnsi="Times New Roman" w:eastAsia="宋体" w:cs="Times New Roman"/>
      <w:sz w:val="21"/>
      <w:szCs w:val="24"/>
    </w:rPr>
  </w:style>
  <w:style w:type="character" w:customStyle="1" w:styleId="127">
    <w:name w:val="表格内容五号 Char"/>
    <w:link w:val="128"/>
    <w:qFormat/>
    <w:uiPriority w:val="0"/>
    <w:rPr>
      <w:kern w:val="2"/>
      <w:sz w:val="21"/>
    </w:rPr>
  </w:style>
  <w:style w:type="paragraph" w:customStyle="1" w:styleId="128">
    <w:name w:val="表格内容五号"/>
    <w:basedOn w:val="1"/>
    <w:link w:val="127"/>
    <w:qFormat/>
    <w:uiPriority w:val="0"/>
    <w:pPr>
      <w:ind w:firstLine="200" w:firstLineChars="200"/>
      <w:jc w:val="center"/>
    </w:pPr>
    <w:rPr>
      <w:szCs w:val="20"/>
    </w:rPr>
  </w:style>
  <w:style w:type="character" w:customStyle="1" w:styleId="129">
    <w:name w:val="表格文字 Char"/>
    <w:link w:val="130"/>
    <w:qFormat/>
    <w:uiPriority w:val="0"/>
    <w:rPr>
      <w:rFonts w:eastAsia="方正楷体简体"/>
      <w:kern w:val="2"/>
      <w:sz w:val="24"/>
      <w:szCs w:val="24"/>
    </w:rPr>
  </w:style>
  <w:style w:type="paragraph" w:customStyle="1" w:styleId="130">
    <w:name w:val="表格文字"/>
    <w:basedOn w:val="1"/>
    <w:link w:val="129"/>
    <w:qFormat/>
    <w:uiPriority w:val="0"/>
    <w:pPr>
      <w:spacing w:line="560" w:lineRule="exact"/>
      <w:jc w:val="center"/>
    </w:pPr>
    <w:rPr>
      <w:rFonts w:eastAsia="方正楷体简体"/>
      <w:sz w:val="24"/>
    </w:rPr>
  </w:style>
  <w:style w:type="character" w:customStyle="1" w:styleId="131">
    <w:name w:val="7表格(治) Char"/>
    <w:link w:val="132"/>
    <w:qFormat/>
    <w:uiPriority w:val="0"/>
    <w:rPr>
      <w:rFonts w:eastAsia="楷体_GB2312"/>
      <w:sz w:val="21"/>
      <w:lang w:val="en-US" w:eastAsia="zh-CN" w:bidi="ar-SA"/>
    </w:rPr>
  </w:style>
  <w:style w:type="paragraph" w:customStyle="1" w:styleId="132">
    <w:name w:val="7表格(治)"/>
    <w:link w:val="131"/>
    <w:qFormat/>
    <w:uiPriority w:val="0"/>
    <w:pPr>
      <w:jc w:val="center"/>
    </w:pPr>
    <w:rPr>
      <w:rFonts w:ascii="Times New Roman" w:hAnsi="Times New Roman" w:eastAsia="楷体_GB2312" w:cs="Times New Roman"/>
      <w:sz w:val="21"/>
      <w:lang w:val="en-US" w:eastAsia="zh-CN" w:bidi="ar-SA"/>
    </w:rPr>
  </w:style>
  <w:style w:type="character" w:customStyle="1" w:styleId="133">
    <w:name w:val="表格 Char2"/>
    <w:qFormat/>
    <w:uiPriority w:val="0"/>
    <w:rPr>
      <w:rFonts w:eastAsia="楷体_GB2312"/>
      <w:sz w:val="21"/>
      <w:szCs w:val="20"/>
    </w:rPr>
  </w:style>
  <w:style w:type="character" w:customStyle="1" w:styleId="134">
    <w:name w:val="font01"/>
    <w:qFormat/>
    <w:uiPriority w:val="99"/>
    <w:rPr>
      <w:rFonts w:ascii="Times New Roman" w:hAnsi="Times New Roman"/>
      <w:color w:val="000000"/>
      <w:sz w:val="21"/>
      <w:u w:val="none"/>
      <w:vertAlign w:val="subscript"/>
    </w:rPr>
  </w:style>
  <w:style w:type="character" w:customStyle="1" w:styleId="135">
    <w:name w:val="表头111 Char"/>
    <w:link w:val="136"/>
    <w:qFormat/>
    <w:uiPriority w:val="0"/>
    <w:rPr>
      <w:rFonts w:eastAsia="黑体"/>
      <w:color w:val="0000FF"/>
      <w:sz w:val="24"/>
      <w:szCs w:val="24"/>
    </w:rPr>
  </w:style>
  <w:style w:type="paragraph" w:customStyle="1" w:styleId="136">
    <w:name w:val="表头111"/>
    <w:basedOn w:val="1"/>
    <w:link w:val="135"/>
    <w:qFormat/>
    <w:uiPriority w:val="0"/>
    <w:pPr>
      <w:spacing w:line="360" w:lineRule="auto"/>
      <w:ind w:firstLine="200" w:firstLineChars="200"/>
      <w:jc w:val="center"/>
    </w:pPr>
    <w:rPr>
      <w:rFonts w:eastAsia="黑体"/>
      <w:color w:val="0000FF"/>
      <w:kern w:val="0"/>
      <w:sz w:val="24"/>
    </w:rPr>
  </w:style>
  <w:style w:type="character" w:customStyle="1" w:styleId="137">
    <w:name w:val="文档结构图 字符"/>
    <w:link w:val="12"/>
    <w:qFormat/>
    <w:uiPriority w:val="99"/>
    <w:rPr>
      <w:rFonts w:ascii="宋体"/>
      <w:kern w:val="2"/>
      <w:sz w:val="18"/>
      <w:szCs w:val="18"/>
    </w:rPr>
  </w:style>
  <w:style w:type="character" w:customStyle="1" w:styleId="138">
    <w:name w:val="表题 Char"/>
    <w:link w:val="139"/>
    <w:qFormat/>
    <w:uiPriority w:val="0"/>
    <w:rPr>
      <w:b/>
      <w:kern w:val="2"/>
      <w:sz w:val="21"/>
      <w:szCs w:val="24"/>
    </w:rPr>
  </w:style>
  <w:style w:type="paragraph" w:customStyle="1" w:styleId="139">
    <w:name w:val="表题"/>
    <w:basedOn w:val="1"/>
    <w:link w:val="138"/>
    <w:qFormat/>
    <w:uiPriority w:val="0"/>
    <w:pPr>
      <w:adjustRightInd w:val="0"/>
      <w:jc w:val="center"/>
      <w:textAlignment w:val="baseline"/>
    </w:pPr>
    <w:rPr>
      <w:b/>
    </w:rPr>
  </w:style>
  <w:style w:type="character" w:customStyle="1" w:styleId="140">
    <w:name w:val="11111111111111111 Char Char"/>
    <w:link w:val="141"/>
    <w:qFormat/>
    <w:uiPriority w:val="0"/>
    <w:rPr>
      <w:rFonts w:ascii="Calibri" w:hAnsi="Calibri"/>
      <w:sz w:val="24"/>
      <w:szCs w:val="24"/>
    </w:rPr>
  </w:style>
  <w:style w:type="paragraph" w:customStyle="1" w:styleId="141">
    <w:name w:val="11111111111111111"/>
    <w:basedOn w:val="1"/>
    <w:link w:val="140"/>
    <w:qFormat/>
    <w:uiPriority w:val="0"/>
    <w:pPr>
      <w:spacing w:line="360" w:lineRule="auto"/>
      <w:ind w:firstLine="480" w:firstLineChars="200"/>
    </w:pPr>
    <w:rPr>
      <w:rFonts w:ascii="Calibri" w:hAnsi="Calibri"/>
      <w:kern w:val="0"/>
      <w:sz w:val="24"/>
    </w:rPr>
  </w:style>
  <w:style w:type="character" w:customStyle="1" w:styleId="142">
    <w:name w:val="font51"/>
    <w:qFormat/>
    <w:uiPriority w:val="0"/>
    <w:rPr>
      <w:rFonts w:hint="default" w:ascii="Times New Roman" w:hAnsi="Times New Roman" w:eastAsia="宋体" w:cs="Times New Roman"/>
      <w:b/>
      <w:color w:val="FF0000"/>
      <w:sz w:val="21"/>
      <w:szCs w:val="21"/>
      <w:u w:val="none"/>
    </w:rPr>
  </w:style>
  <w:style w:type="character" w:customStyle="1" w:styleId="143">
    <w:name w:val="脚注文本 字符"/>
    <w:link w:val="28"/>
    <w:qFormat/>
    <w:uiPriority w:val="0"/>
    <w:rPr>
      <w:kern w:val="2"/>
      <w:sz w:val="18"/>
      <w:szCs w:val="18"/>
    </w:rPr>
  </w:style>
  <w:style w:type="character" w:customStyle="1" w:styleId="144">
    <w:name w:val="纯文本 字符"/>
    <w:link w:val="19"/>
    <w:qFormat/>
    <w:uiPriority w:val="0"/>
    <w:rPr>
      <w:rFonts w:ascii="宋体" w:hAnsi="Courier New"/>
      <w:kern w:val="2"/>
      <w:sz w:val="21"/>
    </w:rPr>
  </w:style>
  <w:style w:type="character" w:customStyle="1" w:styleId="145">
    <w:name w:val="apple-style-span"/>
    <w:qFormat/>
    <w:uiPriority w:val="0"/>
    <w:rPr>
      <w:rFonts w:ascii="Times New Roman" w:hAnsi="Times New Roman" w:eastAsia="宋体" w:cs="Times New Roman"/>
      <w:sz w:val="21"/>
      <w:szCs w:val="24"/>
    </w:rPr>
  </w:style>
  <w:style w:type="character" w:customStyle="1" w:styleId="146">
    <w:name w:val="正文11111111111 Char"/>
    <w:qFormat/>
    <w:uiPriority w:val="0"/>
    <w:rPr>
      <w:rFonts w:ascii="宋体" w:hAnsi="宋体"/>
      <w:kern w:val="2"/>
      <w:sz w:val="24"/>
      <w:szCs w:val="24"/>
    </w:rPr>
  </w:style>
  <w:style w:type="character" w:customStyle="1" w:styleId="147">
    <w:name w:val="font11"/>
    <w:qFormat/>
    <w:uiPriority w:val="0"/>
    <w:rPr>
      <w:rFonts w:hint="default" w:ascii="Times New Roman" w:hAnsi="Times New Roman" w:eastAsia="宋体" w:cs="Times New Roman"/>
      <w:color w:val="FF0000"/>
      <w:sz w:val="21"/>
      <w:szCs w:val="21"/>
      <w:u w:val="none"/>
    </w:rPr>
  </w:style>
  <w:style w:type="character" w:customStyle="1" w:styleId="148">
    <w:name w:val="表111111111111111111 Char"/>
    <w:link w:val="149"/>
    <w:qFormat/>
    <w:uiPriority w:val="0"/>
    <w:rPr>
      <w:rFonts w:ascii="宋体" w:hAnsi="宋体"/>
      <w:kern w:val="2"/>
      <w:sz w:val="21"/>
      <w:szCs w:val="21"/>
    </w:rPr>
  </w:style>
  <w:style w:type="paragraph" w:customStyle="1" w:styleId="149">
    <w:name w:val="表111111111111111111"/>
    <w:basedOn w:val="1"/>
    <w:link w:val="148"/>
    <w:qFormat/>
    <w:uiPriority w:val="0"/>
    <w:pPr>
      <w:jc w:val="center"/>
    </w:pPr>
    <w:rPr>
      <w:rFonts w:ascii="宋体" w:hAnsi="宋体"/>
      <w:szCs w:val="21"/>
    </w:rPr>
  </w:style>
  <w:style w:type="character" w:customStyle="1" w:styleId="150">
    <w:name w:val="纯文本 Char1"/>
    <w:qFormat/>
    <w:uiPriority w:val="0"/>
    <w:rPr>
      <w:rFonts w:ascii="宋体" w:hAnsi="Courier New" w:cs="Courier New"/>
      <w:kern w:val="2"/>
      <w:sz w:val="21"/>
      <w:szCs w:val="21"/>
    </w:rPr>
  </w:style>
  <w:style w:type="character" w:customStyle="1" w:styleId="151">
    <w:name w:val="注释标题 字符"/>
    <w:link w:val="11"/>
    <w:qFormat/>
    <w:uiPriority w:val="0"/>
    <w:rPr>
      <w:kern w:val="2"/>
      <w:sz w:val="24"/>
    </w:rPr>
  </w:style>
  <w:style w:type="character" w:customStyle="1" w:styleId="152">
    <w:name w:val="文档结构图 Char1"/>
    <w:qFormat/>
    <w:uiPriority w:val="0"/>
    <w:rPr>
      <w:rFonts w:ascii="Microsoft YaHei UI" w:eastAsia="Microsoft YaHei UI"/>
      <w:kern w:val="2"/>
      <w:sz w:val="18"/>
      <w:szCs w:val="18"/>
    </w:rPr>
  </w:style>
  <w:style w:type="character" w:customStyle="1" w:styleId="153">
    <w:name w:val="正文文本 3 字符"/>
    <w:link w:val="14"/>
    <w:qFormat/>
    <w:uiPriority w:val="0"/>
    <w:rPr>
      <w:rFonts w:ascii="宋体" w:hAnsi="宋体"/>
      <w:kern w:val="2"/>
      <w:sz w:val="24"/>
    </w:rPr>
  </w:style>
  <w:style w:type="character" w:customStyle="1" w:styleId="154">
    <w:name w:val="正文文本缩进 2 字符"/>
    <w:link w:val="21"/>
    <w:qFormat/>
    <w:uiPriority w:val="0"/>
    <w:rPr>
      <w:kern w:val="2"/>
      <w:sz w:val="24"/>
    </w:rPr>
  </w:style>
  <w:style w:type="character" w:customStyle="1" w:styleId="155">
    <w:name w:val="正文文本首行缩进 字符"/>
    <w:link w:val="35"/>
    <w:qFormat/>
    <w:uiPriority w:val="0"/>
    <w:rPr>
      <w:snapToGrid/>
      <w:color w:val="000000"/>
      <w:kern w:val="2"/>
      <w:sz w:val="24"/>
    </w:rPr>
  </w:style>
  <w:style w:type="character" w:customStyle="1" w:styleId="156">
    <w:name w:val="脚注文本 Char1"/>
    <w:qFormat/>
    <w:uiPriority w:val="0"/>
    <w:rPr>
      <w:kern w:val="2"/>
      <w:sz w:val="18"/>
      <w:szCs w:val="18"/>
    </w:rPr>
  </w:style>
  <w:style w:type="character" w:customStyle="1" w:styleId="157">
    <w:name w:val="正文文本首行缩进 2 字符"/>
    <w:link w:val="36"/>
    <w:qFormat/>
    <w:uiPriority w:val="99"/>
    <w:rPr>
      <w:rFonts w:ascii="Times New Roman" w:hAnsi="Times New Roman" w:eastAsia="宋体"/>
      <w:kern w:val="2"/>
      <w:sz w:val="24"/>
    </w:rPr>
  </w:style>
  <w:style w:type="character" w:customStyle="1" w:styleId="158">
    <w:name w:val="正文文本缩进 3 字符"/>
    <w:link w:val="29"/>
    <w:qFormat/>
    <w:uiPriority w:val="0"/>
    <w:rPr>
      <w:kern w:val="2"/>
      <w:sz w:val="16"/>
      <w:szCs w:val="16"/>
    </w:rPr>
  </w:style>
  <w:style w:type="character" w:customStyle="1" w:styleId="159">
    <w:name w:val="HTML 预设格式 字符"/>
    <w:link w:val="32"/>
    <w:qFormat/>
    <w:uiPriority w:val="0"/>
    <w:rPr>
      <w:rFonts w:ascii="Arial" w:hAnsi="Arial" w:cs="Arial"/>
      <w:sz w:val="24"/>
    </w:rPr>
  </w:style>
  <w:style w:type="paragraph" w:customStyle="1" w:styleId="160">
    <w:name w:val="Char3 Char Char Char Char Char Char Char Char Char"/>
    <w:basedOn w:val="1"/>
    <w:qFormat/>
    <w:uiPriority w:val="0"/>
    <w:pPr>
      <w:spacing w:line="360" w:lineRule="auto"/>
      <w:ind w:firstLine="200" w:firstLineChars="200"/>
    </w:pPr>
    <w:rPr>
      <w:sz w:val="24"/>
      <w:szCs w:val="20"/>
    </w:rPr>
  </w:style>
  <w:style w:type="paragraph" w:customStyle="1" w:styleId="161">
    <w:name w:val="正文小四"/>
    <w:basedOn w:val="1"/>
    <w:qFormat/>
    <w:uiPriority w:val="0"/>
    <w:pPr>
      <w:spacing w:line="360" w:lineRule="auto"/>
      <w:ind w:firstLine="200" w:firstLineChars="200"/>
    </w:pPr>
    <w:rPr>
      <w:color w:val="000000"/>
      <w:sz w:val="24"/>
      <w:szCs w:val="22"/>
    </w:rPr>
  </w:style>
  <w:style w:type="paragraph" w:customStyle="1" w:styleId="162">
    <w:name w:val="表格内容（）"/>
    <w:basedOn w:val="1"/>
    <w:link w:val="303"/>
    <w:qFormat/>
    <w:uiPriority w:val="0"/>
    <w:pPr>
      <w:adjustRightInd w:val="0"/>
      <w:snapToGrid w:val="0"/>
      <w:spacing w:line="360" w:lineRule="auto"/>
      <w:ind w:firstLine="200" w:firstLineChars="200"/>
      <w:jc w:val="center"/>
    </w:pPr>
    <w:rPr>
      <w:color w:val="00B0F0"/>
      <w:szCs w:val="21"/>
    </w:rPr>
  </w:style>
  <w:style w:type="paragraph" w:customStyle="1" w:styleId="163">
    <w:name w:val="正文01"/>
    <w:basedOn w:val="1"/>
    <w:qFormat/>
    <w:uiPriority w:val="0"/>
    <w:pPr>
      <w:spacing w:before="60" w:line="460" w:lineRule="exact"/>
      <w:ind w:firstLine="200" w:firstLineChars="200"/>
    </w:pPr>
    <w:rPr>
      <w:rFonts w:ascii="Arial" w:hAnsi="Arial"/>
      <w:bCs/>
      <w:sz w:val="24"/>
      <w:szCs w:val="28"/>
    </w:rPr>
  </w:style>
  <w:style w:type="paragraph" w:customStyle="1" w:styleId="164">
    <w:name w:val="规范正文"/>
    <w:basedOn w:val="15"/>
    <w:link w:val="330"/>
    <w:qFormat/>
    <w:uiPriority w:val="0"/>
    <w:pPr>
      <w:widowControl w:val="0"/>
      <w:topLinePunct/>
      <w:snapToGrid/>
      <w:spacing w:before="0" w:after="0" w:line="360" w:lineRule="auto"/>
      <w:ind w:right="0" w:firstLine="200" w:firstLineChars="200"/>
      <w:textAlignment w:val="baseline"/>
    </w:pPr>
    <w:rPr>
      <w:color w:val="000000"/>
      <w:kern w:val="2"/>
      <w:sz w:val="24"/>
      <w:szCs w:val="24"/>
    </w:rPr>
  </w:style>
  <w:style w:type="paragraph" w:customStyle="1" w:styleId="165">
    <w:name w:val="附图"/>
    <w:basedOn w:val="1"/>
    <w:qFormat/>
    <w:uiPriority w:val="0"/>
    <w:pPr>
      <w:spacing w:line="360" w:lineRule="auto"/>
      <w:jc w:val="center"/>
      <w:outlineLvl w:val="0"/>
    </w:pPr>
    <w:rPr>
      <w:b/>
      <w:sz w:val="24"/>
      <w:szCs w:val="20"/>
    </w:rPr>
  </w:style>
  <w:style w:type="paragraph" w:customStyle="1" w:styleId="166">
    <w:name w:val="1标题2级"/>
    <w:basedOn w:val="1"/>
    <w:qFormat/>
    <w:uiPriority w:val="0"/>
    <w:pPr>
      <w:keepNext/>
      <w:snapToGrid w:val="0"/>
      <w:spacing w:line="420" w:lineRule="auto"/>
      <w:ind w:firstLine="200" w:firstLineChars="200"/>
      <w:outlineLvl w:val="1"/>
    </w:pPr>
    <w:rPr>
      <w:rFonts w:eastAsia="黑体"/>
      <w:b/>
      <w:sz w:val="24"/>
      <w:szCs w:val="20"/>
    </w:rPr>
  </w:style>
  <w:style w:type="paragraph" w:customStyle="1" w:styleId="167">
    <w:name w:val="表格标题CCW"/>
    <w:basedOn w:val="1"/>
    <w:qFormat/>
    <w:uiPriority w:val="0"/>
    <w:pPr>
      <w:spacing w:line="360" w:lineRule="auto"/>
      <w:ind w:firstLine="200" w:firstLineChars="200"/>
      <w:jc w:val="center"/>
    </w:pPr>
    <w:rPr>
      <w:b/>
      <w:kern w:val="0"/>
      <w:sz w:val="20"/>
      <w:szCs w:val="20"/>
    </w:rPr>
  </w:style>
  <w:style w:type="paragraph" w:customStyle="1" w:styleId="168">
    <w:name w:val="规范表格文"/>
    <w:basedOn w:val="15"/>
    <w:qFormat/>
    <w:uiPriority w:val="0"/>
    <w:pPr>
      <w:widowControl w:val="0"/>
      <w:adjustRightInd w:val="0"/>
      <w:spacing w:before="0" w:after="0" w:line="240" w:lineRule="auto"/>
      <w:ind w:right="0"/>
      <w:jc w:val="center"/>
    </w:pPr>
    <w:rPr>
      <w:kern w:val="2"/>
      <w:sz w:val="21"/>
      <w:szCs w:val="24"/>
    </w:rPr>
  </w:style>
  <w:style w:type="paragraph" w:customStyle="1" w:styleId="169">
    <w:name w:val="a表格"/>
    <w:basedOn w:val="1"/>
    <w:qFormat/>
    <w:uiPriority w:val="0"/>
    <w:pPr>
      <w:snapToGrid w:val="0"/>
      <w:spacing w:afterLines="50"/>
      <w:jc w:val="center"/>
    </w:pPr>
  </w:style>
  <w:style w:type="paragraph" w:customStyle="1" w:styleId="170">
    <w:name w:val="表中正文"/>
    <w:basedOn w:val="1"/>
    <w:qFormat/>
    <w:uiPriority w:val="0"/>
    <w:pPr>
      <w:tabs>
        <w:tab w:val="left" w:pos="7320"/>
        <w:tab w:val="left" w:pos="8160"/>
      </w:tabs>
      <w:adjustRightInd w:val="0"/>
      <w:spacing w:line="240" w:lineRule="atLeast"/>
      <w:ind w:firstLine="200" w:firstLineChars="200"/>
      <w:jc w:val="center"/>
      <w:textAlignment w:val="baseline"/>
    </w:pPr>
    <w:rPr>
      <w:rFonts w:ascii="宋体"/>
      <w:spacing w:val="6"/>
      <w:szCs w:val="20"/>
    </w:rPr>
  </w:style>
  <w:style w:type="paragraph" w:customStyle="1" w:styleId="171">
    <w:name w:val="_Style 8"/>
    <w:basedOn w:val="1"/>
    <w:qFormat/>
    <w:uiPriority w:val="0"/>
    <w:pPr>
      <w:spacing w:line="360" w:lineRule="auto"/>
      <w:ind w:firstLine="200" w:firstLineChars="200"/>
    </w:pPr>
  </w:style>
  <w:style w:type="paragraph" w:customStyle="1" w:styleId="172">
    <w:name w:val="正文001"/>
    <w:basedOn w:val="1"/>
    <w:qFormat/>
    <w:uiPriority w:val="0"/>
    <w:pPr>
      <w:spacing w:before="60" w:line="460" w:lineRule="exact"/>
      <w:ind w:firstLine="482" w:firstLineChars="200"/>
    </w:pPr>
    <w:rPr>
      <w:rFonts w:ascii="Arial" w:hAnsi="Arial"/>
      <w:sz w:val="24"/>
      <w:szCs w:val="20"/>
    </w:rPr>
  </w:style>
  <w:style w:type="paragraph" w:customStyle="1" w:styleId="173">
    <w:name w:val="Char"/>
    <w:basedOn w:val="1"/>
    <w:qFormat/>
    <w:uiPriority w:val="0"/>
    <w:pPr>
      <w:ind w:firstLine="200" w:firstLineChars="200"/>
    </w:pPr>
    <w:rPr>
      <w:sz w:val="24"/>
    </w:rPr>
  </w:style>
  <w:style w:type="paragraph" w:customStyle="1" w:styleId="174">
    <w:name w:val="1表头"/>
    <w:basedOn w:val="1"/>
    <w:qFormat/>
    <w:uiPriority w:val="0"/>
    <w:pPr>
      <w:adjustRightInd w:val="0"/>
      <w:snapToGrid w:val="0"/>
      <w:spacing w:line="360" w:lineRule="auto"/>
      <w:jc w:val="center"/>
    </w:pPr>
    <w:rPr>
      <w:rFonts w:ascii="Calibri" w:hAnsi="Calibri"/>
      <w:b/>
      <w:color w:val="FF0000"/>
      <w:sz w:val="24"/>
    </w:rPr>
  </w:style>
  <w:style w:type="paragraph" w:customStyle="1" w:styleId="175">
    <w:name w:val="正文1"/>
    <w:basedOn w:val="16"/>
    <w:qFormat/>
    <w:uiPriority w:val="0"/>
    <w:pPr>
      <w:spacing w:line="360" w:lineRule="auto"/>
      <w:ind w:firstLine="200" w:firstLineChars="200"/>
    </w:pPr>
    <w:rPr>
      <w:rFonts w:cs="宋体"/>
      <w:kern w:val="2"/>
    </w:rPr>
  </w:style>
  <w:style w:type="paragraph" w:customStyle="1" w:styleId="176">
    <w:name w:val="表头表头表头表头表头表头表头表头表头"/>
    <w:basedOn w:val="1"/>
    <w:next w:val="1"/>
    <w:qFormat/>
    <w:uiPriority w:val="0"/>
    <w:pPr>
      <w:adjustRightInd w:val="0"/>
      <w:snapToGrid w:val="0"/>
      <w:spacing w:line="360" w:lineRule="auto"/>
      <w:ind w:firstLine="200" w:firstLineChars="200"/>
      <w:jc w:val="center"/>
    </w:pPr>
    <w:rPr>
      <w:rFonts w:ascii="Calibri" w:hAnsi="Calibri"/>
      <w:b/>
      <w:sz w:val="24"/>
      <w:szCs w:val="20"/>
    </w:rPr>
  </w:style>
  <w:style w:type="paragraph" w:customStyle="1" w:styleId="177">
    <w:name w:val="表哥模式"/>
    <w:basedOn w:val="1"/>
    <w:next w:val="1"/>
    <w:qFormat/>
    <w:uiPriority w:val="0"/>
    <w:pPr>
      <w:jc w:val="center"/>
    </w:pPr>
    <w:rPr>
      <w:szCs w:val="20"/>
    </w:rPr>
  </w:style>
  <w:style w:type="paragraph" w:customStyle="1" w:styleId="178">
    <w:name w:val="样式1"/>
    <w:basedOn w:val="179"/>
    <w:qFormat/>
    <w:uiPriority w:val="0"/>
    <w:pPr>
      <w:tabs>
        <w:tab w:val="left" w:pos="1620"/>
      </w:tabs>
      <w:adjustRightInd w:val="0"/>
      <w:spacing w:line="480" w:lineRule="atLeast"/>
      <w:ind w:firstLine="539"/>
    </w:pPr>
    <w:rPr>
      <w:kern w:val="0"/>
    </w:rPr>
  </w:style>
  <w:style w:type="paragraph" w:customStyle="1" w:styleId="179">
    <w:name w:val="样式4"/>
    <w:basedOn w:val="15"/>
    <w:qFormat/>
    <w:uiPriority w:val="0"/>
    <w:pPr>
      <w:widowControl w:val="0"/>
      <w:tabs>
        <w:tab w:val="left" w:pos="1620"/>
      </w:tabs>
      <w:snapToGrid/>
      <w:spacing w:before="0" w:after="120" w:line="360" w:lineRule="auto"/>
      <w:ind w:right="0" w:firstLine="480" w:firstLineChars="200"/>
    </w:pPr>
    <w:rPr>
      <w:color w:val="FF0000"/>
      <w:kern w:val="2"/>
      <w:sz w:val="24"/>
    </w:rPr>
  </w:style>
  <w:style w:type="paragraph" w:customStyle="1" w:styleId="180">
    <w:name w:val="11111表土"/>
    <w:basedOn w:val="1"/>
    <w:link w:val="181"/>
    <w:qFormat/>
    <w:uiPriority w:val="0"/>
    <w:pPr>
      <w:adjustRightInd w:val="0"/>
      <w:snapToGrid w:val="0"/>
      <w:spacing w:line="360" w:lineRule="auto"/>
      <w:ind w:firstLine="200" w:firstLineChars="200"/>
      <w:jc w:val="center"/>
    </w:pPr>
    <w:rPr>
      <w:rFonts w:eastAsia="黑体"/>
      <w:kern w:val="0"/>
      <w:sz w:val="24"/>
    </w:rPr>
  </w:style>
  <w:style w:type="character" w:customStyle="1" w:styleId="181">
    <w:name w:val="11111表土 Char"/>
    <w:link w:val="180"/>
    <w:qFormat/>
    <w:uiPriority w:val="0"/>
    <w:rPr>
      <w:rFonts w:eastAsia="黑体"/>
      <w:sz w:val="24"/>
      <w:szCs w:val="24"/>
    </w:rPr>
  </w:style>
  <w:style w:type="paragraph" w:customStyle="1" w:styleId="182">
    <w:name w:val="标题222"/>
    <w:basedOn w:val="1"/>
    <w:qFormat/>
    <w:uiPriority w:val="0"/>
    <w:pPr>
      <w:adjustRightInd w:val="0"/>
      <w:snapToGrid w:val="0"/>
      <w:spacing w:beforeLines="50" w:line="360" w:lineRule="auto"/>
      <w:ind w:firstLine="200" w:firstLineChars="200"/>
      <w:outlineLvl w:val="1"/>
    </w:pPr>
    <w:rPr>
      <w:rFonts w:eastAsia="黑体"/>
      <w:bCs/>
      <w:sz w:val="24"/>
      <w:szCs w:val="28"/>
    </w:rPr>
  </w:style>
  <w:style w:type="paragraph" w:customStyle="1" w:styleId="183">
    <w:name w:val="样式 样式 样式 样式 首行缩进:  2 字符 + 居中 + (中文) 黑体 五号 首行缩进:  2 字符 + 首行缩进:  2..."/>
    <w:basedOn w:val="1"/>
    <w:qFormat/>
    <w:uiPriority w:val="0"/>
    <w:pPr>
      <w:adjustRightInd w:val="0"/>
      <w:snapToGrid w:val="0"/>
      <w:spacing w:beforeLines="50" w:line="360" w:lineRule="auto"/>
      <w:ind w:firstLine="200" w:firstLineChars="200"/>
      <w:jc w:val="center"/>
    </w:pPr>
    <w:rPr>
      <w:rFonts w:eastAsia="黑体" w:cs="宋体"/>
      <w:sz w:val="24"/>
      <w:szCs w:val="20"/>
    </w:rPr>
  </w:style>
  <w:style w:type="paragraph" w:customStyle="1" w:styleId="184">
    <w:name w:val="样式 样式 表格名称3 + 段前: 0.2 行 段后: 0.3 行 + 段前: 0.3 行 段后: 0.3 行"/>
    <w:basedOn w:val="1"/>
    <w:qFormat/>
    <w:uiPriority w:val="0"/>
    <w:pPr>
      <w:spacing w:beforeLines="30" w:afterLines="20" w:line="520" w:lineRule="exact"/>
      <w:ind w:firstLine="200"/>
      <w:jc w:val="center"/>
    </w:pPr>
    <w:rPr>
      <w:rFonts w:cs="宋体"/>
      <w:b/>
      <w:bCs/>
      <w:sz w:val="24"/>
      <w:szCs w:val="20"/>
    </w:rPr>
  </w:style>
  <w:style w:type="paragraph" w:customStyle="1" w:styleId="185">
    <w:name w:val="表的标题"/>
    <w:basedOn w:val="1"/>
    <w:next w:val="170"/>
    <w:qFormat/>
    <w:uiPriority w:val="0"/>
    <w:pPr>
      <w:adjustRightInd w:val="0"/>
      <w:snapToGrid w:val="0"/>
      <w:spacing w:beforeLines="50"/>
      <w:jc w:val="center"/>
    </w:pPr>
    <w:rPr>
      <w:rFonts w:eastAsia="黑体" w:cs="宋体"/>
      <w:sz w:val="24"/>
      <w:szCs w:val="20"/>
    </w:rPr>
  </w:style>
  <w:style w:type="paragraph" w:customStyle="1" w:styleId="186">
    <w:name w:val="正文（）"/>
    <w:basedOn w:val="1"/>
    <w:link w:val="304"/>
    <w:qFormat/>
    <w:uiPriority w:val="0"/>
    <w:pPr>
      <w:adjustRightInd w:val="0"/>
      <w:snapToGrid w:val="0"/>
      <w:spacing w:line="360" w:lineRule="auto"/>
      <w:ind w:firstLine="200" w:firstLineChars="200"/>
    </w:pPr>
    <w:rPr>
      <w:color w:val="5B9BD5"/>
      <w:sz w:val="24"/>
      <w:szCs w:val="20"/>
    </w:rPr>
  </w:style>
  <w:style w:type="paragraph" w:customStyle="1" w:styleId="187">
    <w:name w:val="表文"/>
    <w:basedOn w:val="1"/>
    <w:qFormat/>
    <w:uiPriority w:val="0"/>
    <w:pPr>
      <w:spacing w:before="60" w:after="60" w:line="280" w:lineRule="atLeast"/>
      <w:ind w:firstLine="200" w:firstLineChars="200"/>
      <w:jc w:val="center"/>
    </w:pPr>
    <w:rPr>
      <w:szCs w:val="20"/>
    </w:rPr>
  </w:style>
  <w:style w:type="paragraph" w:customStyle="1" w:styleId="188">
    <w:name w:val="表格标题（）"/>
    <w:basedOn w:val="1"/>
    <w:link w:val="306"/>
    <w:qFormat/>
    <w:uiPriority w:val="0"/>
    <w:pPr>
      <w:spacing w:line="360" w:lineRule="auto"/>
      <w:ind w:firstLine="200" w:firstLineChars="200"/>
      <w:jc w:val="center"/>
    </w:pPr>
    <w:rPr>
      <w:rFonts w:eastAsia="黑体"/>
      <w:color w:val="00B0F0"/>
      <w:sz w:val="24"/>
      <w:szCs w:val="20"/>
      <w:lang w:val="zh-CN" w:bidi="he-IL"/>
    </w:rPr>
  </w:style>
  <w:style w:type="paragraph" w:customStyle="1" w:styleId="189">
    <w:name w:val="0正文"/>
    <w:link w:val="190"/>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190">
    <w:name w:val="0正文 Char"/>
    <w:link w:val="189"/>
    <w:qFormat/>
    <w:uiPriority w:val="0"/>
    <w:rPr>
      <w:sz w:val="24"/>
      <w:szCs w:val="22"/>
      <w:lang w:bidi="ar-SA"/>
    </w:rPr>
  </w:style>
  <w:style w:type="paragraph" w:customStyle="1" w:styleId="191">
    <w:name w:val="样式 加粗 居中 首行缩进:  2 字符 行距: 固定值 16 磅"/>
    <w:basedOn w:val="1"/>
    <w:qFormat/>
    <w:uiPriority w:val="0"/>
    <w:pPr>
      <w:spacing w:line="360" w:lineRule="auto"/>
      <w:jc w:val="center"/>
    </w:pPr>
    <w:rPr>
      <w:rFonts w:cs="宋体"/>
      <w:b/>
      <w:bCs/>
      <w:sz w:val="24"/>
      <w:szCs w:val="20"/>
    </w:rPr>
  </w:style>
  <w:style w:type="paragraph" w:customStyle="1" w:styleId="192">
    <w:name w:val="隔行标签"/>
    <w:basedOn w:val="1"/>
    <w:qFormat/>
    <w:uiPriority w:val="0"/>
    <w:pPr>
      <w:spacing w:line="160" w:lineRule="exact"/>
      <w:ind w:firstLine="300" w:firstLineChars="200"/>
    </w:pPr>
    <w:rPr>
      <w:sz w:val="15"/>
      <w:szCs w:val="18"/>
    </w:rPr>
  </w:style>
  <w:style w:type="paragraph" w:customStyle="1" w:styleId="193">
    <w:name w:val="样式3"/>
    <w:basedOn w:val="55"/>
    <w:qFormat/>
    <w:uiPriority w:val="0"/>
    <w:pPr>
      <w:ind w:firstLine="200" w:firstLineChars="200"/>
    </w:pPr>
  </w:style>
  <w:style w:type="paragraph" w:customStyle="1" w:styleId="194">
    <w:name w:val="表格五号"/>
    <w:basedOn w:val="1"/>
    <w:qFormat/>
    <w:uiPriority w:val="0"/>
    <w:pPr>
      <w:tabs>
        <w:tab w:val="right" w:pos="8814"/>
      </w:tabs>
      <w:suppressAutoHyphens/>
      <w:snapToGrid w:val="0"/>
      <w:jc w:val="center"/>
    </w:pPr>
    <w:rPr>
      <w:color w:val="000000"/>
      <w:kern w:val="21"/>
      <w:szCs w:val="21"/>
    </w:rPr>
  </w:style>
  <w:style w:type="paragraph" w:customStyle="1" w:styleId="195">
    <w:name w:val="表格的格式"/>
    <w:basedOn w:val="193"/>
    <w:link w:val="196"/>
    <w:qFormat/>
    <w:uiPriority w:val="0"/>
    <w:pPr>
      <w:jc w:val="center"/>
    </w:pPr>
    <w:rPr>
      <w:sz w:val="21"/>
      <w:szCs w:val="21"/>
    </w:rPr>
  </w:style>
  <w:style w:type="character" w:customStyle="1" w:styleId="196">
    <w:name w:val="表格的格式 Char"/>
    <w:link w:val="195"/>
    <w:qFormat/>
    <w:locked/>
    <w:uiPriority w:val="0"/>
    <w:rPr>
      <w:rFonts w:eastAsia="楷体_GB2312"/>
      <w:sz w:val="21"/>
      <w:szCs w:val="21"/>
    </w:rPr>
  </w:style>
  <w:style w:type="paragraph" w:customStyle="1" w:styleId="197">
    <w:name w:val="样式 样式 标题 4 + 首行缩进:  2 字符1 + 首行缩进:  2 字符 段前: 0.2 行 段后: 0.2 行"/>
    <w:basedOn w:val="1"/>
    <w:qFormat/>
    <w:uiPriority w:val="0"/>
    <w:pPr>
      <w:keepNext/>
      <w:keepLines/>
      <w:spacing w:beforeLines="20" w:afterLines="20" w:line="520" w:lineRule="exact"/>
      <w:ind w:firstLine="562" w:firstLineChars="200"/>
      <w:outlineLvl w:val="3"/>
    </w:pPr>
    <w:rPr>
      <w:rFonts w:cs="宋体"/>
      <w:b/>
      <w:bCs/>
      <w:sz w:val="24"/>
      <w:szCs w:val="20"/>
    </w:rPr>
  </w:style>
  <w:style w:type="paragraph" w:customStyle="1" w:styleId="198">
    <w:name w:val="表格名称8"/>
    <w:basedOn w:val="1"/>
    <w:qFormat/>
    <w:uiPriority w:val="0"/>
    <w:pPr>
      <w:spacing w:beforeLines="20" w:afterLines="20" w:line="360" w:lineRule="auto"/>
      <w:ind w:left="420" w:hanging="420" w:firstLineChars="200"/>
      <w:jc w:val="center"/>
    </w:pPr>
    <w:rPr>
      <w:b/>
      <w:sz w:val="24"/>
      <w:szCs w:val="20"/>
    </w:rPr>
  </w:style>
  <w:style w:type="paragraph" w:customStyle="1" w:styleId="199">
    <w:name w:val="表头 Char Char"/>
    <w:next w:val="1"/>
    <w:qFormat/>
    <w:uiPriority w:val="0"/>
    <w:pPr>
      <w:widowControl w:val="0"/>
      <w:adjustRightInd w:val="0"/>
      <w:snapToGrid w:val="0"/>
      <w:spacing w:line="360" w:lineRule="auto"/>
      <w:jc w:val="center"/>
    </w:pPr>
    <w:rPr>
      <w:rFonts w:ascii="Times New Roman" w:hAnsi="Times New Roman" w:eastAsia="宋体" w:cs="Times New Roman"/>
      <w:b/>
      <w:snapToGrid w:val="0"/>
      <w:sz w:val="24"/>
      <w:szCs w:val="24"/>
      <w:lang w:val="en-US" w:eastAsia="zh-CN" w:bidi="ar-SA"/>
    </w:rPr>
  </w:style>
  <w:style w:type="paragraph" w:customStyle="1" w:styleId="200">
    <w:name w:val="正文格式"/>
    <w:basedOn w:val="1"/>
    <w:link w:val="201"/>
    <w:qFormat/>
    <w:uiPriority w:val="0"/>
    <w:pPr>
      <w:adjustRightInd w:val="0"/>
      <w:snapToGrid w:val="0"/>
      <w:spacing w:line="360" w:lineRule="auto"/>
      <w:ind w:firstLine="881" w:firstLineChars="200"/>
    </w:pPr>
    <w:rPr>
      <w:sz w:val="24"/>
      <w:szCs w:val="20"/>
    </w:rPr>
  </w:style>
  <w:style w:type="character" w:customStyle="1" w:styleId="201">
    <w:name w:val="正文格式 Char"/>
    <w:link w:val="200"/>
    <w:qFormat/>
    <w:locked/>
    <w:uiPriority w:val="0"/>
    <w:rPr>
      <w:kern w:val="2"/>
      <w:sz w:val="24"/>
    </w:rPr>
  </w:style>
  <w:style w:type="paragraph" w:customStyle="1" w:styleId="202">
    <w:name w:val="标题33"/>
    <w:basedOn w:val="1"/>
    <w:link w:val="203"/>
    <w:qFormat/>
    <w:uiPriority w:val="0"/>
    <w:pPr>
      <w:tabs>
        <w:tab w:val="left" w:pos="3840"/>
      </w:tabs>
      <w:adjustRightInd w:val="0"/>
      <w:snapToGrid w:val="0"/>
      <w:spacing w:line="360" w:lineRule="auto"/>
      <w:ind w:firstLine="200" w:firstLineChars="200"/>
      <w:outlineLvl w:val="2"/>
    </w:pPr>
    <w:rPr>
      <w:rFonts w:eastAsia="黑体"/>
      <w:sz w:val="28"/>
      <w:szCs w:val="20"/>
    </w:rPr>
  </w:style>
  <w:style w:type="character" w:customStyle="1" w:styleId="203">
    <w:name w:val="标题33 Char"/>
    <w:link w:val="202"/>
    <w:qFormat/>
    <w:uiPriority w:val="0"/>
    <w:rPr>
      <w:rFonts w:eastAsia="黑体"/>
      <w:kern w:val="2"/>
      <w:sz w:val="28"/>
    </w:rPr>
  </w:style>
  <w:style w:type="paragraph" w:customStyle="1" w:styleId="204">
    <w:name w:val="7表格"/>
    <w:qFormat/>
    <w:uiPriority w:val="0"/>
    <w:pPr>
      <w:ind w:right="19" w:rightChars="8"/>
      <w:jc w:val="center"/>
    </w:pPr>
    <w:rPr>
      <w:rFonts w:ascii="Times New Roman" w:hAnsi="Times New Roman" w:eastAsia="楷体_GB2312" w:cs="Times New Roman"/>
      <w:color w:val="000000"/>
      <w:kern w:val="28"/>
      <w:sz w:val="21"/>
      <w:lang w:val="en-US" w:eastAsia="zh-CN" w:bidi="ar-SA"/>
    </w:rPr>
  </w:style>
  <w:style w:type="paragraph" w:customStyle="1" w:styleId="205">
    <w:name w:val="Char Char Char Char Char Char"/>
    <w:basedOn w:val="1"/>
    <w:qFormat/>
    <w:uiPriority w:val="0"/>
    <w:pPr>
      <w:ind w:firstLine="200" w:firstLineChars="200"/>
    </w:pPr>
    <w:rPr>
      <w:szCs w:val="20"/>
    </w:rPr>
  </w:style>
  <w:style w:type="paragraph" w:customStyle="1" w:styleId="206">
    <w:name w:val="南郊正文"/>
    <w:basedOn w:val="1"/>
    <w:next w:val="1"/>
    <w:qFormat/>
    <w:uiPriority w:val="0"/>
    <w:pPr>
      <w:spacing w:line="460" w:lineRule="exact"/>
      <w:ind w:firstLine="560" w:firstLineChars="200"/>
    </w:pPr>
    <w:rPr>
      <w:sz w:val="24"/>
      <w:szCs w:val="20"/>
    </w:rPr>
  </w:style>
  <w:style w:type="paragraph" w:customStyle="1" w:styleId="207">
    <w:name w:val="p0"/>
    <w:basedOn w:val="1"/>
    <w:qFormat/>
    <w:uiPriority w:val="0"/>
    <w:rPr>
      <w:kern w:val="0"/>
      <w:szCs w:val="21"/>
    </w:rPr>
  </w:style>
  <w:style w:type="paragraph" w:customStyle="1" w:styleId="208">
    <w:name w:val="标题表头"/>
    <w:basedOn w:val="1"/>
    <w:qFormat/>
    <w:uiPriority w:val="0"/>
    <w:pPr>
      <w:spacing w:line="360" w:lineRule="auto"/>
      <w:ind w:firstLine="200" w:firstLineChars="200"/>
      <w:jc w:val="center"/>
    </w:pPr>
    <w:rPr>
      <w:b/>
      <w:sz w:val="24"/>
      <w:szCs w:val="22"/>
    </w:rPr>
  </w:style>
  <w:style w:type="paragraph" w:customStyle="1" w:styleId="209">
    <w:name w:val="Date1"/>
    <w:basedOn w:val="1"/>
    <w:next w:val="1"/>
    <w:qFormat/>
    <w:uiPriority w:val="0"/>
    <w:pPr>
      <w:adjustRightInd w:val="0"/>
      <w:spacing w:line="360" w:lineRule="auto"/>
      <w:ind w:firstLine="200" w:firstLineChars="200"/>
      <w:textAlignment w:val="baseline"/>
    </w:pPr>
    <w:rPr>
      <w:rFonts w:ascii="宋体" w:hAnsi="宋体"/>
      <w:kern w:val="0"/>
      <w:sz w:val="24"/>
      <w:szCs w:val="20"/>
    </w:rPr>
  </w:style>
  <w:style w:type="paragraph" w:customStyle="1" w:styleId="210">
    <w:name w:val="zhang正文 Char Char"/>
    <w:basedOn w:val="16"/>
    <w:qFormat/>
    <w:uiPriority w:val="0"/>
    <w:pPr>
      <w:autoSpaceDE w:val="0"/>
      <w:autoSpaceDN w:val="0"/>
      <w:adjustRightInd w:val="0"/>
      <w:snapToGrid w:val="0"/>
      <w:spacing w:after="0" w:line="500" w:lineRule="exact"/>
      <w:ind w:left="0" w:leftChars="0" w:firstLine="539" w:firstLineChars="200"/>
      <w:textAlignment w:val="baseline"/>
    </w:pPr>
    <w:rPr>
      <w:rFonts w:eastAsia="楷体_GB2312"/>
    </w:rPr>
  </w:style>
  <w:style w:type="paragraph" w:customStyle="1" w:styleId="211">
    <w:name w:val="正文（小四）"/>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212">
    <w:name w:val="样式正文"/>
    <w:basedOn w:val="1"/>
    <w:qFormat/>
    <w:uiPriority w:val="0"/>
    <w:pPr>
      <w:spacing w:line="360" w:lineRule="auto"/>
      <w:ind w:firstLine="200" w:firstLineChars="200"/>
    </w:pPr>
    <w:rPr>
      <w:rFonts w:cs="宋体"/>
      <w:sz w:val="24"/>
      <w:szCs w:val="20"/>
    </w:rPr>
  </w:style>
  <w:style w:type="paragraph" w:customStyle="1" w:styleId="213">
    <w:name w:val="表格的字"/>
    <w:next w:val="1"/>
    <w:qFormat/>
    <w:uiPriority w:val="0"/>
    <w:pPr>
      <w:jc w:val="center"/>
    </w:pPr>
    <w:rPr>
      <w:rFonts w:ascii="Calibri" w:hAnsi="Calibri" w:eastAsia="宋体" w:cs="Times New Roman"/>
      <w:kern w:val="2"/>
      <w:sz w:val="21"/>
      <w:szCs w:val="21"/>
      <w:lang w:val="en-US" w:eastAsia="zh-CN" w:bidi="ar-SA"/>
    </w:rPr>
  </w:style>
  <w:style w:type="paragraph" w:customStyle="1" w:styleId="214">
    <w:name w:val="正文内容"/>
    <w:qFormat/>
    <w:uiPriority w:val="0"/>
    <w:pPr>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15">
    <w:name w:val="WPSOffice手动目录 1"/>
    <w:qFormat/>
    <w:uiPriority w:val="0"/>
    <w:rPr>
      <w:rFonts w:ascii="Times New Roman" w:hAnsi="Times New Roman" w:eastAsia="宋体" w:cs="Times New Roman"/>
      <w:lang w:val="en-US" w:eastAsia="zh-CN" w:bidi="ar-SA"/>
    </w:rPr>
  </w:style>
  <w:style w:type="paragraph" w:customStyle="1" w:styleId="216">
    <w:name w:val="xl26"/>
    <w:basedOn w:val="1"/>
    <w:qFormat/>
    <w:uiPriority w:val="0"/>
    <w:pPr>
      <w:pBdr>
        <w:bottom w:val="single" w:color="auto" w:sz="4" w:space="0"/>
        <w:right w:val="single" w:color="auto" w:sz="4" w:space="0"/>
      </w:pBdr>
      <w:spacing w:before="100" w:beforeAutospacing="1" w:after="100" w:afterAutospacing="1"/>
      <w:textAlignment w:val="top"/>
    </w:pPr>
    <w:rPr>
      <w:rFonts w:ascii="宋体" w:hAnsi="宋体"/>
      <w:kern w:val="0"/>
      <w:sz w:val="24"/>
    </w:rPr>
  </w:style>
  <w:style w:type="paragraph" w:customStyle="1" w:styleId="217">
    <w:name w:val="样式 首行缩进:  2 字符"/>
    <w:basedOn w:val="1"/>
    <w:qFormat/>
    <w:uiPriority w:val="0"/>
    <w:pPr>
      <w:spacing w:line="420" w:lineRule="auto"/>
      <w:ind w:firstLine="480" w:firstLineChars="200"/>
    </w:pPr>
    <w:rPr>
      <w:rFonts w:cs="宋体"/>
      <w:sz w:val="24"/>
      <w:szCs w:val="20"/>
    </w:rPr>
  </w:style>
  <w:style w:type="paragraph" w:customStyle="1" w:styleId="218">
    <w:name w:val="T表格"/>
    <w:qFormat/>
    <w:uiPriority w:val="0"/>
    <w:pPr>
      <w:jc w:val="center"/>
    </w:pPr>
    <w:rPr>
      <w:rFonts w:ascii="Times New Roman" w:hAnsi="Times New Roman" w:eastAsia="宋体" w:cs="Times New Roman"/>
      <w:sz w:val="21"/>
      <w:lang w:val="en-US" w:eastAsia="zh-CN" w:bidi="ar-SA"/>
    </w:rPr>
  </w:style>
  <w:style w:type="paragraph" w:customStyle="1" w:styleId="219">
    <w:name w:val="图表标题"/>
    <w:basedOn w:val="113"/>
    <w:link w:val="307"/>
    <w:qFormat/>
    <w:uiPriority w:val="0"/>
    <w:pPr>
      <w:tabs>
        <w:tab w:val="left" w:pos="1980"/>
        <w:tab w:val="left" w:pos="3825"/>
        <w:tab w:val="left" w:pos="4680"/>
      </w:tabs>
    </w:pPr>
    <w:rPr>
      <w:b/>
      <w:sz w:val="24"/>
    </w:rPr>
  </w:style>
  <w:style w:type="paragraph" w:customStyle="1" w:styleId="220">
    <w:name w:val="表格式"/>
    <w:basedOn w:val="27"/>
    <w:qFormat/>
    <w:uiPriority w:val="0"/>
    <w:pPr>
      <w:spacing w:beforeLines="50" w:afterLines="50" w:line="240" w:lineRule="exact"/>
      <w:ind w:firstLine="0" w:firstLineChars="0"/>
    </w:pPr>
    <w:rPr>
      <w:rFonts w:ascii="宋体" w:eastAsia="宋体"/>
      <w:sz w:val="21"/>
    </w:rPr>
  </w:style>
  <w:style w:type="paragraph" w:customStyle="1" w:styleId="221">
    <w:name w:val="6表(图)头"/>
    <w:next w:val="1"/>
    <w:qFormat/>
    <w:uiPriority w:val="0"/>
    <w:pPr>
      <w:widowControl w:val="0"/>
      <w:spacing w:line="360" w:lineRule="auto"/>
      <w:jc w:val="center"/>
    </w:pPr>
    <w:rPr>
      <w:rFonts w:ascii="Times New Roman" w:hAnsi="Times New Roman" w:eastAsia="黑体" w:cs="Times New Roman"/>
      <w:b/>
      <w:bCs/>
      <w:sz w:val="28"/>
      <w:lang w:val="en-US" w:eastAsia="zh-CN" w:bidi="ar-SA"/>
    </w:rPr>
  </w:style>
  <w:style w:type="paragraph" w:customStyle="1" w:styleId="222">
    <w:name w:val="正文aaaa"/>
    <w:basedOn w:val="15"/>
    <w:next w:val="15"/>
    <w:qFormat/>
    <w:uiPriority w:val="0"/>
    <w:pPr>
      <w:widowControl w:val="0"/>
      <w:adjustRightInd w:val="0"/>
      <w:spacing w:before="0" w:after="0" w:line="360" w:lineRule="auto"/>
      <w:ind w:right="0" w:firstLine="200" w:firstLineChars="200"/>
    </w:pPr>
    <w:rPr>
      <w:snapToGrid w:val="0"/>
      <w:kern w:val="2"/>
      <w:sz w:val="24"/>
    </w:rPr>
  </w:style>
  <w:style w:type="paragraph" w:customStyle="1" w:styleId="223">
    <w:name w:val="000正文abing(新)"/>
    <w:basedOn w:val="1"/>
    <w:qFormat/>
    <w:uiPriority w:val="0"/>
    <w:pPr>
      <w:spacing w:line="440" w:lineRule="exact"/>
      <w:ind w:firstLine="480" w:firstLineChars="200"/>
    </w:pPr>
    <w:rPr>
      <w:rFonts w:ascii="Calibri" w:hAnsi="Calibri"/>
      <w:sz w:val="24"/>
      <w:szCs w:val="20"/>
    </w:rPr>
  </w:style>
  <w:style w:type="paragraph" w:customStyle="1" w:styleId="224">
    <w:name w:val="【表格文字】"/>
    <w:basedOn w:val="1"/>
    <w:next w:val="1"/>
    <w:qFormat/>
    <w:uiPriority w:val="0"/>
    <w:pPr>
      <w:adjustRightInd w:val="0"/>
      <w:snapToGrid w:val="0"/>
      <w:spacing w:line="360" w:lineRule="auto"/>
      <w:ind w:firstLine="200" w:firstLineChars="200"/>
      <w:jc w:val="center"/>
    </w:pPr>
    <w:rPr>
      <w:szCs w:val="20"/>
    </w:rPr>
  </w:style>
  <w:style w:type="paragraph" w:customStyle="1" w:styleId="225">
    <w:name w:val="样式 样式 样式 标题 4 + 首行缩进:  2 字符 + 首行缩进:  2 字符 + 首行缩进:  2 字符 段前: 0.2..."/>
    <w:basedOn w:val="1"/>
    <w:qFormat/>
    <w:uiPriority w:val="0"/>
    <w:pPr>
      <w:keepNext/>
      <w:keepLines/>
      <w:spacing w:line="520" w:lineRule="exact"/>
      <w:ind w:firstLine="200" w:firstLineChars="200"/>
      <w:outlineLvl w:val="3"/>
    </w:pPr>
    <w:rPr>
      <w:rFonts w:cs="宋体"/>
      <w:b/>
      <w:bCs/>
      <w:sz w:val="24"/>
      <w:szCs w:val="20"/>
    </w:rPr>
  </w:style>
  <w:style w:type="paragraph" w:customStyle="1" w:styleId="226">
    <w:name w:val="样式22222"/>
    <w:basedOn w:val="2"/>
    <w:qFormat/>
    <w:uiPriority w:val="0"/>
    <w:pPr>
      <w:spacing w:before="0" w:after="0" w:line="360" w:lineRule="auto"/>
    </w:pPr>
    <w:rPr>
      <w:rFonts w:ascii="Times New Roman" w:hAnsi="Times New Roman"/>
      <w:sz w:val="30"/>
    </w:rPr>
  </w:style>
  <w:style w:type="paragraph" w:customStyle="1" w:styleId="227">
    <w:name w:val="码字正文"/>
    <w:basedOn w:val="1"/>
    <w:qFormat/>
    <w:uiPriority w:val="0"/>
    <w:pPr>
      <w:spacing w:line="360" w:lineRule="auto"/>
      <w:ind w:firstLine="480" w:firstLineChars="200"/>
    </w:pPr>
    <w:rPr>
      <w:kern w:val="0"/>
      <w:sz w:val="24"/>
      <w:szCs w:val="20"/>
    </w:rPr>
  </w:style>
  <w:style w:type="paragraph" w:customStyle="1" w:styleId="228">
    <w:name w:val="zx正文"/>
    <w:basedOn w:val="1"/>
    <w:qFormat/>
    <w:uiPriority w:val="0"/>
    <w:pPr>
      <w:spacing w:line="440" w:lineRule="exact"/>
    </w:pPr>
    <w:rPr>
      <w:rFonts w:ascii="宋体" w:hAnsi="宋体" w:cs="Tahoma"/>
      <w:b/>
      <w:kern w:val="0"/>
      <w:sz w:val="28"/>
      <w:szCs w:val="28"/>
    </w:rPr>
  </w:style>
  <w:style w:type="paragraph" w:customStyle="1" w:styleId="229">
    <w:name w:val="bg"/>
    <w:basedOn w:val="1"/>
    <w:qFormat/>
    <w:uiPriority w:val="0"/>
    <w:pPr>
      <w:spacing w:beforeLines="50" w:after="156"/>
      <w:jc w:val="center"/>
    </w:pPr>
    <w:rPr>
      <w:rFonts w:ascii="宋体" w:hAnsi="宋体" w:cs="宋体"/>
      <w:b/>
      <w:bCs/>
      <w:sz w:val="24"/>
      <w:szCs w:val="20"/>
    </w:rPr>
  </w:style>
  <w:style w:type="paragraph" w:customStyle="1" w:styleId="230">
    <w:name w:val="Char Char Char Char"/>
    <w:basedOn w:val="1"/>
    <w:qFormat/>
    <w:uiPriority w:val="0"/>
    <w:pPr>
      <w:spacing w:line="360" w:lineRule="auto"/>
      <w:ind w:firstLine="200" w:firstLineChars="200"/>
    </w:pPr>
    <w:rPr>
      <w:rFonts w:ascii="宋体" w:hAnsi="宋体" w:cs="宋体"/>
      <w:sz w:val="24"/>
    </w:rPr>
  </w:style>
  <w:style w:type="paragraph" w:customStyle="1" w:styleId="231">
    <w:name w:val="表000"/>
    <w:qFormat/>
    <w:uiPriority w:val="0"/>
    <w:pPr>
      <w:adjustRightInd w:val="0"/>
      <w:snapToGrid w:val="0"/>
      <w:spacing w:before="40" w:after="40" w:line="264" w:lineRule="auto"/>
      <w:jc w:val="center"/>
    </w:pPr>
    <w:rPr>
      <w:rFonts w:ascii="Times New Roman" w:hAnsi="Times New Roman" w:eastAsia="宋体" w:cs="Times New Roman"/>
      <w:snapToGrid w:val="0"/>
      <w:sz w:val="21"/>
      <w:szCs w:val="21"/>
      <w:lang w:val="en-US" w:eastAsia="zh-CN" w:bidi="ar-SA"/>
    </w:rPr>
  </w:style>
  <w:style w:type="paragraph" w:customStyle="1" w:styleId="232">
    <w:name w:val="cmy正文"/>
    <w:basedOn w:val="1"/>
    <w:qFormat/>
    <w:uiPriority w:val="0"/>
    <w:pPr>
      <w:snapToGrid w:val="0"/>
      <w:spacing w:line="360" w:lineRule="auto"/>
      <w:ind w:firstLine="883" w:firstLineChars="200"/>
    </w:pPr>
    <w:rPr>
      <w:rFonts w:cs="宋体"/>
      <w:sz w:val="24"/>
      <w:szCs w:val="20"/>
    </w:rPr>
  </w:style>
  <w:style w:type="paragraph" w:customStyle="1" w:styleId="233">
    <w:name w:val="表格名称"/>
    <w:basedOn w:val="1"/>
    <w:qFormat/>
    <w:uiPriority w:val="0"/>
    <w:pPr>
      <w:tabs>
        <w:tab w:val="left" w:pos="1980"/>
        <w:tab w:val="left" w:pos="3825"/>
        <w:tab w:val="left" w:pos="4680"/>
      </w:tabs>
      <w:spacing w:line="360" w:lineRule="auto"/>
      <w:jc w:val="center"/>
    </w:pPr>
    <w:rPr>
      <w:b/>
      <w:kern w:val="0"/>
      <w:sz w:val="24"/>
      <w:szCs w:val="20"/>
    </w:rPr>
  </w:style>
  <w:style w:type="paragraph" w:customStyle="1" w:styleId="234">
    <w:name w:val="111正文格式111"/>
    <w:basedOn w:val="124"/>
    <w:link w:val="235"/>
    <w:qFormat/>
    <w:uiPriority w:val="0"/>
    <w:pPr>
      <w:adjustRightInd w:val="0"/>
      <w:snapToGrid w:val="0"/>
    </w:pPr>
    <w:rPr>
      <w:bCs/>
    </w:rPr>
  </w:style>
  <w:style w:type="character" w:customStyle="1" w:styleId="235">
    <w:name w:val="111正文格式111 Char"/>
    <w:link w:val="234"/>
    <w:qFormat/>
    <w:uiPriority w:val="0"/>
    <w:rPr>
      <w:bCs/>
      <w:sz w:val="24"/>
      <w:szCs w:val="24"/>
    </w:rPr>
  </w:style>
  <w:style w:type="paragraph" w:customStyle="1" w:styleId="236">
    <w:name w:val="a图"/>
    <w:basedOn w:val="1"/>
    <w:qFormat/>
    <w:uiPriority w:val="0"/>
    <w:pPr>
      <w:spacing w:beforeLines="50" w:afterLines="50" w:line="500" w:lineRule="exact"/>
      <w:jc w:val="center"/>
    </w:pPr>
    <w:rPr>
      <w:b/>
      <w:bCs/>
      <w:sz w:val="24"/>
    </w:rPr>
  </w:style>
  <w:style w:type="paragraph" w:customStyle="1" w:styleId="237">
    <w:name w:val="正文的格式52"/>
    <w:basedOn w:val="1"/>
    <w:link w:val="238"/>
    <w:qFormat/>
    <w:uiPriority w:val="0"/>
    <w:pPr>
      <w:spacing w:line="360" w:lineRule="auto"/>
      <w:ind w:firstLine="200" w:firstLineChars="200"/>
    </w:pPr>
    <w:rPr>
      <w:sz w:val="24"/>
      <w:szCs w:val="20"/>
    </w:rPr>
  </w:style>
  <w:style w:type="character" w:customStyle="1" w:styleId="238">
    <w:name w:val="正文的格式52 Char"/>
    <w:link w:val="237"/>
    <w:qFormat/>
    <w:locked/>
    <w:uiPriority w:val="0"/>
    <w:rPr>
      <w:kern w:val="2"/>
      <w:sz w:val="24"/>
    </w:rPr>
  </w:style>
  <w:style w:type="paragraph" w:customStyle="1" w:styleId="239">
    <w:name w:val="普通(网站)1"/>
    <w:basedOn w:val="1"/>
    <w:qFormat/>
    <w:uiPriority w:val="0"/>
    <w:pPr>
      <w:spacing w:before="100" w:beforeAutospacing="1" w:after="100" w:afterAutospacing="1" w:line="360" w:lineRule="auto"/>
      <w:ind w:firstLine="200" w:firstLineChars="200"/>
    </w:pPr>
    <w:rPr>
      <w:rFonts w:ascii="Arial Unicode MS" w:hAnsi="Arial Unicode MS" w:eastAsia="Arial Unicode MS" w:cs="Arial Unicode MS"/>
      <w:kern w:val="0"/>
      <w:sz w:val="24"/>
      <w:szCs w:val="20"/>
    </w:rPr>
  </w:style>
  <w:style w:type="paragraph" w:customStyle="1" w:styleId="240">
    <w:name w:val="表格文字（241）"/>
    <w:basedOn w:val="1"/>
    <w:qFormat/>
    <w:uiPriority w:val="0"/>
    <w:pPr>
      <w:autoSpaceDE w:val="0"/>
      <w:autoSpaceDN w:val="0"/>
      <w:adjustRightInd w:val="0"/>
      <w:jc w:val="center"/>
      <w:textAlignment w:val="baseline"/>
    </w:pPr>
    <w:rPr>
      <w:bCs/>
      <w:kern w:val="0"/>
      <w:szCs w:val="21"/>
    </w:rPr>
  </w:style>
  <w:style w:type="paragraph" w:customStyle="1" w:styleId="241">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242">
    <w:name w:val="表格固定文字"/>
    <w:basedOn w:val="1"/>
    <w:qFormat/>
    <w:uiPriority w:val="0"/>
    <w:pPr>
      <w:spacing w:line="360" w:lineRule="auto"/>
      <w:ind w:firstLine="200" w:firstLineChars="200"/>
    </w:pPr>
    <w:rPr>
      <w:sz w:val="24"/>
      <w:szCs w:val="20"/>
    </w:rPr>
  </w:style>
  <w:style w:type="paragraph" w:customStyle="1" w:styleId="243">
    <w:name w:val="S307"/>
    <w:qFormat/>
    <w:uiPriority w:val="0"/>
    <w:pPr>
      <w:widowControl w:val="0"/>
      <w:spacing w:line="360" w:lineRule="auto"/>
      <w:ind w:firstLine="480" w:firstLineChars="200"/>
      <w:jc w:val="both"/>
    </w:pPr>
    <w:rPr>
      <w:rFonts w:ascii="Times New Roman" w:hAnsi="Times New Roman" w:eastAsia="宋体" w:cs="Times New Roman"/>
      <w:kern w:val="21"/>
      <w:sz w:val="24"/>
      <w:szCs w:val="21"/>
      <w:lang w:val="en-US" w:eastAsia="zh-CN" w:bidi="ar-SA"/>
    </w:rPr>
  </w:style>
  <w:style w:type="paragraph" w:customStyle="1" w:styleId="244">
    <w:name w:val="Char1 Char Char Char"/>
    <w:basedOn w:val="1"/>
    <w:qFormat/>
    <w:uiPriority w:val="0"/>
    <w:rPr>
      <w:szCs w:val="20"/>
    </w:rPr>
  </w:style>
  <w:style w:type="paragraph" w:customStyle="1" w:styleId="245">
    <w:name w:val="5 正文"/>
    <w:basedOn w:val="1"/>
    <w:qFormat/>
    <w:uiPriority w:val="0"/>
    <w:pPr>
      <w:tabs>
        <w:tab w:val="left" w:pos="1980"/>
        <w:tab w:val="left" w:pos="3825"/>
        <w:tab w:val="left" w:pos="4680"/>
      </w:tabs>
      <w:spacing w:line="360" w:lineRule="auto"/>
      <w:ind w:firstLine="480" w:firstLineChars="200"/>
    </w:pPr>
    <w:rPr>
      <w:rFonts w:hAnsi="宋体" w:eastAsia="Times New Roman"/>
      <w:sz w:val="24"/>
      <w:szCs w:val="21"/>
      <w:lang w:eastAsia="en-US"/>
    </w:rPr>
  </w:style>
  <w:style w:type="paragraph" w:customStyle="1" w:styleId="246">
    <w:name w:val="1表内"/>
    <w:basedOn w:val="1"/>
    <w:qFormat/>
    <w:uiPriority w:val="0"/>
    <w:pPr>
      <w:adjustRightInd w:val="0"/>
      <w:snapToGrid w:val="0"/>
      <w:jc w:val="center"/>
    </w:pPr>
    <w:rPr>
      <w:color w:val="FF0000"/>
      <w:kern w:val="0"/>
    </w:rPr>
  </w:style>
  <w:style w:type="paragraph" w:customStyle="1" w:styleId="247">
    <w:name w:val="九晟表格"/>
    <w:basedOn w:val="1"/>
    <w:qFormat/>
    <w:uiPriority w:val="99"/>
    <w:pPr>
      <w:spacing w:line="360" w:lineRule="exact"/>
      <w:ind w:firstLine="200" w:firstLineChars="200"/>
      <w:jc w:val="center"/>
    </w:pPr>
    <w:rPr>
      <w:sz w:val="24"/>
      <w:szCs w:val="20"/>
    </w:rPr>
  </w:style>
  <w:style w:type="paragraph" w:customStyle="1" w:styleId="248">
    <w:name w:val="表格名称3"/>
    <w:basedOn w:val="1"/>
    <w:qFormat/>
    <w:uiPriority w:val="0"/>
    <w:pPr>
      <w:spacing w:beforeLines="20" w:afterLines="30" w:line="360" w:lineRule="auto"/>
      <w:jc w:val="center"/>
    </w:pPr>
    <w:rPr>
      <w:b/>
      <w:sz w:val="24"/>
      <w:szCs w:val="20"/>
    </w:rPr>
  </w:style>
  <w:style w:type="paragraph" w:customStyle="1" w:styleId="249">
    <w:name w:val="正文xry"/>
    <w:basedOn w:val="1"/>
    <w:qFormat/>
    <w:uiPriority w:val="0"/>
    <w:pPr>
      <w:spacing w:line="360" w:lineRule="auto"/>
      <w:ind w:firstLine="200" w:firstLineChars="200"/>
    </w:pPr>
    <w:rPr>
      <w:sz w:val="24"/>
      <w:szCs w:val="20"/>
    </w:rPr>
  </w:style>
  <w:style w:type="paragraph" w:customStyle="1" w:styleId="250">
    <w:name w:val="正文111"/>
    <w:basedOn w:val="1"/>
    <w:qFormat/>
    <w:uiPriority w:val="0"/>
    <w:pPr>
      <w:spacing w:line="360" w:lineRule="auto"/>
      <w:ind w:firstLine="480" w:firstLineChars="200"/>
    </w:pPr>
    <w:rPr>
      <w:rFonts w:ascii="宋体" w:hAnsi="宋体"/>
      <w:sz w:val="24"/>
      <w:szCs w:val="20"/>
    </w:rPr>
  </w:style>
  <w:style w:type="paragraph" w:customStyle="1" w:styleId="251">
    <w:name w:val="表头 ylp"/>
    <w:basedOn w:val="1"/>
    <w:link w:val="252"/>
    <w:qFormat/>
    <w:uiPriority w:val="0"/>
    <w:pPr>
      <w:spacing w:line="360" w:lineRule="auto"/>
      <w:ind w:firstLine="200" w:firstLineChars="200"/>
      <w:jc w:val="center"/>
    </w:pPr>
    <w:rPr>
      <w:rFonts w:eastAsia="黑体"/>
      <w:sz w:val="24"/>
      <w:lang w:bidi="he-IL"/>
    </w:rPr>
  </w:style>
  <w:style w:type="character" w:customStyle="1" w:styleId="252">
    <w:name w:val="表头 ylp Char Char"/>
    <w:link w:val="251"/>
    <w:qFormat/>
    <w:uiPriority w:val="0"/>
    <w:rPr>
      <w:rFonts w:eastAsia="黑体"/>
      <w:kern w:val="2"/>
      <w:sz w:val="24"/>
      <w:szCs w:val="24"/>
      <w:lang w:bidi="he-IL"/>
    </w:rPr>
  </w:style>
  <w:style w:type="paragraph" w:customStyle="1" w:styleId="253">
    <w:name w:val="表格头"/>
    <w:qFormat/>
    <w:uiPriority w:val="0"/>
    <w:pPr>
      <w:tabs>
        <w:tab w:val="left" w:pos="5400"/>
        <w:tab w:val="left" w:pos="12480"/>
      </w:tabs>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254">
    <w:name w:val="宗兴正文"/>
    <w:basedOn w:val="1"/>
    <w:qFormat/>
    <w:uiPriority w:val="0"/>
    <w:pPr>
      <w:spacing w:before="93" w:after="93" w:line="360" w:lineRule="auto"/>
      <w:ind w:firstLine="480" w:firstLineChars="200"/>
    </w:pPr>
    <w:rPr>
      <w:sz w:val="24"/>
    </w:rPr>
  </w:style>
  <w:style w:type="paragraph" w:customStyle="1" w:styleId="255">
    <w:name w:val="111表格"/>
    <w:basedOn w:val="195"/>
    <w:link w:val="256"/>
    <w:qFormat/>
    <w:uiPriority w:val="0"/>
    <w:pPr>
      <w:autoSpaceDE/>
      <w:autoSpaceDN/>
      <w:adjustRightInd/>
      <w:snapToGrid/>
    </w:pPr>
    <w:rPr>
      <w:rFonts w:eastAsia="宋体"/>
      <w:color w:val="C00000"/>
    </w:rPr>
  </w:style>
  <w:style w:type="character" w:customStyle="1" w:styleId="256">
    <w:name w:val="111表格 Char"/>
    <w:link w:val="255"/>
    <w:qFormat/>
    <w:uiPriority w:val="0"/>
    <w:rPr>
      <w:color w:val="C00000"/>
      <w:sz w:val="21"/>
      <w:szCs w:val="21"/>
    </w:rPr>
  </w:style>
  <w:style w:type="paragraph" w:customStyle="1" w:styleId="257">
    <w:name w:val="样式 首行缩进:  2 字符1"/>
    <w:basedOn w:val="1"/>
    <w:qFormat/>
    <w:uiPriority w:val="0"/>
    <w:pPr>
      <w:adjustRightInd w:val="0"/>
      <w:snapToGrid w:val="0"/>
      <w:spacing w:line="360" w:lineRule="auto"/>
      <w:ind w:firstLine="480" w:firstLineChars="200"/>
    </w:pPr>
    <w:rPr>
      <w:rFonts w:hint="eastAsia" w:ascii="宋体" w:hAnsi="宋体"/>
      <w:sz w:val="24"/>
      <w:szCs w:val="20"/>
    </w:rPr>
  </w:style>
  <w:style w:type="paragraph" w:customStyle="1" w:styleId="258">
    <w:name w:val="金皇-正文"/>
    <w:basedOn w:val="1"/>
    <w:qFormat/>
    <w:uiPriority w:val="0"/>
    <w:pPr>
      <w:spacing w:line="360" w:lineRule="auto"/>
      <w:ind w:firstLine="200" w:firstLineChars="200"/>
    </w:pPr>
    <w:rPr>
      <w:sz w:val="24"/>
    </w:rPr>
  </w:style>
  <w:style w:type="paragraph" w:customStyle="1" w:styleId="259">
    <w:name w:val="正文111111111111111"/>
    <w:basedOn w:val="1"/>
    <w:qFormat/>
    <w:uiPriority w:val="0"/>
    <w:pPr>
      <w:spacing w:line="360" w:lineRule="auto"/>
      <w:ind w:firstLine="480" w:firstLineChars="200"/>
    </w:pPr>
    <w:rPr>
      <w:rFonts w:ascii="宋体" w:hAnsi="宋体"/>
      <w:sz w:val="24"/>
      <w:szCs w:val="20"/>
      <w:shd w:val="clear" w:color="auto" w:fill="FFFFFF"/>
    </w:rPr>
  </w:style>
  <w:style w:type="paragraph" w:customStyle="1" w:styleId="260">
    <w:name w:val="表格格式"/>
    <w:basedOn w:val="1"/>
    <w:next w:val="1"/>
    <w:qFormat/>
    <w:uiPriority w:val="0"/>
    <w:pPr>
      <w:jc w:val="center"/>
    </w:pPr>
    <w:rPr>
      <w:szCs w:val="20"/>
    </w:rPr>
  </w:style>
  <w:style w:type="paragraph" w:customStyle="1" w:styleId="261">
    <w:name w:val="5文章(治)"/>
    <w:basedOn w:val="1"/>
    <w:link w:val="317"/>
    <w:qFormat/>
    <w:uiPriority w:val="0"/>
    <w:pPr>
      <w:spacing w:line="360" w:lineRule="auto"/>
      <w:ind w:firstLine="560" w:firstLineChars="200"/>
    </w:pPr>
    <w:rPr>
      <w:rFonts w:eastAsia="楷体_GB2312"/>
      <w:color w:val="000000"/>
      <w:sz w:val="28"/>
      <w:szCs w:val="20"/>
    </w:rPr>
  </w:style>
  <w:style w:type="paragraph" w:customStyle="1" w:styleId="262">
    <w:name w:val="p17"/>
    <w:basedOn w:val="1"/>
    <w:qFormat/>
    <w:uiPriority w:val="0"/>
    <w:rPr>
      <w:kern w:val="0"/>
      <w:szCs w:val="21"/>
    </w:rPr>
  </w:style>
  <w:style w:type="paragraph" w:customStyle="1" w:styleId="263">
    <w:name w:val="表格内容CCW"/>
    <w:basedOn w:val="1"/>
    <w:link w:val="308"/>
    <w:qFormat/>
    <w:uiPriority w:val="0"/>
    <w:pPr>
      <w:tabs>
        <w:tab w:val="left" w:pos="360"/>
      </w:tabs>
      <w:spacing w:line="360" w:lineRule="auto"/>
      <w:ind w:firstLine="200" w:firstLineChars="200"/>
      <w:jc w:val="center"/>
    </w:pPr>
    <w:rPr>
      <w:sz w:val="24"/>
    </w:rPr>
  </w:style>
  <w:style w:type="paragraph" w:customStyle="1" w:styleId="264">
    <w:name w:val="样式 宋体 两端对齐 首行缩进:  2 字符"/>
    <w:basedOn w:val="1"/>
    <w:qFormat/>
    <w:uiPriority w:val="0"/>
    <w:pPr>
      <w:spacing w:line="360" w:lineRule="auto"/>
      <w:ind w:firstLine="480" w:firstLineChars="200"/>
    </w:pPr>
    <w:rPr>
      <w:rFonts w:ascii="宋体" w:hAnsi="宋体" w:cs="宋体"/>
      <w:sz w:val="24"/>
      <w:szCs w:val="20"/>
    </w:rPr>
  </w:style>
  <w:style w:type="paragraph" w:customStyle="1" w:styleId="265">
    <w:name w:val="111表格的格式"/>
    <w:basedOn w:val="168"/>
    <w:link w:val="266"/>
    <w:qFormat/>
    <w:uiPriority w:val="0"/>
  </w:style>
  <w:style w:type="character" w:customStyle="1" w:styleId="266">
    <w:name w:val="111表格的格式 Char"/>
    <w:link w:val="265"/>
    <w:qFormat/>
    <w:uiPriority w:val="0"/>
    <w:rPr>
      <w:kern w:val="2"/>
      <w:sz w:val="21"/>
      <w:szCs w:val="24"/>
    </w:rPr>
  </w:style>
  <w:style w:type="paragraph" w:customStyle="1" w:styleId="267">
    <w:name w:val="Char Char Char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68">
    <w:name w:val="表头表头表头表头表头表头"/>
    <w:basedOn w:val="1"/>
    <w:qFormat/>
    <w:uiPriority w:val="0"/>
    <w:pPr>
      <w:jc w:val="center"/>
    </w:pPr>
    <w:rPr>
      <w:b/>
      <w:sz w:val="24"/>
      <w:szCs w:val="20"/>
    </w:rPr>
  </w:style>
  <w:style w:type="paragraph" w:customStyle="1" w:styleId="269">
    <w:name w:val="表内格式"/>
    <w:basedOn w:val="1"/>
    <w:qFormat/>
    <w:uiPriority w:val="0"/>
    <w:pPr>
      <w:jc w:val="center"/>
    </w:pPr>
    <w:rPr>
      <w:kern w:val="0"/>
      <w:sz w:val="18"/>
      <w:szCs w:val="20"/>
    </w:rPr>
  </w:style>
  <w:style w:type="paragraph" w:customStyle="1" w:styleId="270">
    <w:name w:val="Char Char Char Char Char Char Char Char Char Char Char Char Char Char Char Char Char Char Char Char Char Char Char Char Char Char Char Char Char Char Char Char Char"/>
    <w:basedOn w:val="1"/>
    <w:semiHidden/>
    <w:qFormat/>
    <w:uiPriority w:val="0"/>
  </w:style>
  <w:style w:type="paragraph" w:customStyle="1" w:styleId="27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2">
    <w:name w:val="WPS Plain"/>
    <w:qFormat/>
    <w:uiPriority w:val="0"/>
    <w:rPr>
      <w:rFonts w:ascii="Times New Roman" w:hAnsi="Times New Roman" w:eastAsia="宋体" w:cs="Times New Roman"/>
      <w:lang w:val="en-US" w:eastAsia="zh-CN" w:bidi="ar-SA"/>
    </w:rPr>
  </w:style>
  <w:style w:type="character" w:customStyle="1" w:styleId="273">
    <w:name w:val="bjh-p"/>
    <w:qFormat/>
    <w:uiPriority w:val="0"/>
  </w:style>
  <w:style w:type="character" w:customStyle="1" w:styleId="274">
    <w:name w:val="bjh-strong"/>
    <w:qFormat/>
    <w:uiPriority w:val="0"/>
  </w:style>
  <w:style w:type="paragraph" w:customStyle="1" w:styleId="275">
    <w:name w:val="EIA文本样式"/>
    <w:basedOn w:val="1"/>
    <w:qFormat/>
    <w:uiPriority w:val="0"/>
    <w:pPr>
      <w:tabs>
        <w:tab w:val="left" w:pos="0"/>
        <w:tab w:val="left" w:pos="540"/>
      </w:tabs>
      <w:spacing w:line="360" w:lineRule="auto"/>
      <w:ind w:firstLine="456" w:firstLineChars="200"/>
    </w:pPr>
    <w:rPr>
      <w:spacing w:val="-6"/>
      <w:sz w:val="24"/>
      <w:szCs w:val="21"/>
    </w:rPr>
  </w:style>
  <w:style w:type="character" w:customStyle="1" w:styleId="276">
    <w:name w:val="头 Char"/>
    <w:link w:val="277"/>
    <w:qFormat/>
    <w:uiPriority w:val="0"/>
    <w:rPr>
      <w:rFonts w:eastAsia="黑体"/>
      <w:sz w:val="24"/>
      <w:szCs w:val="24"/>
    </w:rPr>
  </w:style>
  <w:style w:type="paragraph" w:customStyle="1" w:styleId="277">
    <w:name w:val="头"/>
    <w:basedOn w:val="207"/>
    <w:link w:val="276"/>
    <w:qFormat/>
    <w:uiPriority w:val="0"/>
    <w:pPr>
      <w:spacing w:line="365" w:lineRule="atLeast"/>
      <w:ind w:left="1"/>
      <w:jc w:val="center"/>
      <w:textAlignment w:val="bottom"/>
    </w:pPr>
    <w:rPr>
      <w:rFonts w:eastAsia="黑体"/>
      <w:sz w:val="24"/>
      <w:szCs w:val="24"/>
    </w:rPr>
  </w:style>
  <w:style w:type="paragraph" w:customStyle="1" w:styleId="278">
    <w:name w:val="表格名称1"/>
    <w:basedOn w:val="1"/>
    <w:qFormat/>
    <w:uiPriority w:val="0"/>
    <w:pPr>
      <w:spacing w:line="360" w:lineRule="auto"/>
      <w:ind w:firstLine="200" w:firstLineChars="200"/>
      <w:jc w:val="center"/>
    </w:pPr>
    <w:rPr>
      <w:rFonts w:eastAsia="Times New Roman"/>
      <w:b/>
      <w:sz w:val="24"/>
    </w:rPr>
  </w:style>
  <w:style w:type="paragraph" w:customStyle="1" w:styleId="279">
    <w:name w:val="Char2 Char Char Char"/>
    <w:basedOn w:val="1"/>
    <w:qFormat/>
    <w:uiPriority w:val="0"/>
    <w:pPr>
      <w:spacing w:line="360" w:lineRule="auto"/>
      <w:ind w:firstLine="200" w:firstLineChars="200"/>
    </w:pPr>
    <w:rPr>
      <w:rFonts w:ascii="宋体" w:hAnsi="宋体" w:cs="宋体"/>
      <w:sz w:val="24"/>
    </w:rPr>
  </w:style>
  <w:style w:type="character" w:customStyle="1" w:styleId="280">
    <w:name w:val="正文111111 Char Char"/>
    <w:qFormat/>
    <w:uiPriority w:val="0"/>
    <w:rPr>
      <w:sz w:val="24"/>
      <w:szCs w:val="24"/>
    </w:rPr>
  </w:style>
  <w:style w:type="character" w:customStyle="1" w:styleId="281">
    <w:name w:val="正文格式111 Char"/>
    <w:link w:val="282"/>
    <w:qFormat/>
    <w:locked/>
    <w:uiPriority w:val="0"/>
    <w:rPr>
      <w:bCs/>
      <w:sz w:val="24"/>
      <w:szCs w:val="24"/>
    </w:rPr>
  </w:style>
  <w:style w:type="paragraph" w:customStyle="1" w:styleId="282">
    <w:name w:val="正文格式111"/>
    <w:basedOn w:val="1"/>
    <w:link w:val="281"/>
    <w:qFormat/>
    <w:uiPriority w:val="0"/>
    <w:pPr>
      <w:spacing w:line="420" w:lineRule="auto"/>
      <w:ind w:firstLine="480" w:firstLineChars="200"/>
    </w:pPr>
    <w:rPr>
      <w:bCs/>
      <w:kern w:val="0"/>
      <w:sz w:val="24"/>
    </w:rPr>
  </w:style>
  <w:style w:type="paragraph" w:customStyle="1" w:styleId="283">
    <w:name w:val="表格格式1"/>
    <w:basedOn w:val="260"/>
    <w:qFormat/>
    <w:uiPriority w:val="0"/>
    <w:rPr>
      <w:kern w:val="0"/>
      <w:sz w:val="20"/>
      <w:szCs w:val="21"/>
    </w:rPr>
  </w:style>
  <w:style w:type="character" w:customStyle="1" w:styleId="284">
    <w:name w:val="样式 样式 样式 首行缩进:  2 字符 + 居中 + 行距: 固定值 17 磅 Char Char"/>
    <w:link w:val="285"/>
    <w:qFormat/>
    <w:uiPriority w:val="0"/>
    <w:rPr>
      <w:rFonts w:cs="宋体"/>
      <w:color w:val="000000"/>
      <w:kern w:val="2"/>
      <w:sz w:val="21"/>
    </w:rPr>
  </w:style>
  <w:style w:type="paragraph" w:customStyle="1" w:styleId="285">
    <w:name w:val="样式 样式 样式 首行缩进:  2 字符 + 居中 + 行距: 固定值 17 磅"/>
    <w:basedOn w:val="1"/>
    <w:link w:val="284"/>
    <w:qFormat/>
    <w:uiPriority w:val="0"/>
    <w:pPr>
      <w:adjustRightInd w:val="0"/>
      <w:snapToGrid w:val="0"/>
      <w:spacing w:line="340" w:lineRule="exact"/>
      <w:jc w:val="center"/>
    </w:pPr>
    <w:rPr>
      <w:color w:val="000000"/>
      <w:szCs w:val="20"/>
    </w:rPr>
  </w:style>
  <w:style w:type="character" w:customStyle="1" w:styleId="286">
    <w:name w:val="格式的格式 Char"/>
    <w:link w:val="287"/>
    <w:qFormat/>
    <w:uiPriority w:val="0"/>
    <w:rPr>
      <w:rFonts w:ascii="宋体" w:hAnsi="宋体"/>
      <w:kern w:val="2"/>
      <w:sz w:val="24"/>
      <w:szCs w:val="24"/>
    </w:rPr>
  </w:style>
  <w:style w:type="paragraph" w:customStyle="1" w:styleId="287">
    <w:name w:val="格式的格式"/>
    <w:basedOn w:val="124"/>
    <w:link w:val="286"/>
    <w:qFormat/>
    <w:uiPriority w:val="0"/>
    <w:pPr>
      <w:jc w:val="both"/>
    </w:pPr>
    <w:rPr>
      <w:rFonts w:ascii="宋体" w:hAnsi="宋体"/>
      <w:kern w:val="2"/>
    </w:rPr>
  </w:style>
  <w:style w:type="paragraph" w:customStyle="1" w:styleId="288">
    <w:name w:val="样式2"/>
    <w:basedOn w:val="3"/>
    <w:qFormat/>
    <w:uiPriority w:val="0"/>
    <w:pPr>
      <w:spacing w:beforeLines="0" w:afterLines="0"/>
      <w:textAlignment w:val="center"/>
      <w:outlineLvl w:val="1"/>
    </w:pPr>
    <w:rPr>
      <w:kern w:val="0"/>
      <w:sz w:val="28"/>
      <w:szCs w:val="28"/>
    </w:rPr>
  </w:style>
  <w:style w:type="character" w:customStyle="1" w:styleId="289">
    <w:name w:val="11正文 Char"/>
    <w:link w:val="290"/>
    <w:qFormat/>
    <w:uiPriority w:val="0"/>
    <w:rPr>
      <w:color w:val="0000FF"/>
      <w:kern w:val="2"/>
      <w:sz w:val="24"/>
      <w:szCs w:val="24"/>
    </w:rPr>
  </w:style>
  <w:style w:type="paragraph" w:customStyle="1" w:styleId="290">
    <w:name w:val="11正文"/>
    <w:basedOn w:val="1"/>
    <w:link w:val="289"/>
    <w:qFormat/>
    <w:uiPriority w:val="0"/>
    <w:pPr>
      <w:widowControl w:val="0"/>
      <w:adjustRightInd w:val="0"/>
      <w:snapToGrid w:val="0"/>
      <w:spacing w:line="360" w:lineRule="auto"/>
      <w:ind w:firstLine="200" w:firstLineChars="200"/>
      <w:jc w:val="both"/>
    </w:pPr>
    <w:rPr>
      <w:color w:val="0000FF"/>
      <w:sz w:val="24"/>
    </w:rPr>
  </w:style>
  <w:style w:type="character" w:customStyle="1" w:styleId="291">
    <w:name w:val="标题 Char1"/>
    <w:qFormat/>
    <w:uiPriority w:val="10"/>
    <w:rPr>
      <w:rFonts w:ascii="Cambria" w:hAnsi="Cambria" w:cs="Times New Roman"/>
      <w:b/>
      <w:bCs/>
      <w:kern w:val="2"/>
      <w:sz w:val="32"/>
      <w:szCs w:val="32"/>
    </w:rPr>
  </w:style>
  <w:style w:type="paragraph" w:customStyle="1" w:styleId="292">
    <w:name w:val="1"/>
    <w:unhideWhenUsed/>
    <w:qFormat/>
    <w:uiPriority w:val="99"/>
    <w:rPr>
      <w:rFonts w:ascii="Times New Roman" w:hAnsi="Times New Roman" w:eastAsia="宋体" w:cs="Times New Roman"/>
      <w:kern w:val="2"/>
      <w:sz w:val="21"/>
      <w:szCs w:val="24"/>
      <w:lang w:val="en-US" w:eastAsia="zh-CN" w:bidi="ar-SA"/>
    </w:rPr>
  </w:style>
  <w:style w:type="paragraph" w:customStyle="1" w:styleId="293">
    <w:name w:val="6表格"/>
    <w:next w:val="1"/>
    <w:qFormat/>
    <w:uiPriority w:val="0"/>
    <w:pPr>
      <w:widowControl w:val="0"/>
      <w:jc w:val="center"/>
    </w:pPr>
    <w:rPr>
      <w:rFonts w:ascii="Times New Roman" w:hAnsi="Times New Roman" w:eastAsia="宋体" w:cs="Times New Roman"/>
      <w:color w:val="FF0000"/>
      <w:sz w:val="21"/>
      <w:szCs w:val="18"/>
      <w:lang w:val="en-US" w:eastAsia="zh-CN" w:bidi="ar-SA"/>
    </w:rPr>
  </w:style>
  <w:style w:type="paragraph" w:customStyle="1" w:styleId="294">
    <w:name w:val="1111我的正文"/>
    <w:basedOn w:val="1"/>
    <w:qFormat/>
    <w:uiPriority w:val="0"/>
    <w:pPr>
      <w:widowControl w:val="0"/>
      <w:adjustRightInd w:val="0"/>
      <w:snapToGrid w:val="0"/>
      <w:spacing w:line="360" w:lineRule="auto"/>
      <w:ind w:firstLine="361" w:firstLineChars="200"/>
      <w:jc w:val="both"/>
    </w:pPr>
    <w:rPr>
      <w:sz w:val="24"/>
      <w:szCs w:val="30"/>
    </w:rPr>
  </w:style>
  <w:style w:type="paragraph" w:customStyle="1" w:styleId="295">
    <w:name w:val="111表头"/>
    <w:basedOn w:val="86"/>
    <w:link w:val="296"/>
    <w:qFormat/>
    <w:uiPriority w:val="0"/>
    <w:pPr>
      <w:adjustRightInd w:val="0"/>
      <w:snapToGrid w:val="0"/>
      <w:spacing w:line="240" w:lineRule="auto"/>
      <w:ind w:firstLine="0" w:firstLineChars="0"/>
      <w:jc w:val="center"/>
    </w:pPr>
    <w:rPr>
      <w:rFonts w:eastAsia="黑体"/>
      <w:color w:val="0000FF"/>
    </w:rPr>
  </w:style>
  <w:style w:type="character" w:customStyle="1" w:styleId="296">
    <w:name w:val="111表头 Char"/>
    <w:link w:val="295"/>
    <w:qFormat/>
    <w:uiPriority w:val="0"/>
    <w:rPr>
      <w:rFonts w:eastAsia="黑体"/>
      <w:color w:val="0000FF"/>
      <w:kern w:val="2"/>
      <w:sz w:val="24"/>
      <w:szCs w:val="24"/>
    </w:rPr>
  </w:style>
  <w:style w:type="paragraph" w:customStyle="1" w:styleId="297">
    <w:name w:val="这里的正文"/>
    <w:basedOn w:val="1"/>
    <w:qFormat/>
    <w:uiPriority w:val="0"/>
    <w:pPr>
      <w:widowControl w:val="0"/>
      <w:spacing w:line="360" w:lineRule="auto"/>
      <w:ind w:firstLine="482"/>
      <w:jc w:val="both"/>
    </w:pPr>
    <w:rPr>
      <w:rFonts w:cs="宋体"/>
      <w:sz w:val="24"/>
      <w:szCs w:val="20"/>
    </w:rPr>
  </w:style>
  <w:style w:type="paragraph" w:customStyle="1" w:styleId="298">
    <w:name w:val="7表格(壹澜)"/>
    <w:qFormat/>
    <w:uiPriority w:val="0"/>
    <w:pPr>
      <w:widowControl w:val="0"/>
      <w:jc w:val="center"/>
    </w:pPr>
    <w:rPr>
      <w:rFonts w:ascii="Times New Roman" w:hAnsi="Times New Roman" w:eastAsia="楷体" w:cs="Times New Roman"/>
      <w:sz w:val="21"/>
      <w:szCs w:val="21"/>
      <w:lang w:val="en-US" w:eastAsia="zh-CN" w:bidi="ar-SA"/>
    </w:rPr>
  </w:style>
  <w:style w:type="paragraph" w:customStyle="1" w:styleId="299">
    <w:name w:val="1111我的表格内容"/>
    <w:qFormat/>
    <w:uiPriority w:val="0"/>
    <w:pPr>
      <w:jc w:val="center"/>
    </w:pPr>
    <w:rPr>
      <w:rFonts w:ascii="Times New Roman" w:hAnsi="Times New Roman" w:eastAsia="宋体" w:cs="Times New Roman"/>
      <w:sz w:val="21"/>
      <w:lang w:val="en-US" w:eastAsia="zh-CN" w:bidi="ar-SA"/>
    </w:rPr>
  </w:style>
  <w:style w:type="paragraph" w:customStyle="1" w:styleId="300">
    <w:name w:val="Char Char1 Char Char Char Char Char Char Char Char Char Char Char Char Char Char Char Char Char Char"/>
    <w:basedOn w:val="1"/>
    <w:qFormat/>
    <w:uiPriority w:val="0"/>
    <w:pPr>
      <w:widowControl w:val="0"/>
      <w:spacing w:line="360" w:lineRule="auto"/>
      <w:ind w:firstLine="200" w:firstLineChars="200"/>
      <w:jc w:val="both"/>
    </w:pPr>
    <w:rPr>
      <w:rFonts w:ascii="仿宋_GB2312" w:hAnsi="仿宋_GB2312" w:cs="仿宋_GB2312"/>
      <w:sz w:val="24"/>
    </w:rPr>
  </w:style>
  <w:style w:type="paragraph" w:customStyle="1" w:styleId="301">
    <w:name w:val="5文章正文"/>
    <w:basedOn w:val="1"/>
    <w:qFormat/>
    <w:uiPriority w:val="0"/>
    <w:pPr>
      <w:widowControl w:val="0"/>
      <w:spacing w:line="360" w:lineRule="auto"/>
      <w:ind w:firstLine="200" w:firstLineChars="200"/>
      <w:jc w:val="both"/>
    </w:pPr>
    <w:rPr>
      <w:kern w:val="0"/>
      <w:sz w:val="24"/>
    </w:rPr>
  </w:style>
  <w:style w:type="paragraph" w:styleId="302">
    <w:name w:val="No Spacing"/>
    <w:qFormat/>
    <w:uiPriority w:val="1"/>
    <w:pPr>
      <w:widowControl w:val="0"/>
      <w:spacing w:line="360" w:lineRule="auto"/>
      <w:ind w:firstLine="200" w:firstLineChars="200"/>
      <w:jc w:val="both"/>
    </w:pPr>
    <w:rPr>
      <w:rFonts w:ascii="Calibri" w:hAnsi="Calibri" w:eastAsia="宋体" w:cs="Times New Roman"/>
      <w:kern w:val="2"/>
      <w:sz w:val="28"/>
      <w:szCs w:val="22"/>
      <w:lang w:val="en-US" w:eastAsia="zh-CN" w:bidi="ar-SA"/>
    </w:rPr>
  </w:style>
  <w:style w:type="character" w:customStyle="1" w:styleId="303">
    <w:name w:val="表格内容（） Char"/>
    <w:link w:val="162"/>
    <w:qFormat/>
    <w:uiPriority w:val="0"/>
    <w:rPr>
      <w:color w:val="00B0F0"/>
      <w:kern w:val="2"/>
      <w:sz w:val="21"/>
      <w:szCs w:val="21"/>
    </w:rPr>
  </w:style>
  <w:style w:type="character" w:customStyle="1" w:styleId="304">
    <w:name w:val="正文（） Char"/>
    <w:link w:val="186"/>
    <w:qFormat/>
    <w:uiPriority w:val="0"/>
    <w:rPr>
      <w:color w:val="5B9BD5"/>
      <w:kern w:val="2"/>
      <w:sz w:val="24"/>
    </w:rPr>
  </w:style>
  <w:style w:type="paragraph" w:customStyle="1" w:styleId="305">
    <w:name w:val="报告表正文"/>
    <w:basedOn w:val="1"/>
    <w:qFormat/>
    <w:uiPriority w:val="0"/>
    <w:pPr>
      <w:widowControl w:val="0"/>
      <w:jc w:val="both"/>
    </w:pPr>
  </w:style>
  <w:style w:type="character" w:customStyle="1" w:styleId="306">
    <w:name w:val="表格标题（） Char"/>
    <w:link w:val="188"/>
    <w:qFormat/>
    <w:uiPriority w:val="0"/>
    <w:rPr>
      <w:rFonts w:eastAsia="黑体"/>
      <w:color w:val="00B0F0"/>
      <w:kern w:val="2"/>
      <w:sz w:val="24"/>
      <w:lang w:val="zh-CN" w:bidi="he-IL"/>
    </w:rPr>
  </w:style>
  <w:style w:type="character" w:customStyle="1" w:styleId="307">
    <w:name w:val="表格标题QQ Char"/>
    <w:link w:val="219"/>
    <w:qFormat/>
    <w:uiPriority w:val="0"/>
    <w:rPr>
      <w:b/>
      <w:color w:val="0000FF"/>
      <w:sz w:val="24"/>
    </w:rPr>
  </w:style>
  <w:style w:type="character" w:customStyle="1" w:styleId="308">
    <w:name w:val="表格内容CCW Char"/>
    <w:link w:val="263"/>
    <w:qFormat/>
    <w:uiPriority w:val="0"/>
    <w:rPr>
      <w:kern w:val="2"/>
      <w:sz w:val="24"/>
      <w:szCs w:val="24"/>
    </w:rPr>
  </w:style>
  <w:style w:type="character" w:customStyle="1" w:styleId="309">
    <w:name w:val="表格文本 字符"/>
    <w:basedOn w:val="39"/>
    <w:link w:val="310"/>
    <w:qFormat/>
    <w:uiPriority w:val="0"/>
    <w:rPr>
      <w:rFonts w:cs="宋体"/>
      <w:sz w:val="21"/>
      <w:szCs w:val="22"/>
      <w:lang w:eastAsia="en-US"/>
    </w:rPr>
  </w:style>
  <w:style w:type="paragraph" w:customStyle="1" w:styleId="310">
    <w:name w:val="表格文本"/>
    <w:basedOn w:val="1"/>
    <w:link w:val="309"/>
    <w:qFormat/>
    <w:uiPriority w:val="0"/>
    <w:pPr>
      <w:widowControl w:val="0"/>
      <w:autoSpaceDE w:val="0"/>
      <w:autoSpaceDN w:val="0"/>
      <w:adjustRightInd w:val="0"/>
      <w:snapToGrid w:val="0"/>
      <w:ind w:left="6" w:right="6"/>
      <w:jc w:val="center"/>
    </w:pPr>
    <w:rPr>
      <w:rFonts w:cs="宋体"/>
      <w:kern w:val="0"/>
      <w:szCs w:val="22"/>
      <w:lang w:eastAsia="en-US"/>
    </w:rPr>
  </w:style>
  <w:style w:type="paragraph" w:customStyle="1" w:styleId="311">
    <w:name w:val="表格正文"/>
    <w:qFormat/>
    <w:uiPriority w:val="0"/>
    <w:pPr>
      <w:jc w:val="center"/>
    </w:pPr>
    <w:rPr>
      <w:rFonts w:ascii="Times New Roman" w:hAnsi="Times New Roman" w:eastAsia="宋体" w:cs="Times New Roman"/>
      <w:kern w:val="2"/>
      <w:sz w:val="21"/>
      <w:lang w:val="en-US" w:eastAsia="zh-CN" w:bidi="ar-SA"/>
    </w:rPr>
  </w:style>
  <w:style w:type="paragraph" w:customStyle="1" w:styleId="312">
    <w:name w:val="listparagraph"/>
    <w:basedOn w:val="1"/>
    <w:qFormat/>
    <w:uiPriority w:val="0"/>
    <w:pPr>
      <w:spacing w:before="100" w:beforeAutospacing="1" w:after="100" w:afterAutospacing="1"/>
    </w:pPr>
    <w:rPr>
      <w:rFonts w:ascii="宋体" w:hAnsi="宋体" w:cs="宋体"/>
      <w:kern w:val="0"/>
      <w:sz w:val="24"/>
    </w:rPr>
  </w:style>
  <w:style w:type="character" w:customStyle="1" w:styleId="313">
    <w:name w:val="msoins"/>
    <w:basedOn w:val="39"/>
    <w:qFormat/>
    <w:uiPriority w:val="0"/>
  </w:style>
  <w:style w:type="paragraph" w:customStyle="1" w:styleId="314">
    <w:name w:val="表格标题样式1"/>
    <w:basedOn w:val="1"/>
    <w:qFormat/>
    <w:uiPriority w:val="0"/>
    <w:pPr>
      <w:widowControl w:val="0"/>
      <w:tabs>
        <w:tab w:val="left" w:pos="1701"/>
        <w:tab w:val="left" w:pos="3305"/>
      </w:tabs>
      <w:spacing w:beforeLines="50"/>
      <w:jc w:val="center"/>
    </w:pPr>
    <w:rPr>
      <w:rFonts w:ascii="黑体" w:hAnsi="Calibri" w:eastAsia="黑体"/>
      <w:bCs/>
      <w:szCs w:val="21"/>
    </w:rPr>
  </w:style>
  <w:style w:type="character" w:customStyle="1" w:styleId="315">
    <w:name w:val="文本样式 Char"/>
    <w:basedOn w:val="39"/>
    <w:link w:val="316"/>
    <w:qFormat/>
    <w:uiPriority w:val="0"/>
    <w:rPr>
      <w:rFonts w:cs="宋体"/>
      <w:kern w:val="2"/>
      <w:sz w:val="24"/>
    </w:rPr>
  </w:style>
  <w:style w:type="paragraph" w:customStyle="1" w:styleId="316">
    <w:name w:val="文本样式"/>
    <w:basedOn w:val="1"/>
    <w:link w:val="315"/>
    <w:qFormat/>
    <w:uiPriority w:val="0"/>
    <w:pPr>
      <w:widowControl w:val="0"/>
      <w:spacing w:line="360" w:lineRule="auto"/>
      <w:ind w:firstLine="200" w:firstLineChars="200"/>
      <w:jc w:val="both"/>
    </w:pPr>
    <w:rPr>
      <w:rFonts w:cs="宋体"/>
      <w:sz w:val="24"/>
      <w:szCs w:val="20"/>
    </w:rPr>
  </w:style>
  <w:style w:type="character" w:customStyle="1" w:styleId="317">
    <w:name w:val="5文章(治) Char Char"/>
    <w:link w:val="261"/>
    <w:qFormat/>
    <w:uiPriority w:val="0"/>
    <w:rPr>
      <w:rFonts w:eastAsia="楷体_GB2312"/>
      <w:color w:val="000000"/>
      <w:kern w:val="2"/>
      <w:sz w:val="28"/>
    </w:rPr>
  </w:style>
  <w:style w:type="paragraph" w:customStyle="1" w:styleId="318">
    <w:name w:val="Char Char Char Char Char Char Char Char Char1 Char"/>
    <w:basedOn w:val="1"/>
    <w:qFormat/>
    <w:uiPriority w:val="0"/>
    <w:pPr>
      <w:widowControl w:val="0"/>
      <w:jc w:val="both"/>
    </w:pPr>
    <w:rPr>
      <w:rFonts w:ascii="宋体" w:hAnsi="宋体" w:cs="Courier New"/>
      <w:sz w:val="32"/>
      <w:szCs w:val="32"/>
    </w:rPr>
  </w:style>
  <w:style w:type="character" w:customStyle="1" w:styleId="319">
    <w:name w:val="页眉 Char1"/>
    <w:basedOn w:val="39"/>
    <w:semiHidden/>
    <w:qFormat/>
    <w:uiPriority w:val="99"/>
    <w:rPr>
      <w:rFonts w:ascii="Times New Roman" w:hAnsi="Times New Roman" w:eastAsia="宋体" w:cs="Times New Roman"/>
      <w:kern w:val="0"/>
      <w:sz w:val="18"/>
      <w:szCs w:val="18"/>
    </w:rPr>
  </w:style>
  <w:style w:type="paragraph" w:customStyle="1" w:styleId="320">
    <w:name w:val="表号"/>
    <w:basedOn w:val="1"/>
    <w:qFormat/>
    <w:uiPriority w:val="0"/>
    <w:pPr>
      <w:widowControl w:val="0"/>
      <w:spacing w:line="320" w:lineRule="exact"/>
      <w:ind w:firstLine="200" w:firstLineChars="200"/>
    </w:pPr>
    <w:rPr>
      <w:rFonts w:ascii="Calibri" w:hAnsi="Calibri" w:eastAsia="黑体" w:cs="Calibri"/>
      <w:sz w:val="24"/>
      <w:szCs w:val="22"/>
    </w:rPr>
  </w:style>
  <w:style w:type="character" w:customStyle="1" w:styleId="321">
    <w:name w:val="规范表格目录 Char Char"/>
    <w:link w:val="322"/>
    <w:qFormat/>
    <w:locked/>
    <w:uiPriority w:val="0"/>
    <w:rPr>
      <w:rFonts w:ascii="黑体" w:hAnsi="黑体" w:eastAsia="黑体"/>
      <w:kern w:val="2"/>
      <w:sz w:val="24"/>
      <w:szCs w:val="28"/>
    </w:rPr>
  </w:style>
  <w:style w:type="paragraph" w:customStyle="1" w:styleId="322">
    <w:name w:val="规范表格目录"/>
    <w:basedOn w:val="30"/>
    <w:link w:val="321"/>
    <w:qFormat/>
    <w:uiPriority w:val="0"/>
    <w:pPr>
      <w:widowControl w:val="0"/>
      <w:spacing w:beforeLines="30"/>
      <w:ind w:left="0" w:leftChars="0" w:firstLine="0" w:firstLineChars="0"/>
      <w:jc w:val="center"/>
    </w:pPr>
    <w:rPr>
      <w:rFonts w:ascii="黑体" w:hAnsi="黑体" w:eastAsia="黑体"/>
      <w:sz w:val="24"/>
      <w:szCs w:val="28"/>
    </w:rPr>
  </w:style>
  <w:style w:type="paragraph" w:customStyle="1" w:styleId="323">
    <w:name w:val="11正文格式"/>
    <w:basedOn w:val="117"/>
    <w:qFormat/>
    <w:uiPriority w:val="0"/>
    <w:pPr>
      <w:adjustRightInd w:val="0"/>
      <w:snapToGrid w:val="0"/>
      <w:ind w:firstLine="200"/>
      <w:jc w:val="both"/>
    </w:pPr>
    <w:rPr>
      <w:color w:val="5B9BD5"/>
      <w:kern w:val="0"/>
    </w:rPr>
  </w:style>
  <w:style w:type="paragraph" w:customStyle="1" w:styleId="324">
    <w:name w:val="0表标题"/>
    <w:basedOn w:val="1"/>
    <w:qFormat/>
    <w:uiPriority w:val="0"/>
    <w:pPr>
      <w:adjustRightInd w:val="0"/>
      <w:snapToGrid w:val="0"/>
      <w:jc w:val="center"/>
    </w:pPr>
    <w:rPr>
      <w:rFonts w:ascii="宋体" w:hAnsi="宋体" w:eastAsia="黑体" w:cs="宋体"/>
      <w:color w:val="5B9BD5"/>
      <w:kern w:val="0"/>
      <w:sz w:val="24"/>
    </w:rPr>
  </w:style>
  <w:style w:type="character" w:customStyle="1" w:styleId="325">
    <w:name w:val="三级标题（） Char"/>
    <w:link w:val="326"/>
    <w:qFormat/>
    <w:uiPriority w:val="0"/>
    <w:rPr>
      <w:rFonts w:eastAsia="黑体"/>
      <w:color w:val="5B9BD5"/>
      <w:kern w:val="2"/>
      <w:sz w:val="28"/>
      <w:szCs w:val="30"/>
    </w:rPr>
  </w:style>
  <w:style w:type="paragraph" w:customStyle="1" w:styleId="326">
    <w:name w:val="三级标题（）"/>
    <w:basedOn w:val="1"/>
    <w:link w:val="325"/>
    <w:qFormat/>
    <w:uiPriority w:val="0"/>
    <w:pPr>
      <w:widowControl w:val="0"/>
      <w:tabs>
        <w:tab w:val="left" w:pos="3840"/>
      </w:tabs>
      <w:adjustRightInd w:val="0"/>
      <w:snapToGrid w:val="0"/>
      <w:spacing w:line="360" w:lineRule="auto"/>
      <w:jc w:val="both"/>
      <w:outlineLvl w:val="2"/>
    </w:pPr>
    <w:rPr>
      <w:rFonts w:eastAsia="黑体"/>
      <w:color w:val="5B9BD5"/>
      <w:sz w:val="28"/>
      <w:szCs w:val="30"/>
    </w:rPr>
  </w:style>
  <w:style w:type="character" w:customStyle="1" w:styleId="327">
    <w:name w:val="一级标题（） Char"/>
    <w:link w:val="328"/>
    <w:qFormat/>
    <w:uiPriority w:val="0"/>
    <w:rPr>
      <w:rFonts w:eastAsia="黑体"/>
      <w:bCs/>
      <w:color w:val="5B9BD5"/>
      <w:kern w:val="2"/>
      <w:sz w:val="32"/>
      <w:szCs w:val="28"/>
    </w:rPr>
  </w:style>
  <w:style w:type="paragraph" w:customStyle="1" w:styleId="328">
    <w:name w:val="一级标题（）"/>
    <w:basedOn w:val="1"/>
    <w:link w:val="327"/>
    <w:qFormat/>
    <w:uiPriority w:val="0"/>
    <w:pPr>
      <w:widowControl w:val="0"/>
      <w:adjustRightInd w:val="0"/>
      <w:snapToGrid w:val="0"/>
      <w:spacing w:line="360" w:lineRule="auto"/>
      <w:jc w:val="center"/>
      <w:outlineLvl w:val="0"/>
    </w:pPr>
    <w:rPr>
      <w:rFonts w:eastAsia="黑体"/>
      <w:bCs/>
      <w:color w:val="5B9BD5"/>
      <w:sz w:val="32"/>
      <w:szCs w:val="28"/>
    </w:rPr>
  </w:style>
  <w:style w:type="character" w:customStyle="1" w:styleId="329">
    <w:name w:val="标题 6 字符"/>
    <w:basedOn w:val="39"/>
    <w:link w:val="8"/>
    <w:qFormat/>
    <w:uiPriority w:val="0"/>
    <w:rPr>
      <w:rFonts w:asciiTheme="majorHAnsi" w:hAnsiTheme="majorHAnsi" w:eastAsiaTheme="majorEastAsia" w:cstheme="majorBidi"/>
      <w:b/>
      <w:bCs/>
      <w:kern w:val="2"/>
      <w:sz w:val="24"/>
      <w:szCs w:val="24"/>
    </w:rPr>
  </w:style>
  <w:style w:type="character" w:customStyle="1" w:styleId="330">
    <w:name w:val="规范正文 Char"/>
    <w:link w:val="164"/>
    <w:qFormat/>
    <w:uiPriority w:val="0"/>
    <w:rPr>
      <w:color w:val="000000"/>
      <w:kern w:val="2"/>
      <w:sz w:val="24"/>
      <w:szCs w:val="24"/>
    </w:rPr>
  </w:style>
  <w:style w:type="paragraph" w:customStyle="1" w:styleId="331">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332">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333">
    <w:name w:val="5文章(壹澜)"/>
    <w:basedOn w:val="1"/>
    <w:qFormat/>
    <w:uiPriority w:val="0"/>
    <w:pPr>
      <w:spacing w:line="360" w:lineRule="auto"/>
      <w:ind w:firstLine="560" w:firstLineChars="200"/>
    </w:pPr>
    <w:rPr>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wmf"/><Relationship Id="rId22" Type="http://schemas.openxmlformats.org/officeDocument/2006/relationships/oleObject" Target="embeddings/oleObject5.bin"/><Relationship Id="rId21" Type="http://schemas.openxmlformats.org/officeDocument/2006/relationships/image" Target="media/image7.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35396-7952-413D-9CE4-F4B5ED69A62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35893</Words>
  <Characters>41902</Characters>
  <Lines>2012</Lines>
  <Paragraphs>2295</Paragraphs>
  <TotalTime>7</TotalTime>
  <ScaleCrop>false</ScaleCrop>
  <LinksUpToDate>false</LinksUpToDate>
  <CharactersWithSpaces>42213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2025-08-27T08:22:00Z</dcterms:created>
  <dc:creator>lhj</dc:creator>
  <cp:lastModifiedBy>105</cp:lastModifiedBy>
  <cp:lastPrinted>2023-03-21T07:29:00Z</cp:lastPrinted>
  <dcterms:modified xsi:type="dcterms:W3CDTF">2025-10-13T06:49:34Z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4C382F794B1E4158A9E62483D3609BBF_12</vt:lpwstr>
  </property>
  <property fmtid="{D5CDD505-2E9C-101B-9397-08002B2CF9AE}" pid="4" name="KSOTemplateDocerSaveRecord">
    <vt:lpwstr>eyJoZGlkIjoiZTEyNjE0ODkzMDI3NzVmZjQ2OTI3NjUzM2FhYTY0MzgiLCJ1c2VySWQiOiI2MDMwMDY1MTMifQ==</vt:lpwstr>
  </property>
</Properties>
</file>