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_GBK" w:eastAsia="方正小标宋_GBK"/>
          <w:bCs/>
          <w:color w:val="000000"/>
          <w:sz w:val="72"/>
          <w:szCs w:val="72"/>
        </w:rPr>
      </w:pPr>
      <w:bookmarkStart w:id="0" w:name="_Hlk140082392"/>
      <w:r>
        <w:rPr>
          <w:rFonts w:ascii="方正小标宋_GBK" w:eastAsia="方正小标宋_GBK"/>
          <w:bCs/>
          <w:color w:val="000000"/>
          <w:sz w:val="72"/>
          <w:szCs w:val="72"/>
        </w:rPr>
        <w:drawing>
          <wp:anchor distT="0" distB="0" distL="114300" distR="114300" simplePos="0" relativeHeight="251663360" behindDoc="0" locked="0" layoutInCell="1" allowOverlap="1">
            <wp:simplePos x="0" y="0"/>
            <wp:positionH relativeFrom="page">
              <wp:align>left</wp:align>
            </wp:positionH>
            <wp:positionV relativeFrom="paragraph">
              <wp:posOffset>-1061085</wp:posOffset>
            </wp:positionV>
            <wp:extent cx="7560310" cy="10682605"/>
            <wp:effectExtent l="0" t="0" r="3175" b="4445"/>
            <wp:wrapNone/>
            <wp:docPr id="4663319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3195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560000" cy="10682646"/>
                    </a:xfrm>
                    <a:prstGeom prst="rect">
                      <a:avLst/>
                    </a:prstGeom>
                    <a:noFill/>
                    <a:ln>
                      <a:noFill/>
                    </a:ln>
                  </pic:spPr>
                </pic:pic>
              </a:graphicData>
            </a:graphic>
          </wp:anchor>
        </w:drawing>
      </w:r>
    </w:p>
    <w:p>
      <w:pPr>
        <w:jc w:val="center"/>
        <w:outlineLvl w:val="0"/>
        <w:rPr>
          <w:rFonts w:ascii="方正小标宋_GBK" w:eastAsia="方正小标宋_GBK"/>
          <w:bCs/>
          <w:color w:val="000000"/>
          <w:sz w:val="72"/>
          <w:szCs w:val="72"/>
        </w:rPr>
      </w:pPr>
    </w:p>
    <w:p>
      <w:pPr>
        <w:jc w:val="center"/>
        <w:outlineLvl w:val="0"/>
        <w:rPr>
          <w:rFonts w:ascii="方正小标宋_GBK" w:eastAsia="方正小标宋_GBK"/>
          <w:bCs/>
          <w:color w:val="000000"/>
          <w:sz w:val="72"/>
          <w:szCs w:val="72"/>
        </w:rPr>
      </w:pPr>
      <w:r>
        <w:rPr>
          <w:rFonts w:hint="eastAsia" w:ascii="方正小标宋_GBK" w:eastAsia="方正小标宋_GBK"/>
          <w:bCs/>
          <w:color w:val="000000"/>
          <w:sz w:val="72"/>
          <w:szCs w:val="72"/>
        </w:rPr>
        <w:t>建设项目环境影响报告表</w:t>
      </w:r>
    </w:p>
    <w:p>
      <w:pPr>
        <w:spacing w:before="192" w:beforeLines="80"/>
        <w:jc w:val="center"/>
        <w:rPr>
          <w:rFonts w:ascii="楷体_GB2312" w:eastAsia="楷体_GB2312"/>
          <w:bCs/>
          <w:color w:val="000000"/>
          <w:sz w:val="48"/>
          <w:szCs w:val="48"/>
        </w:rPr>
      </w:pPr>
      <w:r>
        <w:rPr>
          <w:rFonts w:hint="eastAsia" w:ascii="楷体_GB2312" w:eastAsia="楷体_GB2312"/>
          <w:bCs/>
          <w:color w:val="000000"/>
          <w:sz w:val="48"/>
          <w:szCs w:val="48"/>
        </w:rPr>
        <w:t>（污染影响类）</w:t>
      </w:r>
    </w:p>
    <w:p>
      <w:pPr>
        <w:ind w:firstLine="1040"/>
        <w:jc w:val="center"/>
        <w:rPr>
          <w:rFonts w:eastAsia="仿宋"/>
          <w:color w:val="000000"/>
          <w:sz w:val="52"/>
          <w:szCs w:val="52"/>
        </w:rPr>
      </w:pPr>
    </w:p>
    <w:p>
      <w:pPr>
        <w:ind w:firstLine="880"/>
        <w:rPr>
          <w:rFonts w:eastAsia="仿宋"/>
          <w:color w:val="000000"/>
          <w:sz w:val="44"/>
          <w:szCs w:val="44"/>
        </w:rPr>
      </w:pPr>
    </w:p>
    <w:p>
      <w:pPr>
        <w:ind w:firstLine="880"/>
        <w:rPr>
          <w:rFonts w:eastAsia="仿宋"/>
          <w:color w:val="000000"/>
          <w:sz w:val="44"/>
          <w:szCs w:val="44"/>
        </w:rPr>
      </w:pPr>
    </w:p>
    <w:p>
      <w:pPr>
        <w:ind w:firstLine="880"/>
        <w:rPr>
          <w:rFonts w:eastAsia="仿宋"/>
          <w:color w:val="000000"/>
          <w:sz w:val="44"/>
          <w:szCs w:val="44"/>
        </w:rPr>
      </w:pPr>
    </w:p>
    <w:p>
      <w:pPr>
        <w:spacing w:line="288" w:lineRule="auto"/>
        <w:ind w:firstLine="720" w:firstLineChars="200"/>
        <w:rPr>
          <w:rFonts w:eastAsia="仿宋_GB2312"/>
          <w:color w:val="000000"/>
          <w:sz w:val="36"/>
          <w:szCs w:val="36"/>
          <w:u w:val="single"/>
        </w:rPr>
      </w:pPr>
      <w:r>
        <w:rPr>
          <w:rFonts w:eastAsia="仿宋_GB2312"/>
          <w:color w:val="000000"/>
          <w:sz w:val="36"/>
          <w:szCs w:val="36"/>
        </w:rPr>
        <w:t>项目名称：</w:t>
      </w:r>
      <w:r>
        <w:rPr>
          <w:rFonts w:hint="eastAsia" w:eastAsia="仿宋_GB2312"/>
          <w:color w:val="000000"/>
          <w:sz w:val="36"/>
          <w:szCs w:val="36"/>
          <w:u w:val="single"/>
        </w:rPr>
        <w:t>福州市非凡新材料科技有限公司年加工</w:t>
      </w:r>
    </w:p>
    <w:p>
      <w:pPr>
        <w:spacing w:line="288" w:lineRule="auto"/>
        <w:ind w:firstLine="2520" w:firstLineChars="700"/>
        <w:rPr>
          <w:rFonts w:eastAsia="仿宋_GB2312"/>
          <w:color w:val="000000"/>
          <w:sz w:val="36"/>
          <w:szCs w:val="36"/>
          <w:u w:val="single"/>
        </w:rPr>
      </w:pPr>
      <w:r>
        <w:rPr>
          <w:rFonts w:hint="eastAsia" w:eastAsia="仿宋_GB2312"/>
          <w:color w:val="000000"/>
          <w:sz w:val="36"/>
          <w:szCs w:val="36"/>
          <w:u w:val="single"/>
        </w:rPr>
        <w:t xml:space="preserve"> </w:t>
      </w:r>
      <w:r>
        <w:rPr>
          <w:rFonts w:eastAsia="仿宋_GB2312"/>
          <w:color w:val="000000"/>
          <w:sz w:val="36"/>
          <w:szCs w:val="36"/>
          <w:u w:val="single"/>
        </w:rPr>
        <w:t xml:space="preserve">   </w:t>
      </w:r>
      <w:r>
        <w:rPr>
          <w:rFonts w:hint="eastAsia" w:eastAsia="仿宋_GB2312"/>
          <w:color w:val="000000"/>
          <w:sz w:val="36"/>
          <w:szCs w:val="36"/>
          <w:u w:val="single"/>
        </w:rPr>
        <w:t xml:space="preserve">   EVA塑料颗粒850吨  </w:t>
      </w:r>
      <w:r>
        <w:rPr>
          <w:rFonts w:eastAsia="仿宋_GB2312"/>
          <w:color w:val="000000"/>
          <w:sz w:val="36"/>
          <w:szCs w:val="36"/>
          <w:u w:val="single"/>
        </w:rPr>
        <w:t xml:space="preserve"> </w:t>
      </w:r>
      <w:r>
        <w:rPr>
          <w:rFonts w:hint="eastAsia" w:eastAsia="仿宋_GB2312"/>
          <w:color w:val="000000"/>
          <w:sz w:val="36"/>
          <w:szCs w:val="36"/>
          <w:u w:val="single"/>
        </w:rPr>
        <w:t xml:space="preserve"> </w:t>
      </w:r>
      <w:r>
        <w:rPr>
          <w:rFonts w:eastAsia="仿宋_GB2312"/>
          <w:color w:val="000000"/>
          <w:sz w:val="36"/>
          <w:szCs w:val="36"/>
          <w:u w:val="single"/>
        </w:rPr>
        <w:t xml:space="preserve">   </w:t>
      </w:r>
      <w:r>
        <w:rPr>
          <w:rFonts w:hint="eastAsia" w:eastAsia="仿宋_GB2312"/>
          <w:color w:val="000000"/>
          <w:sz w:val="36"/>
          <w:szCs w:val="36"/>
          <w:u w:val="single"/>
        </w:rPr>
        <w:t xml:space="preserve"> </w:t>
      </w:r>
    </w:p>
    <w:p>
      <w:pPr>
        <w:spacing w:line="288" w:lineRule="auto"/>
        <w:ind w:firstLine="720" w:firstLineChars="200"/>
        <w:rPr>
          <w:rFonts w:eastAsia="仿宋_GB2312"/>
          <w:color w:val="000000"/>
          <w:sz w:val="36"/>
          <w:szCs w:val="36"/>
          <w:u w:val="single"/>
        </w:rPr>
      </w:pPr>
      <w:r>
        <w:rPr>
          <w:rFonts w:eastAsia="仿宋_GB2312"/>
          <w:color w:val="000000"/>
          <w:sz w:val="36"/>
          <w:szCs w:val="36"/>
        </w:rPr>
        <w:t>建设单位(盖章)：</w:t>
      </w:r>
      <w:r>
        <w:rPr>
          <w:rFonts w:hint="eastAsia" w:eastAsia="仿宋_GB2312"/>
          <w:color w:val="000000"/>
          <w:sz w:val="36"/>
          <w:szCs w:val="36"/>
          <w:u w:val="single"/>
        </w:rPr>
        <w:t>福州市非凡新材料科技有限公司</w:t>
      </w:r>
    </w:p>
    <w:p>
      <w:pPr>
        <w:spacing w:line="288" w:lineRule="auto"/>
        <w:ind w:firstLine="720" w:firstLineChars="200"/>
        <w:rPr>
          <w:rFonts w:eastAsia="仿宋_GB2312"/>
          <w:color w:val="000000"/>
          <w:sz w:val="36"/>
          <w:szCs w:val="36"/>
          <w:u w:val="single"/>
        </w:rPr>
      </w:pPr>
      <w:r>
        <w:rPr>
          <w:rFonts w:eastAsia="仿宋_GB2312"/>
          <w:color w:val="000000"/>
          <w:sz w:val="36"/>
          <w:szCs w:val="36"/>
        </w:rPr>
        <w:t>编制日期：</w:t>
      </w:r>
      <w:r>
        <w:rPr>
          <w:rFonts w:eastAsia="仿宋_GB2312"/>
          <w:color w:val="000000"/>
          <w:sz w:val="36"/>
          <w:szCs w:val="36"/>
          <w:u w:val="single"/>
        </w:rPr>
        <w:t xml:space="preserve">           202</w:t>
      </w:r>
      <w:r>
        <w:rPr>
          <w:rFonts w:hint="eastAsia" w:eastAsia="仿宋_GB2312"/>
          <w:color w:val="000000"/>
          <w:sz w:val="36"/>
          <w:szCs w:val="36"/>
          <w:u w:val="single"/>
        </w:rPr>
        <w:t>4</w:t>
      </w:r>
      <w:r>
        <w:rPr>
          <w:rFonts w:eastAsia="仿宋_GB2312"/>
          <w:color w:val="000000"/>
          <w:sz w:val="36"/>
          <w:szCs w:val="36"/>
          <w:u w:val="single"/>
        </w:rPr>
        <w:t>年</w:t>
      </w:r>
      <w:r>
        <w:rPr>
          <w:rFonts w:hint="eastAsia" w:eastAsia="仿宋_GB2312"/>
          <w:color w:val="000000"/>
          <w:sz w:val="36"/>
          <w:szCs w:val="36"/>
          <w:u w:val="single"/>
        </w:rPr>
        <w:t>10</w:t>
      </w:r>
      <w:r>
        <w:rPr>
          <w:rFonts w:eastAsia="仿宋_GB2312"/>
          <w:color w:val="000000"/>
          <w:sz w:val="36"/>
          <w:szCs w:val="36"/>
          <w:u w:val="single"/>
        </w:rPr>
        <w:t xml:space="preserve">月       </w:t>
      </w:r>
      <w:r>
        <w:rPr>
          <w:rFonts w:hint="eastAsia" w:eastAsia="仿宋_GB2312"/>
          <w:color w:val="000000"/>
          <w:sz w:val="36"/>
          <w:szCs w:val="36"/>
          <w:u w:val="single"/>
        </w:rPr>
        <w:t xml:space="preserve">   </w:t>
      </w:r>
    </w:p>
    <w:p>
      <w:pPr>
        <w:spacing w:line="288" w:lineRule="auto"/>
        <w:ind w:firstLine="720"/>
        <w:rPr>
          <w:rFonts w:eastAsia="仿宋_GB2312"/>
          <w:color w:val="000000"/>
          <w:sz w:val="36"/>
          <w:szCs w:val="36"/>
          <w:u w:val="single"/>
        </w:rPr>
      </w:pPr>
      <w:bookmarkStart w:id="1" w:name="_Hlk57884087"/>
    </w:p>
    <w:p>
      <w:pPr>
        <w:spacing w:line="288" w:lineRule="auto"/>
        <w:ind w:firstLine="720"/>
        <w:rPr>
          <w:rFonts w:eastAsia="仿宋_GB2312"/>
          <w:color w:val="000000"/>
          <w:sz w:val="36"/>
          <w:szCs w:val="36"/>
        </w:rPr>
      </w:pPr>
    </w:p>
    <w:p>
      <w:pPr>
        <w:spacing w:line="288" w:lineRule="auto"/>
        <w:ind w:firstLine="720"/>
        <w:rPr>
          <w:rFonts w:eastAsia="仿宋_GB2312"/>
          <w:color w:val="000000"/>
          <w:sz w:val="36"/>
          <w:szCs w:val="36"/>
        </w:rPr>
      </w:pPr>
    </w:p>
    <w:p>
      <w:pPr>
        <w:spacing w:line="288" w:lineRule="auto"/>
        <w:ind w:firstLine="720"/>
        <w:rPr>
          <w:rFonts w:eastAsia="仿宋_GB2312"/>
          <w:color w:val="000000"/>
          <w:sz w:val="36"/>
          <w:szCs w:val="36"/>
        </w:rPr>
      </w:pPr>
    </w:p>
    <w:bookmarkEnd w:id="1"/>
    <w:p>
      <w:pPr>
        <w:spacing w:line="288" w:lineRule="auto"/>
        <w:ind w:firstLine="720"/>
        <w:jc w:val="center"/>
        <w:rPr>
          <w:snapToGrid w:val="0"/>
          <w:color w:val="000000"/>
        </w:rPr>
      </w:pPr>
      <w:r>
        <w:rPr>
          <w:rFonts w:eastAsia="楷体_GB2312"/>
          <w:color w:val="000000"/>
          <w:sz w:val="36"/>
          <w:szCs w:val="36"/>
        </w:rPr>
        <w:t>中华人民共和国生态环境部制</w:t>
      </w:r>
      <w:bookmarkEnd w:id="0"/>
    </w:p>
    <w:p>
      <w:pPr>
        <w:pStyle w:val="88"/>
        <w:rPr>
          <w:snapToGrid w:val="0"/>
          <w:color w:val="000000"/>
        </w:rPr>
      </w:pPr>
    </w:p>
    <w:p>
      <w:pPr>
        <w:pStyle w:val="88"/>
        <w:rPr>
          <w:snapToGrid w:val="0"/>
          <w:color w:val="000000"/>
        </w:rPr>
      </w:pPr>
    </w:p>
    <w:p>
      <w:pPr>
        <w:pStyle w:val="88"/>
        <w:rPr>
          <w:snapToGrid w:val="0"/>
          <w:color w:val="000000"/>
        </w:rPr>
      </w:pPr>
    </w:p>
    <w:p>
      <w:pPr>
        <w:pStyle w:val="88"/>
        <w:rPr>
          <w:snapToGrid w:val="0"/>
          <w:color w:val="000000"/>
        </w:rPr>
      </w:pPr>
    </w:p>
    <w:p>
      <w:pPr>
        <w:pStyle w:val="88"/>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88"/>
        <w:ind w:firstLine="0" w:firstLineChars="0"/>
        <w:rPr>
          <w:snapToGrid w:val="0"/>
          <w:color w:val="000000"/>
        </w:rPr>
      </w:pPr>
    </w:p>
    <w:p>
      <w:pPr>
        <w:pStyle w:val="17"/>
        <w:jc w:val="center"/>
        <w:outlineLvl w:val="0"/>
        <w:rPr>
          <w:rFonts w:ascii="Times New Roman" w:hAnsi="Times New Roman" w:eastAsia="黑体"/>
          <w:snapToGrid w:val="0"/>
          <w:color w:val="000000"/>
          <w:sz w:val="30"/>
          <w:szCs w:val="30"/>
          <w:lang w:eastAsia="zh-CN"/>
        </w:rPr>
        <w:sectPr>
          <w:footerReference r:id="rId3" w:type="default"/>
          <w:pgSz w:w="11906" w:h="16838"/>
          <w:pgMar w:top="1701" w:right="1531" w:bottom="1701" w:left="1531" w:header="851" w:footer="1077" w:gutter="0"/>
          <w:pgNumType w:start="1"/>
          <w:cols w:space="720" w:num="1"/>
          <w:docGrid w:linePitch="312" w:charSpace="0"/>
        </w:sectPr>
      </w:pPr>
    </w:p>
    <w:p>
      <w:pPr>
        <w:pStyle w:val="1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82"/>
        <w:gridCol w:w="1637"/>
        <w:gridCol w:w="105"/>
        <w:gridCol w:w="2107"/>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sz w:val="24"/>
              </w:rPr>
            </w:pPr>
            <w:bookmarkStart w:id="2" w:name="_Hlk210934524"/>
            <w:r>
              <w:rPr>
                <w:color w:val="000000"/>
                <w:sz w:val="24"/>
              </w:rPr>
              <w:t>建设项目名称</w:t>
            </w:r>
          </w:p>
        </w:tc>
        <w:tc>
          <w:tcPr>
            <w:tcW w:w="6488" w:type="dxa"/>
            <w:gridSpan w:val="4"/>
            <w:vAlign w:val="center"/>
          </w:tcPr>
          <w:p>
            <w:pPr>
              <w:adjustRightInd w:val="0"/>
              <w:snapToGrid w:val="0"/>
              <w:jc w:val="center"/>
              <w:rPr>
                <w:color w:val="000000"/>
                <w:sz w:val="24"/>
              </w:rPr>
            </w:pPr>
            <w:bookmarkStart w:id="3" w:name="_Hlk210934540"/>
            <w:bookmarkStart w:id="4" w:name="项目名称"/>
            <w:r>
              <w:rPr>
                <w:rFonts w:hint="eastAsia"/>
                <w:color w:val="000000"/>
                <w:sz w:val="24"/>
              </w:rPr>
              <w:t>福州市非凡新材料科技有限公司年加工EVA塑料颗粒850</w:t>
            </w:r>
            <w:bookmarkEnd w:id="3"/>
            <w:r>
              <w:rPr>
                <w:rFonts w:hint="eastAsia"/>
                <w:color w:val="000000"/>
                <w:sz w:val="24"/>
              </w:rPr>
              <w:t>吨</w:t>
            </w:r>
            <w:bookmarkEnd w:id="4"/>
          </w:p>
        </w:tc>
      </w:tr>
      <w:bookmarkEnd w:id="2"/>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项目代码</w:t>
            </w:r>
          </w:p>
        </w:tc>
        <w:tc>
          <w:tcPr>
            <w:tcW w:w="6488" w:type="dxa"/>
            <w:gridSpan w:val="4"/>
            <w:vAlign w:val="center"/>
          </w:tcPr>
          <w:p>
            <w:pPr>
              <w:adjustRightInd w:val="0"/>
              <w:snapToGrid w:val="0"/>
              <w:jc w:val="center"/>
              <w:rPr>
                <w:color w:val="000000"/>
                <w:sz w:val="24"/>
              </w:rPr>
            </w:pPr>
            <w:r>
              <w:rPr>
                <w:color w:val="000000"/>
                <w:sz w:val="24"/>
              </w:rPr>
              <w:t>2</w:t>
            </w:r>
            <w:r>
              <w:rPr>
                <w:rFonts w:hint="eastAsia"/>
                <w:color w:val="000000"/>
                <w:sz w:val="24"/>
              </w:rPr>
              <w:t>509</w:t>
            </w:r>
            <w:r>
              <w:rPr>
                <w:color w:val="000000"/>
                <w:sz w:val="24"/>
              </w:rPr>
              <w:t>-350181-04-01-</w:t>
            </w:r>
            <w:r>
              <w:rPr>
                <w:rFonts w:hint="eastAsia"/>
                <w:color w:val="000000"/>
                <w:sz w:val="24"/>
              </w:rPr>
              <w:t>2722887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建设单位联系人</w:t>
            </w:r>
          </w:p>
        </w:tc>
        <w:tc>
          <w:tcPr>
            <w:tcW w:w="1637"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2212" w:type="dxa"/>
            <w:gridSpan w:val="2"/>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2639"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建设地点</w:t>
            </w:r>
          </w:p>
        </w:tc>
        <w:tc>
          <w:tcPr>
            <w:tcW w:w="6488" w:type="dxa"/>
            <w:gridSpan w:val="4"/>
            <w:vAlign w:val="center"/>
          </w:tcPr>
          <w:p>
            <w:pPr>
              <w:adjustRightInd w:val="0"/>
              <w:snapToGrid w:val="0"/>
              <w:jc w:val="center"/>
              <w:rPr>
                <w:color w:val="000000"/>
                <w:sz w:val="24"/>
              </w:rPr>
            </w:pPr>
            <w:bookmarkStart w:id="5" w:name="建设地点"/>
            <w:r>
              <w:rPr>
                <w:color w:val="000000"/>
                <w:sz w:val="24"/>
              </w:rPr>
              <w:t>福清融侨经济技术开发区</w:t>
            </w:r>
            <w:r>
              <w:rPr>
                <w:rFonts w:hint="eastAsia"/>
                <w:color w:val="000000"/>
                <w:sz w:val="24"/>
              </w:rPr>
              <w:t>（租赁福清市友谊包装材料有限公司</w:t>
            </w:r>
            <w:bookmarkStart w:id="6" w:name="_Hlk210934594"/>
            <w:r>
              <w:rPr>
                <w:rFonts w:hint="eastAsia"/>
                <w:color w:val="000000"/>
                <w:sz w:val="24"/>
              </w:rPr>
              <w:t>7号厂房一层</w:t>
            </w:r>
            <w:bookmarkEnd w:id="6"/>
            <w:r>
              <w:rPr>
                <w:rFonts w:hint="eastAsia"/>
                <w:color w:val="000000"/>
                <w:sz w:val="24"/>
              </w:rPr>
              <w:t>西侧）</w:t>
            </w:r>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地理坐标</w:t>
            </w:r>
          </w:p>
        </w:tc>
        <w:tc>
          <w:tcPr>
            <w:tcW w:w="6488" w:type="dxa"/>
            <w:gridSpan w:val="4"/>
            <w:vAlign w:val="center"/>
          </w:tcPr>
          <w:p>
            <w:pPr>
              <w:jc w:val="center"/>
              <w:rPr>
                <w:color w:val="000000"/>
                <w:sz w:val="24"/>
              </w:rPr>
            </w:pPr>
            <w:r>
              <w:rPr>
                <w:color w:val="000000"/>
                <w:kern w:val="21"/>
                <w:sz w:val="24"/>
              </w:rPr>
              <w:t>（</w:t>
            </w:r>
            <w:r>
              <w:rPr>
                <w:color w:val="000000"/>
                <w:kern w:val="21"/>
                <w:sz w:val="24"/>
                <w:u w:val="single"/>
              </w:rPr>
              <w:t xml:space="preserve"> 11</w:t>
            </w:r>
            <w:r>
              <w:rPr>
                <w:rFonts w:hint="eastAsia"/>
                <w:color w:val="000000"/>
                <w:kern w:val="21"/>
                <w:sz w:val="24"/>
                <w:u w:val="single"/>
              </w:rPr>
              <w:t>9</w:t>
            </w:r>
            <w:r>
              <w:rPr>
                <w:color w:val="000000"/>
                <w:kern w:val="21"/>
                <w:sz w:val="24"/>
                <w:u w:val="single"/>
              </w:rPr>
              <w:t xml:space="preserve"> </w:t>
            </w:r>
            <w:r>
              <w:rPr>
                <w:color w:val="000000"/>
                <w:kern w:val="21"/>
                <w:sz w:val="24"/>
              </w:rPr>
              <w:t>度</w:t>
            </w:r>
            <w:r>
              <w:rPr>
                <w:color w:val="000000"/>
                <w:kern w:val="21"/>
                <w:sz w:val="24"/>
                <w:u w:val="single"/>
              </w:rPr>
              <w:t xml:space="preserve"> </w:t>
            </w:r>
            <w:r>
              <w:rPr>
                <w:rFonts w:hint="eastAsia"/>
                <w:color w:val="000000"/>
                <w:kern w:val="21"/>
                <w:sz w:val="24"/>
                <w:u w:val="single"/>
              </w:rPr>
              <w:t>21</w:t>
            </w:r>
            <w:r>
              <w:rPr>
                <w:color w:val="000000"/>
                <w:kern w:val="21"/>
                <w:sz w:val="24"/>
                <w:u w:val="single"/>
              </w:rPr>
              <w:t xml:space="preserve"> </w:t>
            </w:r>
            <w:r>
              <w:rPr>
                <w:color w:val="000000"/>
                <w:kern w:val="21"/>
                <w:sz w:val="24"/>
              </w:rPr>
              <w:t>分</w:t>
            </w:r>
            <w:r>
              <w:rPr>
                <w:color w:val="000000"/>
                <w:kern w:val="21"/>
                <w:sz w:val="24"/>
                <w:u w:val="single"/>
              </w:rPr>
              <w:t xml:space="preserve"> </w:t>
            </w:r>
            <w:r>
              <w:rPr>
                <w:rFonts w:hint="eastAsia"/>
                <w:color w:val="000000"/>
                <w:kern w:val="21"/>
                <w:sz w:val="24"/>
                <w:u w:val="single"/>
              </w:rPr>
              <w:t>7.173</w:t>
            </w:r>
            <w:r>
              <w:rPr>
                <w:color w:val="000000"/>
                <w:kern w:val="21"/>
                <w:sz w:val="24"/>
                <w:u w:val="single"/>
              </w:rPr>
              <w:t xml:space="preserve"> </w:t>
            </w:r>
            <w:r>
              <w:rPr>
                <w:color w:val="000000"/>
                <w:kern w:val="21"/>
                <w:sz w:val="24"/>
              </w:rPr>
              <w:t>秒，</w:t>
            </w:r>
            <w:r>
              <w:rPr>
                <w:color w:val="000000"/>
                <w:kern w:val="21"/>
                <w:sz w:val="24"/>
                <w:u w:val="single"/>
              </w:rPr>
              <w:t xml:space="preserve"> 25 </w:t>
            </w:r>
            <w:r>
              <w:rPr>
                <w:color w:val="000000"/>
                <w:kern w:val="21"/>
                <w:sz w:val="24"/>
              </w:rPr>
              <w:t>度</w:t>
            </w:r>
            <w:r>
              <w:rPr>
                <w:color w:val="000000"/>
                <w:kern w:val="21"/>
                <w:sz w:val="24"/>
                <w:u w:val="single"/>
              </w:rPr>
              <w:t xml:space="preserve"> 4</w:t>
            </w:r>
            <w:r>
              <w:rPr>
                <w:rFonts w:hint="eastAsia"/>
                <w:color w:val="000000"/>
                <w:kern w:val="21"/>
                <w:sz w:val="24"/>
                <w:u w:val="single"/>
              </w:rPr>
              <w:t>5</w:t>
            </w:r>
            <w:r>
              <w:rPr>
                <w:color w:val="000000"/>
                <w:kern w:val="21"/>
                <w:sz w:val="24"/>
                <w:u w:val="single"/>
              </w:rPr>
              <w:t xml:space="preserve"> </w:t>
            </w:r>
            <w:r>
              <w:rPr>
                <w:color w:val="000000"/>
                <w:kern w:val="21"/>
                <w:sz w:val="24"/>
              </w:rPr>
              <w:t>分</w:t>
            </w:r>
            <w:r>
              <w:rPr>
                <w:color w:val="000000"/>
                <w:kern w:val="21"/>
                <w:sz w:val="24"/>
                <w:u w:val="single"/>
              </w:rPr>
              <w:t xml:space="preserve"> </w:t>
            </w:r>
            <w:r>
              <w:rPr>
                <w:rFonts w:hint="eastAsia"/>
                <w:color w:val="000000"/>
                <w:kern w:val="21"/>
                <w:sz w:val="24"/>
                <w:u w:val="single"/>
              </w:rPr>
              <w:t>56.749</w:t>
            </w:r>
            <w:r>
              <w:rPr>
                <w:color w:val="000000"/>
                <w:kern w:val="21"/>
                <w:sz w:val="24"/>
                <w:u w:val="single"/>
              </w:rPr>
              <w:t xml:space="preserve"> </w:t>
            </w:r>
            <w:r>
              <w:rPr>
                <w:color w:val="000000"/>
                <w:kern w:val="21"/>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国民经济</w:t>
            </w:r>
          </w:p>
          <w:p>
            <w:pPr>
              <w:adjustRightInd w:val="0"/>
              <w:snapToGrid w:val="0"/>
              <w:jc w:val="center"/>
              <w:rPr>
                <w:color w:val="000000"/>
                <w:sz w:val="24"/>
              </w:rPr>
            </w:pPr>
            <w:r>
              <w:rPr>
                <w:color w:val="000000"/>
                <w:sz w:val="24"/>
              </w:rPr>
              <w:t>行业类别</w:t>
            </w:r>
          </w:p>
        </w:tc>
        <w:tc>
          <w:tcPr>
            <w:tcW w:w="1742" w:type="dxa"/>
            <w:gridSpan w:val="2"/>
            <w:vAlign w:val="center"/>
          </w:tcPr>
          <w:p>
            <w:pPr>
              <w:jc w:val="center"/>
              <w:rPr>
                <w:color w:val="000000"/>
                <w:sz w:val="24"/>
              </w:rPr>
            </w:pPr>
            <w:r>
              <w:rPr>
                <w:rFonts w:hint="eastAsia"/>
                <w:color w:val="000000"/>
                <w:sz w:val="24"/>
              </w:rPr>
              <w:t>C2929其他塑料制品制</w:t>
            </w:r>
          </w:p>
        </w:tc>
        <w:tc>
          <w:tcPr>
            <w:tcW w:w="2107" w:type="dxa"/>
            <w:vAlign w:val="center"/>
          </w:tcPr>
          <w:p>
            <w:pPr>
              <w:jc w:val="center"/>
              <w:rPr>
                <w:color w:val="000000"/>
                <w:sz w:val="24"/>
              </w:rPr>
            </w:pPr>
            <w:bookmarkStart w:id="7" w:name="_Hlk49843745"/>
            <w:r>
              <w:rPr>
                <w:color w:val="000000"/>
                <w:sz w:val="24"/>
              </w:rPr>
              <w:t>建设项目</w:t>
            </w:r>
          </w:p>
          <w:p>
            <w:pPr>
              <w:adjustRightInd w:val="0"/>
              <w:snapToGrid w:val="0"/>
              <w:jc w:val="center"/>
              <w:rPr>
                <w:color w:val="000000"/>
                <w:sz w:val="24"/>
              </w:rPr>
            </w:pPr>
            <w:r>
              <w:rPr>
                <w:color w:val="000000"/>
                <w:sz w:val="24"/>
              </w:rPr>
              <w:t>行业类别</w:t>
            </w:r>
            <w:bookmarkEnd w:id="7"/>
          </w:p>
        </w:tc>
        <w:tc>
          <w:tcPr>
            <w:tcW w:w="2639" w:type="dxa"/>
            <w:vAlign w:val="center"/>
          </w:tcPr>
          <w:p>
            <w:pPr>
              <w:jc w:val="left"/>
              <w:rPr>
                <w:color w:val="000000"/>
                <w:sz w:val="24"/>
              </w:rPr>
            </w:pPr>
            <w:r>
              <w:rPr>
                <w:rFonts w:hint="eastAsia"/>
                <w:color w:val="000000"/>
                <w:sz w:val="24"/>
              </w:rPr>
              <w:t>二十六、橡胶和塑料制品业、53 塑料制品业中其他类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建设性质</w:t>
            </w:r>
          </w:p>
        </w:tc>
        <w:tc>
          <w:tcPr>
            <w:tcW w:w="1742" w:type="dxa"/>
            <w:gridSpan w:val="2"/>
            <w:vAlign w:val="center"/>
          </w:tcPr>
          <w:p>
            <w:pPr>
              <w:jc w:val="left"/>
              <w:rPr>
                <w:color w:val="000000"/>
                <w:sz w:val="24"/>
              </w:rPr>
            </w:pPr>
            <w:r>
              <w:rPr>
                <w:color w:val="000000"/>
                <w:sz w:val="24"/>
              </w:rPr>
              <w:sym w:font="Wingdings" w:char="F0FE"/>
            </w:r>
            <w:r>
              <w:rPr>
                <w:color w:val="000000"/>
                <w:sz w:val="24"/>
              </w:rPr>
              <w:t>新建（迁建）</w:t>
            </w:r>
          </w:p>
          <w:p>
            <w:pPr>
              <w:jc w:val="left"/>
              <w:rPr>
                <w:color w:val="000000"/>
                <w:sz w:val="24"/>
              </w:rPr>
            </w:pPr>
            <w:r>
              <w:rPr>
                <w:color w:val="000000"/>
                <w:sz w:val="24"/>
              </w:rPr>
              <w:t>□改建</w:t>
            </w:r>
          </w:p>
          <w:p>
            <w:pPr>
              <w:jc w:val="left"/>
              <w:rPr>
                <w:color w:val="000000"/>
                <w:sz w:val="24"/>
              </w:rPr>
            </w:pPr>
            <w:r>
              <w:rPr>
                <w:color w:val="000000"/>
                <w:sz w:val="24"/>
              </w:rPr>
              <w:t>□扩建</w:t>
            </w:r>
          </w:p>
          <w:p>
            <w:pPr>
              <w:jc w:val="left"/>
              <w:rPr>
                <w:color w:val="000000"/>
                <w:sz w:val="24"/>
              </w:rPr>
            </w:pPr>
            <w:r>
              <w:rPr>
                <w:color w:val="000000"/>
                <w:sz w:val="24"/>
              </w:rPr>
              <w:t>□技术改造</w:t>
            </w:r>
          </w:p>
        </w:tc>
        <w:tc>
          <w:tcPr>
            <w:tcW w:w="2107" w:type="dxa"/>
            <w:vAlign w:val="center"/>
          </w:tcPr>
          <w:p>
            <w:pPr>
              <w:adjustRightInd w:val="0"/>
              <w:snapToGrid w:val="0"/>
              <w:jc w:val="center"/>
              <w:rPr>
                <w:color w:val="000000"/>
                <w:sz w:val="24"/>
              </w:rPr>
            </w:pPr>
            <w:r>
              <w:rPr>
                <w:color w:val="000000"/>
                <w:sz w:val="24"/>
              </w:rPr>
              <w:t>建设项目</w:t>
            </w:r>
          </w:p>
          <w:p>
            <w:pPr>
              <w:adjustRightInd w:val="0"/>
              <w:snapToGrid w:val="0"/>
              <w:jc w:val="center"/>
              <w:rPr>
                <w:color w:val="000000"/>
                <w:sz w:val="24"/>
              </w:rPr>
            </w:pPr>
            <w:r>
              <w:rPr>
                <w:color w:val="000000"/>
                <w:sz w:val="24"/>
              </w:rPr>
              <w:t>申报情形</w:t>
            </w:r>
          </w:p>
        </w:tc>
        <w:tc>
          <w:tcPr>
            <w:tcW w:w="2639" w:type="dxa"/>
            <w:vAlign w:val="center"/>
          </w:tcPr>
          <w:p>
            <w:pPr>
              <w:jc w:val="left"/>
              <w:rPr>
                <w:color w:val="000000"/>
                <w:sz w:val="24"/>
              </w:rPr>
            </w:pPr>
            <w:r>
              <w:rPr>
                <w:color w:val="000000"/>
                <w:sz w:val="24"/>
              </w:rPr>
              <w:sym w:font="Wingdings" w:char="F0FE"/>
            </w:r>
            <w:r>
              <w:rPr>
                <w:color w:val="000000"/>
                <w:sz w:val="24"/>
              </w:rPr>
              <w:t xml:space="preserve">首次申报项目             </w:t>
            </w:r>
          </w:p>
          <w:p>
            <w:pPr>
              <w:jc w:val="left"/>
              <w:rPr>
                <w:color w:val="000000"/>
                <w:sz w:val="24"/>
              </w:rPr>
            </w:pPr>
            <w:r>
              <w:rPr>
                <w:color w:val="000000"/>
                <w:sz w:val="24"/>
              </w:rPr>
              <w:t>□不予批准后再次申报项目</w:t>
            </w:r>
          </w:p>
          <w:p>
            <w:pPr>
              <w:jc w:val="left"/>
              <w:rPr>
                <w:color w:val="000000"/>
                <w:sz w:val="24"/>
              </w:rPr>
            </w:pPr>
            <w:r>
              <w:rPr>
                <w:color w:val="000000"/>
                <w:sz w:val="24"/>
              </w:rPr>
              <w:t xml:space="preserve">□超五年重新审核项目     </w:t>
            </w:r>
          </w:p>
          <w:p>
            <w:pPr>
              <w:jc w:val="left"/>
              <w:rPr>
                <w:color w:val="000000"/>
                <w:sz w:val="24"/>
              </w:rPr>
            </w:pPr>
            <w:r>
              <w:rPr>
                <w:color w:val="000000"/>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项目审批（核准/</w:t>
            </w:r>
          </w:p>
          <w:p>
            <w:pPr>
              <w:adjustRightInd w:val="0"/>
              <w:snapToGrid w:val="0"/>
              <w:jc w:val="center"/>
              <w:rPr>
                <w:color w:val="000000"/>
                <w:sz w:val="24"/>
              </w:rPr>
            </w:pPr>
            <w:r>
              <w:rPr>
                <w:color w:val="000000"/>
                <w:sz w:val="24"/>
              </w:rPr>
              <w:t>备案）部门（选填）</w:t>
            </w:r>
          </w:p>
        </w:tc>
        <w:tc>
          <w:tcPr>
            <w:tcW w:w="1742" w:type="dxa"/>
            <w:gridSpan w:val="2"/>
            <w:vAlign w:val="center"/>
          </w:tcPr>
          <w:p>
            <w:pPr>
              <w:adjustRightInd w:val="0"/>
              <w:snapToGrid w:val="0"/>
              <w:jc w:val="center"/>
              <w:rPr>
                <w:color w:val="000000"/>
                <w:sz w:val="24"/>
              </w:rPr>
            </w:pPr>
            <w:r>
              <w:rPr>
                <w:color w:val="000000"/>
                <w:sz w:val="24"/>
              </w:rPr>
              <w:t>福清市发展和改革局</w:t>
            </w:r>
          </w:p>
        </w:tc>
        <w:tc>
          <w:tcPr>
            <w:tcW w:w="2107" w:type="dxa"/>
            <w:vAlign w:val="center"/>
          </w:tcPr>
          <w:p>
            <w:pPr>
              <w:adjustRightInd w:val="0"/>
              <w:snapToGrid w:val="0"/>
              <w:jc w:val="center"/>
              <w:rPr>
                <w:color w:val="000000"/>
                <w:sz w:val="24"/>
              </w:rPr>
            </w:pPr>
            <w:r>
              <w:rPr>
                <w:color w:val="000000"/>
                <w:sz w:val="24"/>
              </w:rPr>
              <w:t>项目审批（核准/</w:t>
            </w:r>
          </w:p>
          <w:p>
            <w:pPr>
              <w:adjustRightInd w:val="0"/>
              <w:snapToGrid w:val="0"/>
              <w:jc w:val="center"/>
              <w:rPr>
                <w:color w:val="000000"/>
                <w:sz w:val="24"/>
              </w:rPr>
            </w:pPr>
            <w:r>
              <w:rPr>
                <w:color w:val="000000"/>
                <w:sz w:val="24"/>
              </w:rPr>
              <w:t>备案）文号（选填）</w:t>
            </w:r>
          </w:p>
        </w:tc>
        <w:tc>
          <w:tcPr>
            <w:tcW w:w="2639" w:type="dxa"/>
            <w:vAlign w:val="center"/>
          </w:tcPr>
          <w:p>
            <w:pPr>
              <w:adjustRightInd w:val="0"/>
              <w:snapToGrid w:val="0"/>
              <w:jc w:val="center"/>
              <w:rPr>
                <w:color w:val="000000"/>
                <w:sz w:val="24"/>
              </w:rPr>
            </w:pPr>
            <w:r>
              <w:rPr>
                <w:color w:val="000000"/>
                <w:sz w:val="24"/>
              </w:rPr>
              <w:t>闽</w:t>
            </w:r>
            <w:r>
              <w:rPr>
                <w:rFonts w:hint="eastAsia"/>
                <w:color w:val="000000"/>
                <w:sz w:val="24"/>
              </w:rPr>
              <w:t>发改</w:t>
            </w:r>
            <w:r>
              <w:rPr>
                <w:color w:val="000000"/>
                <w:sz w:val="24"/>
              </w:rPr>
              <w:t>备[202</w:t>
            </w:r>
            <w:r>
              <w:rPr>
                <w:rFonts w:hint="eastAsia"/>
                <w:color w:val="000000"/>
                <w:sz w:val="24"/>
              </w:rPr>
              <w:t>5</w:t>
            </w:r>
            <w:r>
              <w:rPr>
                <w:color w:val="000000"/>
                <w:sz w:val="24"/>
              </w:rPr>
              <w:t>]A060</w:t>
            </w:r>
            <w:r>
              <w:rPr>
                <w:rFonts w:hint="eastAsia"/>
                <w:color w:val="000000"/>
                <w:sz w:val="24"/>
              </w:rPr>
              <w:t>367</w:t>
            </w:r>
            <w:r>
              <w:rPr>
                <w:color w:val="000000"/>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总投资（万元）</w:t>
            </w:r>
          </w:p>
        </w:tc>
        <w:tc>
          <w:tcPr>
            <w:tcW w:w="1742" w:type="dxa"/>
            <w:gridSpan w:val="2"/>
            <w:vAlign w:val="center"/>
          </w:tcPr>
          <w:p>
            <w:pPr>
              <w:adjustRightInd w:val="0"/>
              <w:snapToGrid w:val="0"/>
              <w:jc w:val="center"/>
              <w:rPr>
                <w:color w:val="000000"/>
                <w:sz w:val="24"/>
              </w:rPr>
            </w:pPr>
            <w:r>
              <w:rPr>
                <w:rFonts w:hint="eastAsia"/>
                <w:color w:val="000000"/>
                <w:sz w:val="24"/>
              </w:rPr>
              <w:t>200</w:t>
            </w:r>
          </w:p>
        </w:tc>
        <w:tc>
          <w:tcPr>
            <w:tcW w:w="2107" w:type="dxa"/>
            <w:tcMar>
              <w:top w:w="16" w:type="dxa"/>
              <w:left w:w="16" w:type="dxa"/>
              <w:right w:w="16" w:type="dxa"/>
            </w:tcMar>
            <w:vAlign w:val="center"/>
          </w:tcPr>
          <w:p>
            <w:pPr>
              <w:adjustRightInd w:val="0"/>
              <w:snapToGrid w:val="0"/>
              <w:jc w:val="center"/>
              <w:rPr>
                <w:color w:val="000000"/>
                <w:sz w:val="24"/>
              </w:rPr>
            </w:pPr>
            <w:r>
              <w:rPr>
                <w:color w:val="000000"/>
                <w:sz w:val="24"/>
              </w:rPr>
              <w:t>环保投资（万元）</w:t>
            </w:r>
          </w:p>
        </w:tc>
        <w:tc>
          <w:tcPr>
            <w:tcW w:w="2639" w:type="dxa"/>
            <w:vAlign w:val="center"/>
          </w:tcPr>
          <w:p>
            <w:pPr>
              <w:adjustRightInd w:val="0"/>
              <w:snapToGrid w:val="0"/>
              <w:jc w:val="center"/>
              <w:rPr>
                <w:color w:val="000000"/>
                <w:sz w:val="24"/>
              </w:rPr>
            </w:pPr>
            <w:r>
              <w:rPr>
                <w:rFonts w:hint="eastAsia"/>
                <w:color w:val="000000"/>
                <w:sz w:val="24"/>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环保投资占比（%）</w:t>
            </w:r>
          </w:p>
        </w:tc>
        <w:tc>
          <w:tcPr>
            <w:tcW w:w="1742" w:type="dxa"/>
            <w:gridSpan w:val="2"/>
            <w:vAlign w:val="center"/>
          </w:tcPr>
          <w:p>
            <w:pPr>
              <w:adjustRightInd w:val="0"/>
              <w:snapToGrid w:val="0"/>
              <w:jc w:val="center"/>
              <w:rPr>
                <w:color w:val="000000"/>
                <w:sz w:val="24"/>
              </w:rPr>
            </w:pPr>
            <w:r>
              <w:rPr>
                <w:rFonts w:hint="eastAsia"/>
                <w:color w:val="000000"/>
                <w:sz w:val="24"/>
              </w:rPr>
              <w:t>10</w:t>
            </w:r>
          </w:p>
        </w:tc>
        <w:tc>
          <w:tcPr>
            <w:tcW w:w="2107" w:type="dxa"/>
            <w:tcMar>
              <w:top w:w="16" w:type="dxa"/>
              <w:left w:w="16" w:type="dxa"/>
              <w:right w:w="16" w:type="dxa"/>
            </w:tcMar>
            <w:vAlign w:val="center"/>
          </w:tcPr>
          <w:p>
            <w:pPr>
              <w:adjustRightInd w:val="0"/>
              <w:snapToGrid w:val="0"/>
              <w:jc w:val="center"/>
              <w:rPr>
                <w:color w:val="000000"/>
                <w:sz w:val="24"/>
              </w:rPr>
            </w:pPr>
            <w:r>
              <w:rPr>
                <w:color w:val="000000"/>
                <w:sz w:val="24"/>
              </w:rPr>
              <w:t>施工工期</w:t>
            </w:r>
          </w:p>
        </w:tc>
        <w:tc>
          <w:tcPr>
            <w:tcW w:w="2639" w:type="dxa"/>
            <w:vAlign w:val="center"/>
          </w:tcPr>
          <w:p>
            <w:pPr>
              <w:adjustRightInd w:val="0"/>
              <w:snapToGrid w:val="0"/>
              <w:jc w:val="center"/>
              <w:rPr>
                <w:color w:val="000000"/>
                <w:sz w:val="24"/>
              </w:rPr>
            </w:pPr>
            <w:r>
              <w:rPr>
                <w:color w:val="000000"/>
                <w:sz w:val="24"/>
              </w:rPr>
              <w:t>6</w:t>
            </w:r>
            <w:r>
              <w:rPr>
                <w:rFonts w:hint="eastAsia"/>
                <w:color w:val="000000"/>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color w:val="000000"/>
                <w:sz w:val="24"/>
              </w:rPr>
            </w:pPr>
            <w:r>
              <w:rPr>
                <w:color w:val="000000"/>
                <w:sz w:val="24"/>
              </w:rPr>
              <w:t>是否开工建设</w:t>
            </w:r>
          </w:p>
        </w:tc>
        <w:tc>
          <w:tcPr>
            <w:tcW w:w="1742" w:type="dxa"/>
            <w:gridSpan w:val="2"/>
            <w:vAlign w:val="center"/>
          </w:tcPr>
          <w:p>
            <w:pPr>
              <w:adjustRightInd w:val="0"/>
              <w:snapToGrid w:val="0"/>
              <w:rPr>
                <w:color w:val="000000"/>
                <w:sz w:val="24"/>
              </w:rPr>
            </w:pPr>
            <w:r>
              <w:rPr>
                <w:color w:val="000000"/>
                <w:sz w:val="24"/>
              </w:rPr>
              <w:sym w:font="Wingdings" w:char="F0FE"/>
            </w:r>
            <w:r>
              <w:rPr>
                <w:color w:val="000000"/>
                <w:sz w:val="24"/>
              </w:rPr>
              <w:t>否</w:t>
            </w:r>
          </w:p>
          <w:p>
            <w:pPr>
              <w:adjustRightInd w:val="0"/>
              <w:snapToGrid w:val="0"/>
              <w:rPr>
                <w:color w:val="000000"/>
                <w:sz w:val="24"/>
              </w:rPr>
            </w:pPr>
            <w:r>
              <w:rPr>
                <w:color w:val="000000"/>
                <w:sz w:val="24"/>
              </w:rPr>
              <w:t>□是：</w:t>
            </w:r>
            <w:r>
              <w:rPr>
                <w:color w:val="000000"/>
                <w:sz w:val="24"/>
                <w:u w:val="single"/>
              </w:rPr>
              <w:t xml:space="preserve">        </w:t>
            </w:r>
          </w:p>
        </w:tc>
        <w:tc>
          <w:tcPr>
            <w:tcW w:w="2107" w:type="dxa"/>
            <w:tcMar>
              <w:top w:w="16" w:type="dxa"/>
              <w:left w:w="16" w:type="dxa"/>
              <w:right w:w="16" w:type="dxa"/>
            </w:tcMar>
            <w:vAlign w:val="center"/>
          </w:tcPr>
          <w:p>
            <w:pPr>
              <w:adjustRightInd w:val="0"/>
              <w:snapToGrid w:val="0"/>
              <w:jc w:val="center"/>
              <w:rPr>
                <w:color w:val="000000"/>
                <w:spacing w:val="-6"/>
                <w:sz w:val="24"/>
              </w:rPr>
            </w:pPr>
            <w:r>
              <w:rPr>
                <w:color w:val="000000"/>
                <w:spacing w:val="-6"/>
                <w:sz w:val="24"/>
              </w:rPr>
              <w:t>用地（用海）</w:t>
            </w:r>
          </w:p>
          <w:p>
            <w:pPr>
              <w:adjustRightInd w:val="0"/>
              <w:snapToGrid w:val="0"/>
              <w:jc w:val="center"/>
              <w:rPr>
                <w:color w:val="000000"/>
                <w:sz w:val="24"/>
              </w:rPr>
            </w:pPr>
            <w:r>
              <w:rPr>
                <w:color w:val="000000"/>
                <w:spacing w:val="-6"/>
                <w:sz w:val="24"/>
              </w:rPr>
              <w:t>面积（m</w:t>
            </w:r>
            <w:r>
              <w:rPr>
                <w:color w:val="000000"/>
                <w:spacing w:val="-6"/>
                <w:sz w:val="24"/>
                <w:vertAlign w:val="superscript"/>
              </w:rPr>
              <w:t>2</w:t>
            </w:r>
            <w:r>
              <w:rPr>
                <w:color w:val="000000"/>
                <w:spacing w:val="-6"/>
                <w:sz w:val="24"/>
              </w:rPr>
              <w:t>）</w:t>
            </w:r>
          </w:p>
        </w:tc>
        <w:tc>
          <w:tcPr>
            <w:tcW w:w="2639" w:type="dxa"/>
            <w:vAlign w:val="center"/>
          </w:tcPr>
          <w:p>
            <w:pPr>
              <w:adjustRightInd w:val="0"/>
              <w:snapToGrid w:val="0"/>
              <w:jc w:val="center"/>
              <w:rPr>
                <w:color w:val="000000"/>
                <w:sz w:val="24"/>
              </w:rPr>
            </w:pPr>
            <w:r>
              <w:rPr>
                <w:rFonts w:hint="eastAsia"/>
                <w:color w:val="000000"/>
                <w:sz w:val="24"/>
              </w:rPr>
              <w:t>1560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color w:val="000000"/>
                <w:kern w:val="0"/>
                <w:sz w:val="24"/>
              </w:rPr>
            </w:pPr>
            <w:r>
              <w:rPr>
                <w:color w:val="000000"/>
                <w:kern w:val="0"/>
                <w:sz w:val="24"/>
              </w:rPr>
              <w:t>专项评价设置情况</w:t>
            </w:r>
          </w:p>
        </w:tc>
        <w:tc>
          <w:tcPr>
            <w:tcW w:w="6488" w:type="dxa"/>
            <w:gridSpan w:val="4"/>
            <w:vAlign w:val="center"/>
          </w:tcPr>
          <w:p>
            <w:pPr>
              <w:pStyle w:val="49"/>
              <w:numPr>
                <w:ilvl w:val="0"/>
                <w:numId w:val="2"/>
              </w:numPr>
              <w:adjustRightInd w:val="0"/>
              <w:snapToGrid w:val="0"/>
              <w:spacing w:line="240" w:lineRule="auto"/>
              <w:rPr>
                <w:color w:val="000000"/>
              </w:rPr>
            </w:pPr>
            <w:r>
              <w:rPr>
                <w:rFonts w:hint="eastAsia"/>
                <w:color w:val="000000"/>
              </w:rPr>
              <w:t>专项评价设置情况表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3254"/>
              <w:gridCol w:w="1356"/>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jc w:val="center"/>
                    <w:rPr>
                      <w:color w:val="000000"/>
                      <w:kern w:val="21"/>
                      <w:szCs w:val="21"/>
                    </w:rPr>
                  </w:pPr>
                  <w:r>
                    <w:rPr>
                      <w:rFonts w:hint="eastAsia"/>
                      <w:color w:val="000000"/>
                      <w:kern w:val="21"/>
                      <w:szCs w:val="21"/>
                    </w:rPr>
                    <w:t>专项评价类别</w:t>
                  </w:r>
                </w:p>
              </w:tc>
              <w:tc>
                <w:tcPr>
                  <w:tcW w:w="2594" w:type="pct"/>
                  <w:vAlign w:val="center"/>
                </w:tcPr>
                <w:p>
                  <w:pPr>
                    <w:jc w:val="center"/>
                    <w:rPr>
                      <w:color w:val="000000"/>
                      <w:kern w:val="21"/>
                      <w:szCs w:val="21"/>
                    </w:rPr>
                  </w:pPr>
                  <w:r>
                    <w:rPr>
                      <w:rFonts w:hint="eastAsia"/>
                      <w:color w:val="000000"/>
                      <w:kern w:val="21"/>
                      <w:szCs w:val="21"/>
                    </w:rPr>
                    <w:t>设置原则</w:t>
                  </w:r>
                </w:p>
              </w:tc>
              <w:tc>
                <w:tcPr>
                  <w:tcW w:w="1081" w:type="pct"/>
                  <w:vAlign w:val="center"/>
                </w:tcPr>
                <w:p>
                  <w:pPr>
                    <w:jc w:val="center"/>
                    <w:rPr>
                      <w:color w:val="000000"/>
                      <w:kern w:val="21"/>
                      <w:szCs w:val="21"/>
                    </w:rPr>
                  </w:pPr>
                  <w:r>
                    <w:rPr>
                      <w:rFonts w:hint="eastAsia"/>
                      <w:color w:val="000000"/>
                      <w:kern w:val="21"/>
                      <w:szCs w:val="21"/>
                    </w:rPr>
                    <w:t>本项目情况</w:t>
                  </w:r>
                </w:p>
              </w:tc>
              <w:tc>
                <w:tcPr>
                  <w:tcW w:w="576" w:type="pct"/>
                  <w:vAlign w:val="center"/>
                </w:tcPr>
                <w:p>
                  <w:pPr>
                    <w:jc w:val="center"/>
                    <w:rPr>
                      <w:color w:val="000000"/>
                      <w:kern w:val="21"/>
                      <w:szCs w:val="21"/>
                    </w:rPr>
                  </w:pPr>
                  <w:r>
                    <w:rPr>
                      <w:rFonts w:hint="eastAsia"/>
                      <w:color w:val="000000"/>
                      <w:kern w:val="21"/>
                      <w:szCs w:val="21"/>
                    </w:rPr>
                    <w:t>是否需要设置专项评价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jc w:val="center"/>
                    <w:rPr>
                      <w:color w:val="000000"/>
                      <w:kern w:val="21"/>
                      <w:szCs w:val="21"/>
                    </w:rPr>
                  </w:pPr>
                  <w:r>
                    <w:rPr>
                      <w:rFonts w:hint="eastAsia"/>
                      <w:color w:val="000000"/>
                      <w:kern w:val="21"/>
                      <w:szCs w:val="21"/>
                    </w:rPr>
                    <w:t>大气</w:t>
                  </w:r>
                </w:p>
              </w:tc>
              <w:tc>
                <w:tcPr>
                  <w:tcW w:w="2594" w:type="pct"/>
                  <w:vAlign w:val="center"/>
                </w:tcPr>
                <w:p>
                  <w:pPr>
                    <w:pStyle w:val="16"/>
                    <w:shd w:val="clear" w:color="auto" w:fill="FFFFFF"/>
                    <w:spacing w:before="120"/>
                    <w:jc w:val="center"/>
                    <w:rPr>
                      <w:rFonts w:hint="eastAsia" w:cs="宋体"/>
                      <w:color w:val="000000"/>
                      <w:kern w:val="21"/>
                      <w:sz w:val="21"/>
                      <w:szCs w:val="21"/>
                      <w:lang w:val="en-US" w:eastAsia="zh-CN"/>
                    </w:rPr>
                  </w:pPr>
                  <w:r>
                    <w:rPr>
                      <w:rFonts w:hint="eastAsia" w:cs="宋体"/>
                      <w:color w:val="000000"/>
                      <w:sz w:val="21"/>
                      <w:szCs w:val="21"/>
                      <w:lang w:val="en-US" w:eastAsia="zh-CN"/>
                    </w:rPr>
                    <w:t>排放废气含有毒有害污染物、二噁英、苯并</w:t>
                  </w:r>
                  <w:r>
                    <w:rPr>
                      <w:rFonts w:ascii="TimesNewRomanPSMT" w:hAnsi="TimesNewRomanPSMT" w:cs="宋体"/>
                      <w:color w:val="000000"/>
                      <w:sz w:val="21"/>
                      <w:szCs w:val="21"/>
                      <w:lang w:val="en-US" w:eastAsia="zh-CN"/>
                    </w:rPr>
                    <w:t>[a]</w:t>
                  </w:r>
                  <w:r>
                    <w:rPr>
                      <w:rFonts w:hint="eastAsia" w:cs="宋体"/>
                      <w:color w:val="000000"/>
                      <w:sz w:val="21"/>
                      <w:szCs w:val="21"/>
                      <w:lang w:val="en-US" w:eastAsia="zh-CN"/>
                    </w:rPr>
                    <w:t>芘、氰化物、氯气且厂界外</w:t>
                  </w:r>
                  <w:r>
                    <w:rPr>
                      <w:rFonts w:ascii="TimesNewRomanPSMT" w:hAnsi="TimesNewRomanPSMT" w:cs="宋体"/>
                      <w:color w:val="000000"/>
                      <w:sz w:val="21"/>
                      <w:szCs w:val="21"/>
                      <w:lang w:val="en-US" w:eastAsia="zh-CN"/>
                    </w:rPr>
                    <w:t>500</w:t>
                  </w:r>
                  <w:r>
                    <w:rPr>
                      <w:rFonts w:hint="eastAsia" w:cs="宋体"/>
                      <w:color w:val="000000"/>
                      <w:sz w:val="21"/>
                      <w:szCs w:val="21"/>
                      <w:lang w:val="en-US" w:eastAsia="zh-CN"/>
                    </w:rPr>
                    <w:t>米范围内有环境空气保护目标的建设项目。</w:t>
                  </w:r>
                </w:p>
              </w:tc>
              <w:tc>
                <w:tcPr>
                  <w:tcW w:w="1081" w:type="pct"/>
                  <w:vAlign w:val="center"/>
                </w:tcPr>
                <w:p>
                  <w:pPr>
                    <w:pStyle w:val="17"/>
                    <w:spacing w:before="120"/>
                    <w:jc w:val="center"/>
                    <w:rPr>
                      <w:rFonts w:hint="eastAsia"/>
                      <w:color w:val="000000"/>
                      <w:sz w:val="21"/>
                      <w:szCs w:val="21"/>
                      <w:lang w:val="en-US" w:eastAsia="zh-CN"/>
                    </w:rPr>
                  </w:pPr>
                  <w:r>
                    <w:rPr>
                      <w:rFonts w:hint="eastAsia"/>
                      <w:color w:val="000000"/>
                      <w:sz w:val="21"/>
                      <w:szCs w:val="21"/>
                      <w:lang w:val="en-US" w:eastAsia="zh-CN"/>
                    </w:rPr>
                    <w:t>本项目不涉及</w:t>
                  </w:r>
                </w:p>
              </w:tc>
              <w:tc>
                <w:tcPr>
                  <w:tcW w:w="576" w:type="pct"/>
                  <w:vAlign w:val="center"/>
                </w:tcPr>
                <w:p>
                  <w:pPr>
                    <w:jc w:val="center"/>
                    <w:rPr>
                      <w:color w:val="000000"/>
                      <w:kern w:val="21"/>
                      <w:szCs w:val="21"/>
                    </w:rPr>
                  </w:pPr>
                  <w:r>
                    <w:rPr>
                      <w:rFonts w:hint="eastAsia"/>
                      <w:color w:val="000000"/>
                      <w:kern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jc w:val="center"/>
                    <w:rPr>
                      <w:color w:val="000000"/>
                      <w:kern w:val="21"/>
                      <w:szCs w:val="21"/>
                    </w:rPr>
                  </w:pPr>
                  <w:r>
                    <w:rPr>
                      <w:rFonts w:hint="eastAsia"/>
                      <w:color w:val="000000"/>
                      <w:kern w:val="21"/>
                      <w:szCs w:val="21"/>
                    </w:rPr>
                    <w:t>地表水</w:t>
                  </w:r>
                </w:p>
              </w:tc>
              <w:tc>
                <w:tcPr>
                  <w:tcW w:w="2594" w:type="pct"/>
                  <w:vAlign w:val="center"/>
                </w:tcPr>
                <w:p>
                  <w:pPr>
                    <w:pStyle w:val="16"/>
                    <w:shd w:val="clear" w:color="auto" w:fill="FFFFFF"/>
                    <w:spacing w:before="120"/>
                    <w:jc w:val="center"/>
                    <w:rPr>
                      <w:rFonts w:hint="eastAsia" w:cs="宋体"/>
                      <w:color w:val="000000"/>
                      <w:kern w:val="21"/>
                      <w:sz w:val="21"/>
                      <w:szCs w:val="21"/>
                      <w:lang w:val="en-US" w:eastAsia="zh-CN"/>
                    </w:rPr>
                  </w:pPr>
                  <w:r>
                    <w:rPr>
                      <w:rFonts w:hint="eastAsia" w:cs="宋体"/>
                      <w:color w:val="000000"/>
                      <w:sz w:val="21"/>
                      <w:szCs w:val="21"/>
                      <w:lang w:val="en-US" w:eastAsia="zh-CN"/>
                    </w:rPr>
                    <w:t>新增工业废水直排建设项目(槽罐车外送污水处理厂的除外);新增废水直排的污水集中处理厂。</w:t>
                  </w:r>
                </w:p>
              </w:tc>
              <w:tc>
                <w:tcPr>
                  <w:tcW w:w="1081" w:type="pct"/>
                  <w:vAlign w:val="center"/>
                </w:tcPr>
                <w:p>
                  <w:pPr>
                    <w:pStyle w:val="17"/>
                    <w:spacing w:before="120"/>
                    <w:jc w:val="center"/>
                    <w:rPr>
                      <w:rFonts w:hint="eastAsia"/>
                      <w:color w:val="000000"/>
                      <w:kern w:val="21"/>
                      <w:sz w:val="21"/>
                      <w:szCs w:val="21"/>
                      <w:lang w:val="en-US" w:eastAsia="zh-CN"/>
                    </w:rPr>
                  </w:pPr>
                  <w:r>
                    <w:rPr>
                      <w:rFonts w:hint="eastAsia"/>
                      <w:color w:val="000000"/>
                      <w:sz w:val="21"/>
                      <w:szCs w:val="21"/>
                      <w:lang w:val="en-US" w:eastAsia="zh-CN"/>
                    </w:rPr>
                    <w:t>本项目不涉及</w:t>
                  </w:r>
                </w:p>
              </w:tc>
              <w:tc>
                <w:tcPr>
                  <w:tcW w:w="576" w:type="pct"/>
                  <w:vAlign w:val="center"/>
                </w:tcPr>
                <w:p>
                  <w:pPr>
                    <w:jc w:val="center"/>
                    <w:rPr>
                      <w:color w:val="000000"/>
                      <w:kern w:val="21"/>
                      <w:szCs w:val="21"/>
                    </w:rPr>
                  </w:pPr>
                  <w:r>
                    <w:rPr>
                      <w:rFonts w:hint="eastAsia"/>
                      <w:color w:val="000000"/>
                      <w:kern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jc w:val="center"/>
                    <w:rPr>
                      <w:color w:val="000000"/>
                      <w:kern w:val="21"/>
                      <w:szCs w:val="21"/>
                    </w:rPr>
                  </w:pPr>
                  <w:r>
                    <w:rPr>
                      <w:rFonts w:hint="eastAsia"/>
                      <w:color w:val="000000"/>
                      <w:kern w:val="21"/>
                      <w:szCs w:val="21"/>
                    </w:rPr>
                    <w:t>环境风险</w:t>
                  </w:r>
                </w:p>
              </w:tc>
              <w:tc>
                <w:tcPr>
                  <w:tcW w:w="2594" w:type="pct"/>
                  <w:vAlign w:val="center"/>
                </w:tcPr>
                <w:p>
                  <w:pPr>
                    <w:pStyle w:val="16"/>
                    <w:shd w:val="clear" w:color="auto" w:fill="FFFFFF"/>
                    <w:spacing w:before="120"/>
                    <w:jc w:val="center"/>
                    <w:rPr>
                      <w:rFonts w:hint="eastAsia" w:cs="宋体"/>
                      <w:color w:val="000000"/>
                      <w:kern w:val="21"/>
                      <w:sz w:val="21"/>
                      <w:szCs w:val="21"/>
                      <w:lang w:val="en-US" w:eastAsia="zh-CN"/>
                    </w:rPr>
                  </w:pPr>
                  <w:r>
                    <w:rPr>
                      <w:rFonts w:hint="eastAsia" w:cs="宋体"/>
                      <w:color w:val="000000"/>
                      <w:sz w:val="21"/>
                      <w:szCs w:val="21"/>
                      <w:lang w:val="en-US" w:eastAsia="zh-CN"/>
                    </w:rPr>
                    <w:t>有毒有害和易燃易爆危险物质存储量超过临界量的建设项目。</w:t>
                  </w:r>
                </w:p>
              </w:tc>
              <w:tc>
                <w:tcPr>
                  <w:tcW w:w="1081" w:type="pct"/>
                  <w:vAlign w:val="center"/>
                </w:tcPr>
                <w:p>
                  <w:pPr>
                    <w:pStyle w:val="16"/>
                    <w:shd w:val="clear" w:color="auto" w:fill="FFFFFF"/>
                    <w:spacing w:before="120"/>
                    <w:jc w:val="center"/>
                    <w:rPr>
                      <w:rFonts w:ascii="Times New Roman" w:hAnsi="Times New Roman"/>
                      <w:color w:val="000000"/>
                      <w:kern w:val="2"/>
                      <w:sz w:val="21"/>
                      <w:szCs w:val="21"/>
                      <w:lang w:val="en-US" w:eastAsia="zh-CN"/>
                    </w:rPr>
                  </w:pPr>
                  <w:r>
                    <w:rPr>
                      <w:rFonts w:hint="eastAsia" w:ascii="Times New Roman" w:hAnsi="Times New Roman"/>
                      <w:color w:val="000000"/>
                      <w:kern w:val="2"/>
                      <w:sz w:val="21"/>
                      <w:szCs w:val="21"/>
                      <w:lang w:val="en-US" w:eastAsia="zh-CN"/>
                    </w:rPr>
                    <w:t>本项目不</w:t>
                  </w:r>
                  <w:r>
                    <w:rPr>
                      <w:rFonts w:ascii="Times New Roman" w:hAnsi="Times New Roman"/>
                      <w:color w:val="000000"/>
                      <w:kern w:val="2"/>
                      <w:sz w:val="21"/>
                      <w:szCs w:val="21"/>
                      <w:lang w:val="en-US" w:eastAsia="zh-CN"/>
                    </w:rPr>
                    <w:t>涉及</w:t>
                  </w:r>
                  <w:r>
                    <w:rPr>
                      <w:rFonts w:hint="eastAsia" w:ascii="Times New Roman" w:hAnsi="Times New Roman"/>
                      <w:color w:val="000000"/>
                      <w:kern w:val="2"/>
                      <w:sz w:val="21"/>
                      <w:szCs w:val="21"/>
                      <w:lang w:val="en-US" w:eastAsia="zh-CN"/>
                    </w:rPr>
                    <w:t>有毒有害和易燃易爆危险物质</w:t>
                  </w:r>
                  <w:r>
                    <w:rPr>
                      <w:rFonts w:ascii="Times New Roman" w:hAnsi="Times New Roman"/>
                      <w:color w:val="000000"/>
                      <w:kern w:val="2"/>
                      <w:sz w:val="21"/>
                      <w:szCs w:val="21"/>
                      <w:lang w:val="en-US" w:eastAsia="zh-CN"/>
                    </w:rPr>
                    <w:t>，</w:t>
                  </w:r>
                  <w:r>
                    <w:rPr>
                      <w:rFonts w:hint="eastAsia" w:ascii="Times New Roman" w:hAnsi="Times New Roman"/>
                      <w:color w:val="000000"/>
                      <w:kern w:val="2"/>
                      <w:sz w:val="21"/>
                      <w:szCs w:val="21"/>
                      <w:lang w:val="en-US" w:eastAsia="zh-CN"/>
                    </w:rPr>
                    <w:t>因此</w:t>
                  </w:r>
                  <w:r>
                    <w:rPr>
                      <w:rFonts w:ascii="Times New Roman" w:hAnsi="Times New Roman"/>
                      <w:color w:val="000000"/>
                      <w:kern w:val="2"/>
                      <w:sz w:val="21"/>
                      <w:szCs w:val="21"/>
                      <w:lang w:val="en-US" w:eastAsia="zh-CN"/>
                    </w:rPr>
                    <w:t>本项目Q=0＜1</w:t>
                  </w:r>
                </w:p>
              </w:tc>
              <w:tc>
                <w:tcPr>
                  <w:tcW w:w="576" w:type="pct"/>
                  <w:vAlign w:val="center"/>
                </w:tcPr>
                <w:p>
                  <w:pPr>
                    <w:jc w:val="center"/>
                    <w:rPr>
                      <w:color w:val="000000"/>
                      <w:kern w:val="21"/>
                      <w:szCs w:val="21"/>
                    </w:rPr>
                  </w:pPr>
                  <w:r>
                    <w:rPr>
                      <w:rFonts w:hint="eastAsia"/>
                      <w:color w:val="000000"/>
                      <w:kern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jc w:val="center"/>
                    <w:rPr>
                      <w:color w:val="000000"/>
                      <w:kern w:val="21"/>
                      <w:szCs w:val="21"/>
                    </w:rPr>
                  </w:pPr>
                  <w:r>
                    <w:rPr>
                      <w:rFonts w:hint="eastAsia"/>
                      <w:color w:val="000000"/>
                      <w:kern w:val="21"/>
                      <w:szCs w:val="21"/>
                    </w:rPr>
                    <w:t>生态</w:t>
                  </w:r>
                </w:p>
              </w:tc>
              <w:tc>
                <w:tcPr>
                  <w:tcW w:w="2594" w:type="pct"/>
                  <w:vAlign w:val="center"/>
                </w:tcPr>
                <w:p>
                  <w:pPr>
                    <w:pStyle w:val="17"/>
                    <w:shd w:val="clear" w:color="auto" w:fill="FFFFFF"/>
                    <w:spacing w:before="120"/>
                    <w:jc w:val="center"/>
                    <w:rPr>
                      <w:rFonts w:hint="eastAsia"/>
                      <w:color w:val="000000"/>
                      <w:kern w:val="21"/>
                      <w:sz w:val="21"/>
                      <w:szCs w:val="21"/>
                      <w:lang w:val="en-US" w:eastAsia="zh-CN"/>
                    </w:rPr>
                  </w:pPr>
                  <w:r>
                    <w:rPr>
                      <w:rFonts w:hint="eastAsia"/>
                      <w:color w:val="000000"/>
                      <w:sz w:val="21"/>
                      <w:szCs w:val="21"/>
                      <w:lang w:val="en-US" w:eastAsia="zh-CN"/>
                    </w:rPr>
                    <w:t>取水口下游</w:t>
                  </w:r>
                  <w:r>
                    <w:rPr>
                      <w:rFonts w:ascii="TimesNewRomanPSMT" w:hAnsi="TimesNewRomanPSMT"/>
                      <w:color w:val="000000"/>
                      <w:sz w:val="21"/>
                      <w:szCs w:val="21"/>
                      <w:lang w:val="en-US" w:eastAsia="zh-CN"/>
                    </w:rPr>
                    <w:t>500</w:t>
                  </w:r>
                  <w:r>
                    <w:rPr>
                      <w:rFonts w:hint="eastAsia"/>
                      <w:color w:val="000000"/>
                      <w:sz w:val="21"/>
                      <w:szCs w:val="21"/>
                      <w:lang w:val="en-US" w:eastAsia="zh-CN"/>
                    </w:rPr>
                    <w:t>米范围内有重要水生生物的自然产卵场、索饵场、越冬场和洄游通道的新增河道取水的污染类建设项目。</w:t>
                  </w:r>
                </w:p>
              </w:tc>
              <w:tc>
                <w:tcPr>
                  <w:tcW w:w="1081" w:type="pct"/>
                  <w:vAlign w:val="center"/>
                </w:tcPr>
                <w:p>
                  <w:pPr>
                    <w:jc w:val="center"/>
                    <w:rPr>
                      <w:color w:val="000000"/>
                      <w:kern w:val="21"/>
                      <w:szCs w:val="21"/>
                    </w:rPr>
                  </w:pPr>
                  <w:r>
                    <w:rPr>
                      <w:rFonts w:hint="eastAsia"/>
                      <w:color w:val="000000"/>
                      <w:szCs w:val="21"/>
                    </w:rPr>
                    <w:t>本项目不涉及</w:t>
                  </w:r>
                </w:p>
              </w:tc>
              <w:tc>
                <w:tcPr>
                  <w:tcW w:w="576" w:type="pct"/>
                  <w:vAlign w:val="center"/>
                </w:tcPr>
                <w:p>
                  <w:pPr>
                    <w:jc w:val="center"/>
                    <w:rPr>
                      <w:color w:val="000000"/>
                      <w:kern w:val="21"/>
                      <w:szCs w:val="21"/>
                    </w:rPr>
                  </w:pPr>
                  <w:r>
                    <w:rPr>
                      <w:rFonts w:hint="eastAsia"/>
                      <w:color w:val="000000"/>
                      <w:kern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jc w:val="center"/>
                    <w:rPr>
                      <w:color w:val="000000"/>
                      <w:kern w:val="21"/>
                      <w:szCs w:val="21"/>
                    </w:rPr>
                  </w:pPr>
                  <w:r>
                    <w:rPr>
                      <w:rFonts w:hint="eastAsia"/>
                      <w:color w:val="000000"/>
                      <w:kern w:val="21"/>
                      <w:szCs w:val="21"/>
                    </w:rPr>
                    <w:t>海洋</w:t>
                  </w:r>
                </w:p>
              </w:tc>
              <w:tc>
                <w:tcPr>
                  <w:tcW w:w="2594" w:type="pct"/>
                  <w:vAlign w:val="center"/>
                </w:tcPr>
                <w:p>
                  <w:pPr>
                    <w:pStyle w:val="16"/>
                    <w:shd w:val="clear" w:color="auto" w:fill="FFFFFF"/>
                    <w:spacing w:before="120"/>
                    <w:jc w:val="center"/>
                    <w:rPr>
                      <w:rFonts w:hint="eastAsia" w:cs="宋体"/>
                      <w:color w:val="000000"/>
                      <w:kern w:val="21"/>
                      <w:sz w:val="21"/>
                      <w:szCs w:val="21"/>
                      <w:lang w:val="en-US" w:eastAsia="zh-CN"/>
                    </w:rPr>
                  </w:pPr>
                  <w:r>
                    <w:rPr>
                      <w:rFonts w:hint="eastAsia" w:cs="宋体"/>
                      <w:color w:val="000000"/>
                      <w:sz w:val="21"/>
                      <w:szCs w:val="21"/>
                      <w:lang w:val="en-US" w:eastAsia="zh-CN"/>
                    </w:rPr>
                    <w:t>直接向海排放污染物的海洋工程建设项目。</w:t>
                  </w:r>
                </w:p>
              </w:tc>
              <w:tc>
                <w:tcPr>
                  <w:tcW w:w="1081" w:type="pct"/>
                  <w:vAlign w:val="center"/>
                </w:tcPr>
                <w:p>
                  <w:pPr>
                    <w:jc w:val="center"/>
                    <w:rPr>
                      <w:color w:val="000000"/>
                      <w:kern w:val="21"/>
                      <w:szCs w:val="21"/>
                    </w:rPr>
                  </w:pPr>
                  <w:r>
                    <w:rPr>
                      <w:rFonts w:hint="eastAsia"/>
                      <w:color w:val="000000"/>
                      <w:szCs w:val="21"/>
                    </w:rPr>
                    <w:t>本项目不涉及</w:t>
                  </w:r>
                </w:p>
              </w:tc>
              <w:tc>
                <w:tcPr>
                  <w:tcW w:w="576" w:type="pct"/>
                  <w:vAlign w:val="center"/>
                </w:tcPr>
                <w:p>
                  <w:pPr>
                    <w:jc w:val="center"/>
                    <w:rPr>
                      <w:color w:val="000000"/>
                      <w:kern w:val="21"/>
                      <w:szCs w:val="21"/>
                    </w:rPr>
                  </w:pPr>
                  <w:r>
                    <w:rPr>
                      <w:rFonts w:hint="eastAsia"/>
                      <w:color w:val="000000"/>
                      <w:kern w:val="21"/>
                      <w:szCs w:val="21"/>
                    </w:rPr>
                    <w:t>否</w:t>
                  </w:r>
                </w:p>
              </w:tc>
            </w:tr>
          </w:tbl>
          <w:p>
            <w:pPr>
              <w:autoSpaceDE w:val="0"/>
              <w:autoSpaceDN w:val="0"/>
              <w:adjustRightInd w:val="0"/>
              <w:snapToGrid w:val="0"/>
              <w:jc w:val="left"/>
              <w:rPr>
                <w:color w:val="000000"/>
                <w:kern w:val="0"/>
                <w:sz w:val="24"/>
              </w:rPr>
            </w:pPr>
            <w:r>
              <w:rPr>
                <w:rFonts w:hint="eastAsia"/>
                <w:color w:val="000000"/>
                <w:szCs w:val="21"/>
              </w:rPr>
              <w:t>经判定，本项目无需设置专项评价。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382" w:type="dxa"/>
            <w:vAlign w:val="center"/>
          </w:tcPr>
          <w:p>
            <w:pPr>
              <w:autoSpaceDE w:val="0"/>
              <w:autoSpaceDN w:val="0"/>
              <w:adjustRightInd w:val="0"/>
              <w:snapToGrid w:val="0"/>
              <w:jc w:val="center"/>
              <w:rPr>
                <w:color w:val="000000"/>
                <w:kern w:val="0"/>
                <w:sz w:val="24"/>
              </w:rPr>
            </w:pPr>
            <w:r>
              <w:rPr>
                <w:color w:val="000000"/>
                <w:sz w:val="24"/>
              </w:rPr>
              <w:t>规划情况</w:t>
            </w:r>
          </w:p>
        </w:tc>
        <w:tc>
          <w:tcPr>
            <w:tcW w:w="6488" w:type="dxa"/>
            <w:gridSpan w:val="4"/>
            <w:vAlign w:val="center"/>
          </w:tcPr>
          <w:p>
            <w:pPr>
              <w:autoSpaceDE w:val="0"/>
              <w:autoSpaceDN w:val="0"/>
              <w:spacing w:line="360" w:lineRule="auto"/>
              <w:jc w:val="left"/>
              <w:rPr>
                <w:color w:val="000000"/>
                <w:kern w:val="0"/>
                <w:sz w:val="24"/>
              </w:rPr>
            </w:pPr>
            <w:r>
              <w:rPr>
                <w:b/>
                <w:bCs/>
                <w:color w:val="000000"/>
                <w:kern w:val="0"/>
                <w:sz w:val="24"/>
              </w:rPr>
              <w:t>规划名称：</w:t>
            </w:r>
            <w:r>
              <w:rPr>
                <w:color w:val="000000"/>
                <w:kern w:val="0"/>
                <w:sz w:val="24"/>
              </w:rPr>
              <w:t>《</w:t>
            </w:r>
            <w:r>
              <w:rPr>
                <w:rFonts w:hint="eastAsia"/>
                <w:color w:val="000000"/>
                <w:kern w:val="0"/>
                <w:sz w:val="24"/>
              </w:rPr>
              <w:t>福清融侨经济技术开发区总体规划（2018-2035年）</w:t>
            </w:r>
            <w:r>
              <w:rPr>
                <w:color w:val="000000"/>
                <w:kern w:val="0"/>
                <w:sz w:val="24"/>
              </w:rPr>
              <w:t>》</w:t>
            </w:r>
          </w:p>
          <w:p>
            <w:pPr>
              <w:autoSpaceDE w:val="0"/>
              <w:autoSpaceDN w:val="0"/>
              <w:adjustRightInd w:val="0"/>
              <w:spacing w:line="360" w:lineRule="auto"/>
              <w:jc w:val="left"/>
              <w:rPr>
                <w:rFonts w:hint="eastAsia" w:ascii="宋体" w:hAnsi="宋体"/>
                <w:color w:val="000000"/>
              </w:rPr>
            </w:pPr>
            <w:r>
              <w:rPr>
                <w:b/>
                <w:bCs/>
                <w:color w:val="000000"/>
                <w:kern w:val="0"/>
                <w:sz w:val="24"/>
              </w:rPr>
              <w:t>审批文件名称及文号：</w:t>
            </w:r>
            <w:r>
              <w:rPr>
                <w:rFonts w:hint="eastAsia"/>
                <w:color w:val="000000"/>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djustRightInd w:val="0"/>
              <w:snapToGrid w:val="0"/>
              <w:jc w:val="center"/>
              <w:rPr>
                <w:color w:val="000000"/>
                <w:sz w:val="24"/>
              </w:rPr>
            </w:pPr>
            <w:r>
              <w:rPr>
                <w:color w:val="000000"/>
                <w:sz w:val="24"/>
              </w:rPr>
              <w:t>规划环境影响</w:t>
            </w:r>
          </w:p>
          <w:p>
            <w:pPr>
              <w:adjustRightInd w:val="0"/>
              <w:snapToGrid w:val="0"/>
              <w:jc w:val="center"/>
              <w:rPr>
                <w:color w:val="000000"/>
                <w:kern w:val="0"/>
                <w:sz w:val="24"/>
              </w:rPr>
            </w:pPr>
            <w:r>
              <w:rPr>
                <w:color w:val="000000"/>
                <w:sz w:val="24"/>
              </w:rPr>
              <w:t>评价情况</w:t>
            </w:r>
          </w:p>
        </w:tc>
        <w:tc>
          <w:tcPr>
            <w:tcW w:w="6488" w:type="dxa"/>
            <w:gridSpan w:val="4"/>
            <w:vAlign w:val="center"/>
          </w:tcPr>
          <w:p>
            <w:pPr>
              <w:autoSpaceDE w:val="0"/>
              <w:autoSpaceDN w:val="0"/>
              <w:spacing w:line="360" w:lineRule="auto"/>
              <w:jc w:val="left"/>
              <w:rPr>
                <w:color w:val="000000"/>
                <w:kern w:val="0"/>
                <w:sz w:val="24"/>
              </w:rPr>
            </w:pPr>
            <w:r>
              <w:rPr>
                <w:b/>
                <w:bCs/>
                <w:color w:val="000000"/>
                <w:kern w:val="0"/>
                <w:sz w:val="24"/>
              </w:rPr>
              <w:t>规划</w:t>
            </w:r>
            <w:r>
              <w:rPr>
                <w:rFonts w:hint="eastAsia"/>
                <w:b/>
                <w:bCs/>
                <w:color w:val="000000"/>
                <w:kern w:val="0"/>
                <w:sz w:val="24"/>
              </w:rPr>
              <w:t>环境影响评价文件</w:t>
            </w:r>
            <w:r>
              <w:rPr>
                <w:b/>
                <w:bCs/>
                <w:color w:val="000000"/>
                <w:kern w:val="0"/>
                <w:sz w:val="24"/>
              </w:rPr>
              <w:t>名称：</w:t>
            </w:r>
            <w:r>
              <w:rPr>
                <w:color w:val="000000"/>
                <w:kern w:val="0"/>
                <w:sz w:val="24"/>
              </w:rPr>
              <w:t>《</w:t>
            </w:r>
            <w:r>
              <w:rPr>
                <w:rFonts w:hint="eastAsia"/>
                <w:color w:val="000000"/>
                <w:kern w:val="0"/>
                <w:sz w:val="24"/>
              </w:rPr>
              <w:t>福清融侨经济技术开发区总体规划</w:t>
            </w:r>
            <w:r>
              <w:rPr>
                <w:color w:val="000000"/>
                <w:kern w:val="0"/>
                <w:sz w:val="24"/>
              </w:rPr>
              <w:t>（2018-2035）环境影响报告书》</w:t>
            </w:r>
          </w:p>
          <w:p>
            <w:pPr>
              <w:autoSpaceDE w:val="0"/>
              <w:autoSpaceDN w:val="0"/>
              <w:spacing w:line="360" w:lineRule="auto"/>
              <w:jc w:val="left"/>
              <w:rPr>
                <w:color w:val="000000"/>
                <w:kern w:val="0"/>
                <w:sz w:val="24"/>
              </w:rPr>
            </w:pPr>
            <w:r>
              <w:rPr>
                <w:b/>
                <w:bCs/>
                <w:color w:val="000000"/>
                <w:kern w:val="0"/>
                <w:sz w:val="24"/>
              </w:rPr>
              <w:t>审</w:t>
            </w:r>
            <w:r>
              <w:rPr>
                <w:rFonts w:hint="eastAsia"/>
                <w:b/>
                <w:bCs/>
                <w:color w:val="000000"/>
                <w:kern w:val="0"/>
                <w:sz w:val="24"/>
              </w:rPr>
              <w:t>查</w:t>
            </w:r>
            <w:r>
              <w:rPr>
                <w:b/>
                <w:bCs/>
                <w:color w:val="000000"/>
                <w:kern w:val="0"/>
                <w:sz w:val="24"/>
              </w:rPr>
              <w:t>机关：</w:t>
            </w:r>
            <w:r>
              <w:rPr>
                <w:rFonts w:hint="eastAsia"/>
                <w:color w:val="000000"/>
                <w:kern w:val="0"/>
                <w:sz w:val="24"/>
              </w:rPr>
              <w:t>中华人民共和国生态环境部</w:t>
            </w:r>
          </w:p>
          <w:p>
            <w:pPr>
              <w:autoSpaceDE w:val="0"/>
              <w:autoSpaceDN w:val="0"/>
              <w:adjustRightInd w:val="0"/>
              <w:spacing w:line="360" w:lineRule="auto"/>
              <w:jc w:val="left"/>
              <w:rPr>
                <w:rFonts w:hint="eastAsia" w:ascii="宋体" w:hAnsi="宋体"/>
                <w:color w:val="000000"/>
                <w:sz w:val="24"/>
              </w:rPr>
            </w:pPr>
            <w:r>
              <w:rPr>
                <w:b/>
                <w:bCs/>
                <w:color w:val="000000"/>
                <w:kern w:val="0"/>
                <w:sz w:val="24"/>
              </w:rPr>
              <w:t>审</w:t>
            </w:r>
            <w:r>
              <w:rPr>
                <w:rFonts w:hint="eastAsia"/>
                <w:b/>
                <w:bCs/>
                <w:color w:val="000000"/>
                <w:kern w:val="0"/>
                <w:sz w:val="24"/>
              </w:rPr>
              <w:t>查</w:t>
            </w:r>
            <w:r>
              <w:rPr>
                <w:b/>
                <w:bCs/>
                <w:color w:val="000000"/>
                <w:kern w:val="0"/>
                <w:sz w:val="24"/>
              </w:rPr>
              <w:t>文件名称及文号：</w:t>
            </w:r>
            <w:r>
              <w:rPr>
                <w:color w:val="000000"/>
                <w:kern w:val="0"/>
                <w:sz w:val="24"/>
              </w:rPr>
              <w:t>《福清融侨经济技术开发区总体规划（2018-2035）环境影响报告书》（</w:t>
            </w:r>
            <w:r>
              <w:rPr>
                <w:rFonts w:hint="eastAsia"/>
                <w:color w:val="000000"/>
                <w:kern w:val="0"/>
                <w:sz w:val="24"/>
              </w:rPr>
              <w:t>环审【2020】80号</w:t>
            </w:r>
            <w:r>
              <w:rPr>
                <w:color w:val="000000"/>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2382" w:type="dxa"/>
            <w:vAlign w:val="center"/>
          </w:tcPr>
          <w:p>
            <w:pPr>
              <w:autoSpaceDE w:val="0"/>
              <w:autoSpaceDN w:val="0"/>
              <w:adjustRightInd w:val="0"/>
              <w:snapToGrid w:val="0"/>
              <w:jc w:val="center"/>
              <w:rPr>
                <w:color w:val="000000"/>
                <w:kern w:val="0"/>
                <w:sz w:val="24"/>
              </w:rPr>
            </w:pPr>
            <w:r>
              <w:rPr>
                <w:color w:val="000000"/>
                <w:kern w:val="0"/>
                <w:sz w:val="24"/>
              </w:rPr>
              <w:t>规划及规划环境</w:t>
            </w:r>
          </w:p>
          <w:p>
            <w:pPr>
              <w:autoSpaceDE w:val="0"/>
              <w:autoSpaceDN w:val="0"/>
              <w:adjustRightInd w:val="0"/>
              <w:snapToGrid w:val="0"/>
              <w:jc w:val="center"/>
              <w:rPr>
                <w:color w:val="000000"/>
                <w:kern w:val="0"/>
                <w:sz w:val="24"/>
              </w:rPr>
            </w:pPr>
            <w:r>
              <w:rPr>
                <w:color w:val="000000"/>
                <w:kern w:val="0"/>
                <w:sz w:val="24"/>
              </w:rPr>
              <w:t>影响评价符合性分析</w:t>
            </w:r>
          </w:p>
        </w:tc>
        <w:tc>
          <w:tcPr>
            <w:tcW w:w="6488" w:type="dxa"/>
            <w:gridSpan w:val="4"/>
            <w:vAlign w:val="center"/>
          </w:tcPr>
          <w:p>
            <w:pPr>
              <w:pStyle w:val="147"/>
              <w:ind w:firstLine="0" w:firstLineChars="0"/>
              <w:rPr>
                <w:b/>
                <w:bCs/>
                <w:color w:val="000000"/>
              </w:rPr>
            </w:pPr>
            <w:r>
              <w:rPr>
                <w:b/>
                <w:bCs/>
                <w:color w:val="000000"/>
              </w:rPr>
              <w:t>1</w:t>
            </w:r>
            <w:r>
              <w:rPr>
                <w:rFonts w:hint="eastAsia"/>
                <w:b/>
                <w:bCs/>
                <w:color w:val="000000"/>
              </w:rPr>
              <w:t>、与《福清融侨经济技术开发区总体规划</w:t>
            </w:r>
            <w:r>
              <w:rPr>
                <w:b/>
                <w:bCs/>
                <w:color w:val="000000"/>
              </w:rPr>
              <w:t>(2018-2035</w:t>
            </w:r>
            <w:r>
              <w:rPr>
                <w:rFonts w:hint="eastAsia"/>
                <w:b/>
                <w:bCs/>
                <w:color w:val="000000"/>
              </w:rPr>
              <w:t>年</w:t>
            </w:r>
            <w:r>
              <w:rPr>
                <w:b/>
                <w:bCs/>
                <w:color w:val="000000"/>
              </w:rPr>
              <w:t>)</w:t>
            </w:r>
            <w:r>
              <w:rPr>
                <w:rFonts w:hint="eastAsia"/>
                <w:b/>
                <w:bCs/>
                <w:color w:val="000000"/>
              </w:rPr>
              <w:t>》符合性分析</w:t>
            </w:r>
          </w:p>
          <w:p>
            <w:pPr>
              <w:pStyle w:val="147"/>
              <w:ind w:firstLine="480"/>
              <w:rPr>
                <w:color w:val="000000"/>
              </w:rPr>
            </w:pPr>
            <w:r>
              <w:rPr>
                <w:rFonts w:hint="eastAsia"/>
                <w:color w:val="000000"/>
              </w:rPr>
              <w:t>根据总体规划内容可知，开发区为理顺与中心城区的发展关系，建立健全</w:t>
            </w:r>
            <w:r>
              <w:rPr>
                <w:color w:val="000000"/>
              </w:rPr>
              <w:t>“</w:t>
            </w:r>
            <w:r>
              <w:rPr>
                <w:rFonts w:hint="eastAsia"/>
                <w:color w:val="000000"/>
              </w:rPr>
              <w:t>多规合一</w:t>
            </w:r>
            <w:r>
              <w:rPr>
                <w:color w:val="000000"/>
              </w:rPr>
              <w:t>”</w:t>
            </w:r>
            <w:r>
              <w:rPr>
                <w:rFonts w:hint="eastAsia"/>
                <w:color w:val="000000"/>
              </w:rPr>
              <w:t>体制机制，突出开发区核心产业优势，强调龙头企业引领，通过</w:t>
            </w:r>
            <w:r>
              <w:rPr>
                <w:color w:val="000000"/>
              </w:rPr>
              <w:t>“</w:t>
            </w:r>
            <w:r>
              <w:rPr>
                <w:rFonts w:hint="eastAsia"/>
                <w:color w:val="000000"/>
              </w:rPr>
              <w:t>组团式</w:t>
            </w:r>
            <w:r>
              <w:rPr>
                <w:color w:val="000000"/>
              </w:rPr>
              <w:t>”</w:t>
            </w:r>
            <w:r>
              <w:rPr>
                <w:rFonts w:hint="eastAsia"/>
                <w:color w:val="000000"/>
              </w:rPr>
              <w:t>布局，着力营造融侨经济技术开发区</w:t>
            </w:r>
            <w:r>
              <w:rPr>
                <w:color w:val="000000"/>
              </w:rPr>
              <w:t>“</w:t>
            </w:r>
            <w:r>
              <w:rPr>
                <w:rFonts w:hint="eastAsia"/>
                <w:color w:val="000000"/>
              </w:rPr>
              <w:t>现代生态开发区</w:t>
            </w:r>
            <w:r>
              <w:rPr>
                <w:color w:val="000000"/>
              </w:rPr>
              <w:t>”</w:t>
            </w:r>
            <w:r>
              <w:rPr>
                <w:rFonts w:hint="eastAsia"/>
                <w:color w:val="000000"/>
              </w:rPr>
              <w:t>的空间特色，规划整体形成</w:t>
            </w:r>
            <w:r>
              <w:rPr>
                <w:color w:val="000000"/>
              </w:rPr>
              <w:t>“</w:t>
            </w:r>
            <w:r>
              <w:rPr>
                <w:rFonts w:hint="eastAsia"/>
                <w:color w:val="000000"/>
              </w:rPr>
              <w:t>一区三园多组团</w:t>
            </w:r>
            <w:r>
              <w:rPr>
                <w:color w:val="000000"/>
              </w:rPr>
              <w:t>”</w:t>
            </w:r>
            <w:r>
              <w:rPr>
                <w:rFonts w:hint="eastAsia"/>
                <w:color w:val="000000"/>
              </w:rPr>
              <w:t>的空间结构。</w:t>
            </w:r>
            <w:r>
              <w:rPr>
                <w:color w:val="000000"/>
              </w:rPr>
              <w:t>“</w:t>
            </w:r>
            <w:r>
              <w:rPr>
                <w:rFonts w:hint="eastAsia"/>
                <w:color w:val="000000"/>
              </w:rPr>
              <w:t>一区</w:t>
            </w:r>
            <w:r>
              <w:rPr>
                <w:color w:val="000000"/>
              </w:rPr>
              <w:t>”</w:t>
            </w:r>
            <w:r>
              <w:rPr>
                <w:rFonts w:hint="eastAsia"/>
                <w:color w:val="000000"/>
              </w:rPr>
              <w:t>即融侨经济技术开发区，利用国家级开发区品牌，充分释放</w:t>
            </w:r>
            <w:r>
              <w:rPr>
                <w:color w:val="000000"/>
              </w:rPr>
              <w:t>“</w:t>
            </w:r>
            <w:r>
              <w:rPr>
                <w:rFonts w:hint="eastAsia"/>
                <w:color w:val="000000"/>
              </w:rPr>
              <w:t>五区叠加、一区毗邻</w:t>
            </w:r>
            <w:r>
              <w:rPr>
                <w:color w:val="000000"/>
              </w:rPr>
              <w:t>”</w:t>
            </w:r>
            <w:r>
              <w:rPr>
                <w:rFonts w:hint="eastAsia"/>
                <w:color w:val="000000"/>
              </w:rPr>
              <w:t>政策优势，以空间转型引领开发区的新一轮跨越发展。</w:t>
            </w:r>
            <w:r>
              <w:rPr>
                <w:color w:val="000000"/>
              </w:rPr>
              <w:t>“</w:t>
            </w:r>
            <w:r>
              <w:rPr>
                <w:rFonts w:hint="eastAsia"/>
                <w:color w:val="000000"/>
              </w:rPr>
              <w:t>三园</w:t>
            </w:r>
            <w:r>
              <w:rPr>
                <w:color w:val="000000"/>
              </w:rPr>
              <w:t>”</w:t>
            </w:r>
            <w:r>
              <w:rPr>
                <w:rFonts w:hint="eastAsia"/>
                <w:color w:val="000000"/>
              </w:rPr>
              <w:t>：即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color w:val="000000"/>
              </w:rPr>
              <w:t>“</w:t>
            </w:r>
            <w:r>
              <w:rPr>
                <w:rFonts w:hint="eastAsia"/>
                <w:color w:val="000000"/>
              </w:rPr>
              <w:t>双创</w:t>
            </w:r>
            <w:r>
              <w:rPr>
                <w:color w:val="000000"/>
              </w:rPr>
              <w:t>”</w:t>
            </w:r>
            <w:r>
              <w:rPr>
                <w:rFonts w:hint="eastAsia"/>
                <w:color w:val="000000"/>
              </w:rPr>
              <w:t>平台、现代服务业建设核心区，形成福清市极具影响力、辐射力和竞争力的大福清</w:t>
            </w:r>
            <w:r>
              <w:rPr>
                <w:color w:val="000000"/>
              </w:rPr>
              <w:t>“</w:t>
            </w:r>
            <w:r>
              <w:rPr>
                <w:rFonts w:hint="eastAsia"/>
                <w:color w:val="000000"/>
              </w:rPr>
              <w:t>副中心</w:t>
            </w:r>
            <w:r>
              <w:rPr>
                <w:color w:val="000000"/>
              </w:rPr>
              <w:t>”</w:t>
            </w:r>
            <w:r>
              <w:rPr>
                <w:rFonts w:hint="eastAsia"/>
                <w:color w:val="000000"/>
              </w:rPr>
              <w:t>。</w:t>
            </w:r>
            <w:r>
              <w:rPr>
                <w:rFonts w:hint="eastAsia"/>
                <w:b/>
                <w:bCs/>
                <w:color w:val="000000"/>
              </w:rPr>
              <w:t>城北产业园：依托京东方等电子信息龙头企业优势，以电子信息、光学、机械电气为主导，科技研发为支撑，突出转型升级、创新驱动、品牌带动和对台合作，建成高聚集效应、高技术水平、高带动力的高端科技创新产业园</w:t>
            </w:r>
            <w:r>
              <w:rPr>
                <w:rFonts w:hint="eastAsia"/>
                <w:color w:val="000000"/>
              </w:rPr>
              <w:t>。南部产业园：依托龙头企业的强劲动力，以及沈海高速、</w:t>
            </w:r>
            <w:r>
              <w:rPr>
                <w:color w:val="000000"/>
              </w:rPr>
              <w:t>324</w:t>
            </w:r>
            <w:r>
              <w:rPr>
                <w:rFonts w:hint="eastAsia"/>
                <w:color w:val="000000"/>
              </w:rPr>
              <w:t>国道的交通区位，重点发展与电子信息、精密汽车部件、光学相关配套上下游产业，通过校企联合、企业自主创新等方式推动园区内产业转型升级。</w:t>
            </w:r>
          </w:p>
          <w:p>
            <w:pPr>
              <w:pStyle w:val="147"/>
              <w:ind w:firstLine="480"/>
              <w:rPr>
                <w:color w:val="000000"/>
              </w:rPr>
            </w:pPr>
            <w:r>
              <w:rPr>
                <w:rFonts w:hint="eastAsia"/>
                <w:color w:val="000000"/>
              </w:rPr>
              <w:t>本规划分为核心区和协调区</w:t>
            </w:r>
            <w:r>
              <w:rPr>
                <w:color w:val="000000"/>
              </w:rPr>
              <w:t>2</w:t>
            </w:r>
            <w:r>
              <w:rPr>
                <w:rFonts w:hint="eastAsia"/>
                <w:color w:val="000000"/>
              </w:rPr>
              <w:t>个层次。其中：</w:t>
            </w:r>
          </w:p>
          <w:p>
            <w:pPr>
              <w:pStyle w:val="147"/>
              <w:ind w:firstLine="480"/>
              <w:rPr>
                <w:color w:val="000000"/>
              </w:rPr>
            </w:pPr>
            <w:r>
              <w:rPr>
                <w:rFonts w:hint="eastAsia"/>
                <w:color w:val="000000"/>
              </w:rPr>
              <w:t>（</w:t>
            </w:r>
            <w:r>
              <w:rPr>
                <w:color w:val="000000"/>
              </w:rPr>
              <w:t>1</w:t>
            </w:r>
            <w:r>
              <w:rPr>
                <w:rFonts w:hint="eastAsia"/>
                <w:color w:val="000000"/>
              </w:rPr>
              <w:t>）核心区：即国家批复的融侨经济技术开发区范围。土地面积</w:t>
            </w:r>
            <w:r>
              <w:rPr>
                <w:color w:val="000000"/>
              </w:rPr>
              <w:t>9.19</w:t>
            </w:r>
            <w:r>
              <w:rPr>
                <w:rFonts w:hint="eastAsia"/>
                <w:color w:val="000000"/>
              </w:rPr>
              <w:t>平方公里，其中宏路中心区</w:t>
            </w:r>
            <w:r>
              <w:rPr>
                <w:color w:val="000000"/>
              </w:rPr>
              <w:t>6.4</w:t>
            </w:r>
            <w:r>
              <w:rPr>
                <w:rFonts w:hint="eastAsia"/>
                <w:color w:val="000000"/>
              </w:rPr>
              <w:t>平方公里，洪宽工业村</w:t>
            </w:r>
            <w:r>
              <w:rPr>
                <w:color w:val="000000"/>
              </w:rPr>
              <w:t>2.79</w:t>
            </w:r>
            <w:r>
              <w:rPr>
                <w:rFonts w:hint="eastAsia"/>
                <w:color w:val="000000"/>
              </w:rPr>
              <w:t>平方公里。</w:t>
            </w:r>
          </w:p>
          <w:p>
            <w:pPr>
              <w:pStyle w:val="147"/>
              <w:ind w:firstLine="480"/>
              <w:rPr>
                <w:color w:val="000000"/>
              </w:rPr>
            </w:pPr>
            <w:r>
              <w:rPr>
                <w:rFonts w:hint="eastAsia"/>
                <w:color w:val="000000"/>
              </w:rPr>
              <w:t>（</w:t>
            </w:r>
            <w:r>
              <w:rPr>
                <w:color w:val="000000"/>
              </w:rPr>
              <w:t>2</w:t>
            </w:r>
            <w:r>
              <w:rPr>
                <w:rFonts w:hint="eastAsia"/>
                <w:color w:val="000000"/>
              </w:rPr>
              <w:t>）协调区：考虑到开发区与福清城区一体化发展，结合开发区委托代管范围，规划《福清市城市总体规划</w:t>
            </w:r>
            <w:r>
              <w:rPr>
                <w:color w:val="000000"/>
              </w:rPr>
              <w:t>(2017-2035)</w:t>
            </w:r>
            <w:r>
              <w:rPr>
                <w:rFonts w:hint="eastAsia"/>
                <w:color w:val="000000"/>
              </w:rPr>
              <w:t>》为依据，进一步将规划范围向外围扩展。协调区西至福厦高速，东依福长高速，北邻作坊村，南靠纵一路环线，土地面积</w:t>
            </w:r>
            <w:r>
              <w:rPr>
                <w:color w:val="000000"/>
              </w:rPr>
              <w:t>53.2</w:t>
            </w:r>
            <w:r>
              <w:rPr>
                <w:rFonts w:hint="eastAsia"/>
                <w:color w:val="000000"/>
              </w:rPr>
              <w:t>平方公里。本规划深度按协调区进行控制。</w:t>
            </w:r>
          </w:p>
          <w:p>
            <w:pPr>
              <w:pStyle w:val="147"/>
              <w:ind w:firstLine="480"/>
              <w:rPr>
                <w:color w:val="000000"/>
              </w:rPr>
            </w:pPr>
            <w:r>
              <w:rPr>
                <w:rFonts w:hint="eastAsia"/>
                <w:color w:val="000000"/>
              </w:rPr>
              <w:t>根据《福清融侨经济技术开发区总体规划</w:t>
            </w:r>
            <w:r>
              <w:rPr>
                <w:color w:val="000000"/>
              </w:rPr>
              <w:t>(2018-2035</w:t>
            </w:r>
            <w:r>
              <w:rPr>
                <w:rFonts w:hint="eastAsia"/>
                <w:color w:val="000000"/>
              </w:rPr>
              <w:t>年</w:t>
            </w:r>
            <w:r>
              <w:rPr>
                <w:color w:val="000000"/>
              </w:rPr>
              <w:t>)</w:t>
            </w:r>
            <w:r>
              <w:rPr>
                <w:rFonts w:hint="eastAsia"/>
                <w:color w:val="000000"/>
              </w:rPr>
              <w:t>》的</w:t>
            </w:r>
            <w:r>
              <w:rPr>
                <w:color w:val="000000"/>
              </w:rPr>
              <w:t>“</w:t>
            </w:r>
            <w:r>
              <w:rPr>
                <w:rFonts w:hint="eastAsia"/>
                <w:color w:val="000000"/>
              </w:rPr>
              <w:t>产业发展</w:t>
            </w:r>
            <w:r>
              <w:rPr>
                <w:color w:val="000000"/>
              </w:rPr>
              <w:t>-</w:t>
            </w:r>
            <w:r>
              <w:rPr>
                <w:rFonts w:hint="eastAsia"/>
                <w:color w:val="000000"/>
              </w:rPr>
              <w:t>第二十二条</w:t>
            </w:r>
            <w:r>
              <w:rPr>
                <w:color w:val="000000"/>
              </w:rPr>
              <w:t xml:space="preserve"> </w:t>
            </w:r>
            <w:r>
              <w:rPr>
                <w:rFonts w:hint="eastAsia"/>
                <w:color w:val="000000"/>
              </w:rPr>
              <w:t>构建</w:t>
            </w:r>
            <w:r>
              <w:rPr>
                <w:color w:val="000000"/>
              </w:rPr>
              <w:t>“3+1”</w:t>
            </w:r>
            <w:r>
              <w:rPr>
                <w:rFonts w:hint="eastAsia"/>
                <w:color w:val="000000"/>
              </w:rPr>
              <w:t>的产业体系：</w:t>
            </w:r>
          </w:p>
          <w:p>
            <w:pPr>
              <w:pStyle w:val="147"/>
              <w:ind w:firstLine="480"/>
              <w:rPr>
                <w:color w:val="000000"/>
              </w:rPr>
            </w:pPr>
            <w:r>
              <w:rPr>
                <w:color w:val="000000"/>
              </w:rPr>
              <w:t>1</w:t>
            </w:r>
            <w:r>
              <w:rPr>
                <w:rFonts w:hint="eastAsia"/>
                <w:color w:val="000000"/>
              </w:rPr>
              <w:t>、三大支柱产业</w:t>
            </w:r>
          </w:p>
          <w:p>
            <w:pPr>
              <w:pStyle w:val="147"/>
              <w:ind w:firstLine="480"/>
              <w:rPr>
                <w:color w:val="000000"/>
              </w:rPr>
            </w:pPr>
            <w:r>
              <w:rPr>
                <w:rFonts w:hint="eastAsia"/>
                <w:color w:val="000000"/>
              </w:rPr>
              <w:t>电子信息产业：显示科技、云计算、电子元器件、光电科技、计算机与智能终端设备等。</w:t>
            </w:r>
          </w:p>
          <w:p>
            <w:pPr>
              <w:pStyle w:val="147"/>
              <w:ind w:firstLine="480"/>
              <w:rPr>
                <w:color w:val="000000"/>
              </w:rPr>
            </w:pPr>
            <w:r>
              <w:rPr>
                <w:rFonts w:hint="eastAsia"/>
                <w:color w:val="000000"/>
              </w:rPr>
              <w:t>精密汽车部件产业：汽车电气电子装置、动力传动装置、汽车轴承、新能源动力电池等。</w:t>
            </w:r>
          </w:p>
          <w:p>
            <w:pPr>
              <w:pStyle w:val="147"/>
              <w:ind w:firstLine="480"/>
              <w:rPr>
                <w:color w:val="000000"/>
              </w:rPr>
            </w:pPr>
            <w:r>
              <w:rPr>
                <w:rFonts w:hint="eastAsia"/>
                <w:color w:val="000000"/>
              </w:rPr>
              <w:t>光学产业：光学部件、光通讯技术、电子光学、虚拟现实装置等。</w:t>
            </w:r>
            <w:r>
              <w:rPr>
                <w:color w:val="000000"/>
              </w:rPr>
              <w:t xml:space="preserve"> </w:t>
            </w:r>
          </w:p>
          <w:p>
            <w:pPr>
              <w:pStyle w:val="147"/>
              <w:ind w:firstLine="480"/>
              <w:rPr>
                <w:color w:val="000000"/>
              </w:rPr>
            </w:pPr>
            <w:r>
              <w:rPr>
                <w:rFonts w:hint="eastAsia"/>
                <w:color w:val="000000"/>
              </w:rPr>
              <w:t>在三大支柱产业基础之上，完善与其相关的配套产业。</w:t>
            </w:r>
            <w:r>
              <w:rPr>
                <w:color w:val="000000"/>
              </w:rPr>
              <w:t xml:space="preserve"> </w:t>
            </w:r>
          </w:p>
          <w:p>
            <w:pPr>
              <w:pStyle w:val="147"/>
              <w:ind w:firstLine="480"/>
              <w:rPr>
                <w:color w:val="000000"/>
              </w:rPr>
            </w:pPr>
            <w:r>
              <w:rPr>
                <w:color w:val="000000"/>
              </w:rPr>
              <w:t>2</w:t>
            </w:r>
            <w:r>
              <w:rPr>
                <w:rFonts w:hint="eastAsia"/>
                <w:color w:val="000000"/>
              </w:rPr>
              <w:t>、一项新兴产业</w:t>
            </w:r>
            <w:r>
              <w:rPr>
                <w:color w:val="000000"/>
              </w:rPr>
              <w:t xml:space="preserve"> </w:t>
            </w:r>
          </w:p>
          <w:p>
            <w:pPr>
              <w:pStyle w:val="147"/>
              <w:ind w:firstLine="480"/>
              <w:rPr>
                <w:color w:val="000000"/>
              </w:rPr>
            </w:pPr>
            <w:r>
              <w:rPr>
                <w:rFonts w:hint="eastAsia"/>
                <w:color w:val="000000"/>
              </w:rPr>
              <w:t>现代服务业：金融商务、总部经济、科技研发、文化创意、物流展销都市型产业与服务型制造业。</w:t>
            </w:r>
            <w:r>
              <w:rPr>
                <w:color w:val="000000"/>
              </w:rPr>
              <w:t>”</w:t>
            </w:r>
          </w:p>
          <w:p>
            <w:pPr>
              <w:pStyle w:val="147"/>
              <w:ind w:firstLine="480"/>
              <w:rPr>
                <w:color w:val="000000"/>
              </w:rPr>
            </w:pPr>
            <w:r>
              <w:rPr>
                <w:rFonts w:hint="eastAsia"/>
                <w:color w:val="000000"/>
              </w:rPr>
              <w:t>项目位于福清融侨经济开发区，项目产品EVA塑料颗粒属于电子信息产业配套制造业。因此项目选址符合《福清融侨经济技术开发区总体规划</w:t>
            </w:r>
            <w:r>
              <w:rPr>
                <w:color w:val="000000"/>
              </w:rPr>
              <w:t>(2018-2035</w:t>
            </w:r>
            <w:r>
              <w:rPr>
                <w:rFonts w:hint="eastAsia"/>
                <w:color w:val="000000"/>
              </w:rPr>
              <w:t>年</w:t>
            </w:r>
            <w:r>
              <w:rPr>
                <w:color w:val="000000"/>
              </w:rPr>
              <w:t>)</w:t>
            </w:r>
            <w:r>
              <w:rPr>
                <w:rFonts w:hint="eastAsia"/>
                <w:color w:val="000000"/>
              </w:rPr>
              <w:t>》。</w:t>
            </w:r>
          </w:p>
          <w:p>
            <w:pPr>
              <w:pStyle w:val="147"/>
              <w:ind w:firstLine="0" w:firstLineChars="0"/>
              <w:rPr>
                <w:b/>
                <w:bCs/>
                <w:color w:val="000000"/>
              </w:rPr>
            </w:pPr>
            <w:r>
              <w:rPr>
                <w:b/>
                <w:bCs/>
                <w:color w:val="000000"/>
              </w:rPr>
              <w:t>2</w:t>
            </w:r>
            <w:r>
              <w:rPr>
                <w:rFonts w:hint="eastAsia"/>
                <w:b/>
                <w:bCs/>
                <w:color w:val="000000"/>
              </w:rPr>
              <w:t>、与《福清融侨经济技术开发区总体规划环境影响报告书</w:t>
            </w:r>
            <w:r>
              <w:rPr>
                <w:b/>
                <w:bCs/>
                <w:color w:val="000000"/>
              </w:rPr>
              <w:t>(2018</w:t>
            </w:r>
            <w:r>
              <w:rPr>
                <w:rFonts w:hint="eastAsia"/>
                <w:b/>
                <w:bCs/>
                <w:color w:val="000000"/>
              </w:rPr>
              <w:t>一</w:t>
            </w:r>
            <w:r>
              <w:rPr>
                <w:b/>
                <w:bCs/>
                <w:color w:val="000000"/>
              </w:rPr>
              <w:t>2035</w:t>
            </w:r>
            <w:r>
              <w:rPr>
                <w:rFonts w:hint="eastAsia"/>
                <w:b/>
                <w:bCs/>
                <w:color w:val="000000"/>
              </w:rPr>
              <w:t>年</w:t>
            </w:r>
            <w:r>
              <w:rPr>
                <w:b/>
                <w:bCs/>
                <w:color w:val="000000"/>
              </w:rPr>
              <w:t>)</w:t>
            </w:r>
            <w:r>
              <w:rPr>
                <w:rFonts w:hint="eastAsia"/>
                <w:b/>
                <w:bCs/>
                <w:color w:val="000000"/>
              </w:rPr>
              <w:t>》符合性分析</w:t>
            </w:r>
          </w:p>
          <w:p>
            <w:pPr>
              <w:widowControl/>
              <w:spacing w:line="360" w:lineRule="auto"/>
              <w:ind w:firstLine="480" w:firstLineChars="200"/>
              <w:jc w:val="left"/>
              <w:rPr>
                <w:color w:val="000000"/>
                <w:sz w:val="24"/>
              </w:rPr>
            </w:pPr>
            <w:r>
              <w:rPr>
                <w:rFonts w:hint="eastAsia"/>
                <w:color w:val="000000"/>
                <w:sz w:val="24"/>
              </w:rPr>
              <w:t>根据《福清融侨经济技术开发区总体规划环境影响报告书</w:t>
            </w:r>
            <w:r>
              <w:rPr>
                <w:color w:val="000000"/>
                <w:sz w:val="24"/>
              </w:rPr>
              <w:t>(2018</w:t>
            </w:r>
            <w:r>
              <w:rPr>
                <w:rFonts w:hint="eastAsia"/>
                <w:color w:val="000000"/>
                <w:sz w:val="24"/>
              </w:rPr>
              <w:t>一</w:t>
            </w:r>
            <w:r>
              <w:rPr>
                <w:color w:val="000000"/>
                <w:sz w:val="24"/>
              </w:rPr>
              <w:t>2035</w:t>
            </w:r>
            <w:r>
              <w:rPr>
                <w:rFonts w:hint="eastAsia"/>
                <w:color w:val="000000"/>
                <w:sz w:val="24"/>
              </w:rPr>
              <w:t>年</w:t>
            </w:r>
            <w:r>
              <w:rPr>
                <w:color w:val="000000"/>
                <w:sz w:val="24"/>
              </w:rPr>
              <w:t>)</w:t>
            </w:r>
            <w:r>
              <w:rPr>
                <w:rFonts w:hint="eastAsia"/>
                <w:color w:val="000000"/>
                <w:sz w:val="24"/>
              </w:rPr>
              <w:t>》及其审查意见环审</w:t>
            </w:r>
            <w:r>
              <w:rPr>
                <w:color w:val="000000"/>
                <w:sz w:val="24"/>
              </w:rPr>
              <w:t>[2020]80</w:t>
            </w:r>
            <w:r>
              <w:rPr>
                <w:rFonts w:hint="eastAsia"/>
                <w:color w:val="000000"/>
                <w:sz w:val="24"/>
              </w:rPr>
              <w:t>号，融侨经济技术开发区主要以电子信息：显示科技、光电科技、电子元器件、通讯设备、计算机与智能终端设备等。机械电气：数控机床、精密磨具、光机电一体化等。汽车零配件：汽配玻璃、汽车零部件、变速器汽车轴承等。根据开发区对主导产业发展方向的定位，对照《国民经济行业分类》</w:t>
            </w:r>
            <w:r>
              <w:rPr>
                <w:color w:val="000000"/>
                <w:sz w:val="24"/>
              </w:rPr>
              <w:t>(GB/T4754-2017)</w:t>
            </w:r>
            <w:r>
              <w:rPr>
                <w:rFonts w:hint="eastAsia"/>
                <w:color w:val="000000"/>
                <w:sz w:val="24"/>
              </w:rPr>
              <w:t>，主导行业涉及国民经济类别主要包括</w:t>
            </w:r>
            <w:r>
              <w:rPr>
                <w:color w:val="000000"/>
                <w:sz w:val="24"/>
              </w:rPr>
              <w:t>C29</w:t>
            </w:r>
            <w:r>
              <w:rPr>
                <w:rFonts w:hint="eastAsia"/>
                <w:color w:val="000000"/>
                <w:sz w:val="24"/>
              </w:rPr>
              <w:t>、</w:t>
            </w:r>
            <w:r>
              <w:rPr>
                <w:color w:val="000000"/>
                <w:sz w:val="24"/>
              </w:rPr>
              <w:t>C304</w:t>
            </w:r>
            <w:r>
              <w:rPr>
                <w:rFonts w:hint="eastAsia"/>
                <w:color w:val="000000"/>
                <w:sz w:val="24"/>
              </w:rPr>
              <w:t>、</w:t>
            </w:r>
            <w:r>
              <w:rPr>
                <w:color w:val="000000"/>
                <w:sz w:val="24"/>
              </w:rPr>
              <w:t>C33</w:t>
            </w:r>
            <w:r>
              <w:rPr>
                <w:rFonts w:hint="eastAsia"/>
                <w:color w:val="000000"/>
                <w:sz w:val="24"/>
              </w:rPr>
              <w:t>、</w:t>
            </w:r>
            <w:r>
              <w:rPr>
                <w:color w:val="000000"/>
                <w:sz w:val="24"/>
              </w:rPr>
              <w:t>C34</w:t>
            </w:r>
            <w:r>
              <w:rPr>
                <w:rFonts w:hint="eastAsia"/>
                <w:color w:val="000000"/>
                <w:sz w:val="24"/>
              </w:rPr>
              <w:t>、</w:t>
            </w:r>
            <w:r>
              <w:rPr>
                <w:color w:val="000000"/>
                <w:sz w:val="24"/>
              </w:rPr>
              <w:t>C35</w:t>
            </w:r>
            <w:r>
              <w:rPr>
                <w:rFonts w:hint="eastAsia"/>
                <w:color w:val="000000"/>
                <w:sz w:val="24"/>
              </w:rPr>
              <w:t>、</w:t>
            </w:r>
            <w:r>
              <w:rPr>
                <w:color w:val="000000"/>
                <w:sz w:val="24"/>
              </w:rPr>
              <w:t>C36</w:t>
            </w:r>
            <w:r>
              <w:rPr>
                <w:rFonts w:hint="eastAsia"/>
                <w:color w:val="000000"/>
                <w:sz w:val="24"/>
              </w:rPr>
              <w:t>、</w:t>
            </w:r>
            <w:r>
              <w:rPr>
                <w:color w:val="000000"/>
                <w:sz w:val="24"/>
              </w:rPr>
              <w:t>C38</w:t>
            </w:r>
            <w:r>
              <w:rPr>
                <w:rFonts w:hint="eastAsia"/>
                <w:color w:val="000000"/>
                <w:sz w:val="24"/>
              </w:rPr>
              <w:t>、</w:t>
            </w:r>
            <w:r>
              <w:rPr>
                <w:color w:val="000000"/>
                <w:sz w:val="24"/>
              </w:rPr>
              <w:t>C39</w:t>
            </w:r>
            <w:r>
              <w:rPr>
                <w:rFonts w:hint="eastAsia"/>
                <w:color w:val="000000"/>
                <w:sz w:val="24"/>
              </w:rPr>
              <w:t>、</w:t>
            </w:r>
            <w:r>
              <w:rPr>
                <w:color w:val="000000"/>
                <w:sz w:val="24"/>
              </w:rPr>
              <w:t>C40</w:t>
            </w:r>
            <w:r>
              <w:rPr>
                <w:rFonts w:hint="eastAsia"/>
                <w:color w:val="000000"/>
                <w:sz w:val="24"/>
              </w:rPr>
              <w:t>；禁止新建，含电镀工艺、冶炼工艺、电解铝的项目，现有生产能力一定期限内搬迁；包装印刷业禁止使用不符合环保要求的油墨、胶黏剂。</w:t>
            </w:r>
          </w:p>
          <w:p>
            <w:pPr>
              <w:widowControl/>
              <w:spacing w:line="360" w:lineRule="auto"/>
              <w:ind w:firstLine="480" w:firstLineChars="200"/>
              <w:jc w:val="left"/>
              <w:rPr>
                <w:color w:val="000000"/>
                <w:sz w:val="24"/>
              </w:rPr>
            </w:pPr>
            <w:r>
              <w:rPr>
                <w:rFonts w:hint="eastAsia"/>
                <w:color w:val="000000"/>
                <w:sz w:val="24"/>
              </w:rPr>
              <w:t>项目产品EVA塑料颗粒属于</w:t>
            </w:r>
            <w:r>
              <w:rPr>
                <w:color w:val="000000"/>
                <w:sz w:val="24"/>
              </w:rPr>
              <w:t>C</w:t>
            </w:r>
            <w:r>
              <w:rPr>
                <w:rFonts w:hint="eastAsia"/>
                <w:color w:val="000000"/>
                <w:sz w:val="24"/>
              </w:rPr>
              <w:t>2</w:t>
            </w:r>
            <w:r>
              <w:rPr>
                <w:color w:val="000000"/>
                <w:sz w:val="24"/>
              </w:rPr>
              <w:t>9</w:t>
            </w:r>
            <w:r>
              <w:rPr>
                <w:rFonts w:hint="eastAsia"/>
                <w:color w:val="000000"/>
                <w:sz w:val="24"/>
              </w:rPr>
              <w:t>属于主导行业，项目生产工艺不涉及开炼、密炼、硫化工艺；采用电能作为能源、不涉及再生橡胶制造、橡胶加工、橡胶制品翻新不使用废旧塑料再生。因此本项目所属行业不属于禁止行业。</w:t>
            </w:r>
          </w:p>
          <w:p>
            <w:pPr>
              <w:widowControl/>
              <w:spacing w:line="360" w:lineRule="auto"/>
              <w:ind w:firstLine="480" w:firstLineChars="200"/>
              <w:jc w:val="left"/>
              <w:rPr>
                <w:color w:val="000000"/>
                <w:sz w:val="24"/>
              </w:rPr>
            </w:pPr>
            <w:r>
              <w:rPr>
                <w:rFonts w:hint="eastAsia"/>
                <w:color w:val="000000"/>
                <w:sz w:val="24"/>
              </w:rPr>
              <w:t>本项目位于福清融侨经济开发区与规划环评符合性分析如下表</w:t>
            </w:r>
            <w:r>
              <w:rPr>
                <w:color w:val="000000"/>
                <w:sz w:val="24"/>
              </w:rPr>
              <w:t>1.1-2</w:t>
            </w:r>
            <w:r>
              <w:rPr>
                <w:rFonts w:hint="eastAsia"/>
                <w:color w:val="000000"/>
                <w:sz w:val="24"/>
              </w:rPr>
              <w:t>所示。</w:t>
            </w:r>
          </w:p>
          <w:p>
            <w:pPr>
              <w:pStyle w:val="146"/>
              <w:spacing w:before="120"/>
              <w:rPr>
                <w:rFonts w:hint="eastAsia"/>
              </w:rPr>
            </w:pPr>
            <w:r>
              <w:rPr>
                <w:rFonts w:hint="eastAsia"/>
              </w:rPr>
              <w:t>表</w:t>
            </w:r>
            <w:r>
              <w:rPr>
                <w:lang w:val="en-US" w:eastAsia="zh-CN"/>
              </w:rPr>
              <w:t xml:space="preserve">1.1-2  </w:t>
            </w:r>
            <w:r>
              <w:rPr>
                <w:rFonts w:hint="eastAsia"/>
                <w:lang w:val="en-GB" w:eastAsia="zh-CN"/>
              </w:rPr>
              <w:t>项目与规划环境影响评价符合性分析对照表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2"/>
              <w:gridCol w:w="834"/>
              <w:gridCol w:w="2190"/>
              <w:gridCol w:w="1905"/>
              <w:gridCol w:w="69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12" w:type="pct"/>
                  <w:tcBorders>
                    <w:top w:val="single" w:color="auto" w:sz="12" w:space="0"/>
                    <w:left w:val="nil"/>
                    <w:bottom w:val="single" w:color="auto" w:sz="2" w:space="0"/>
                    <w:right w:val="single" w:color="auto" w:sz="2" w:space="0"/>
                  </w:tcBorders>
                  <w:vAlign w:val="center"/>
                </w:tcPr>
                <w:p>
                  <w:pPr>
                    <w:widowControl/>
                    <w:tabs>
                      <w:tab w:val="left" w:pos="3420"/>
                    </w:tabs>
                    <w:spacing w:line="340" w:lineRule="atLeast"/>
                    <w:jc w:val="center"/>
                    <w:rPr>
                      <w:color w:val="000000"/>
                      <w:szCs w:val="21"/>
                    </w:rPr>
                  </w:pPr>
                  <w:r>
                    <w:rPr>
                      <w:rFonts w:hint="eastAsia"/>
                      <w:color w:val="000000"/>
                      <w:szCs w:val="21"/>
                    </w:rPr>
                    <w:t>依据</w:t>
                  </w:r>
                </w:p>
              </w:tc>
              <w:tc>
                <w:tcPr>
                  <w:tcW w:w="4488" w:type="pct"/>
                  <w:gridSpan w:val="4"/>
                  <w:tcBorders>
                    <w:top w:val="single" w:color="auto" w:sz="12" w:space="0"/>
                    <w:left w:val="single" w:color="auto" w:sz="2" w:space="0"/>
                    <w:bottom w:val="single" w:color="auto" w:sz="2" w:space="0"/>
                    <w:right w:val="nil"/>
                  </w:tcBorders>
                  <w:vAlign w:val="center"/>
                </w:tcPr>
                <w:p>
                  <w:pPr>
                    <w:widowControl/>
                    <w:tabs>
                      <w:tab w:val="left" w:pos="3420"/>
                    </w:tabs>
                    <w:spacing w:line="340" w:lineRule="atLeast"/>
                    <w:jc w:val="center"/>
                    <w:rPr>
                      <w:color w:val="000000"/>
                      <w:szCs w:val="21"/>
                    </w:rPr>
                  </w:pPr>
                  <w:r>
                    <w:rPr>
                      <w:rFonts w:hint="eastAsia"/>
                      <w:color w:val="000000"/>
                      <w:szCs w:val="21"/>
                      <w:lang w:bidi="ar"/>
                    </w:rPr>
                    <w:t>规划区主导产业环境准入清单</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12" w:type="pct"/>
                  <w:vMerge w:val="restart"/>
                  <w:tcBorders>
                    <w:top w:val="single" w:color="auto" w:sz="2" w:space="0"/>
                    <w:left w:val="nil"/>
                    <w:bottom w:val="single" w:color="auto" w:sz="2" w:space="0"/>
                    <w:right w:val="single" w:color="auto" w:sz="2" w:space="0"/>
                  </w:tcBorders>
                  <w:vAlign w:val="center"/>
                </w:tcPr>
                <w:p>
                  <w:pPr>
                    <w:widowControl/>
                    <w:spacing w:line="340" w:lineRule="atLeast"/>
                    <w:jc w:val="center"/>
                    <w:rPr>
                      <w:rFonts w:hint="eastAsia" w:ascii="宋体" w:hAnsi="宋体" w:cs="宋体"/>
                      <w:color w:val="000000"/>
                      <w:kern w:val="0"/>
                      <w:szCs w:val="21"/>
                      <w:lang w:bidi="ar"/>
                    </w:rPr>
                  </w:pPr>
                  <w:r>
                    <w:rPr>
                      <w:rFonts w:hint="eastAsia" w:ascii="宋体" w:hAnsi="宋体" w:cs="宋体"/>
                      <w:color w:val="000000"/>
                      <w:kern w:val="0"/>
                      <w:szCs w:val="21"/>
                      <w:lang w:bidi="ar"/>
                    </w:rPr>
                    <w:t>规划环评影响报告书</w:t>
                  </w:r>
                </w:p>
              </w:tc>
              <w:tc>
                <w:tcPr>
                  <w:tcW w:w="665" w:type="pct"/>
                  <w:tcBorders>
                    <w:top w:val="single" w:color="auto" w:sz="2" w:space="0"/>
                    <w:left w:val="single" w:color="auto" w:sz="2" w:space="0"/>
                    <w:bottom w:val="single" w:color="auto" w:sz="2" w:space="0"/>
                    <w:right w:val="single" w:color="auto" w:sz="4" w:space="0"/>
                  </w:tcBorders>
                  <w:vAlign w:val="center"/>
                </w:tcPr>
                <w:p>
                  <w:pPr>
                    <w:widowControl/>
                    <w:spacing w:line="340" w:lineRule="atLeast"/>
                    <w:jc w:val="center"/>
                    <w:rPr>
                      <w:snapToGrid w:val="0"/>
                      <w:color w:val="000000"/>
                      <w:kern w:val="18"/>
                      <w:szCs w:val="21"/>
                    </w:rPr>
                  </w:pPr>
                  <w:r>
                    <w:rPr>
                      <w:rFonts w:hint="eastAsia"/>
                      <w:snapToGrid w:val="0"/>
                      <w:color w:val="000000"/>
                      <w:kern w:val="18"/>
                      <w:szCs w:val="21"/>
                    </w:rPr>
                    <w:t>类别名称</w:t>
                  </w:r>
                </w:p>
              </w:tc>
              <w:tc>
                <w:tcPr>
                  <w:tcW w:w="1747" w:type="pct"/>
                  <w:tcBorders>
                    <w:top w:val="single" w:color="auto" w:sz="2" w:space="0"/>
                    <w:left w:val="single" w:color="auto" w:sz="4" w:space="0"/>
                    <w:bottom w:val="single" w:color="auto" w:sz="2" w:space="0"/>
                    <w:right w:val="single" w:color="auto" w:sz="2" w:space="0"/>
                  </w:tcBorders>
                  <w:vAlign w:val="center"/>
                </w:tcPr>
                <w:p>
                  <w:pPr>
                    <w:widowControl/>
                    <w:spacing w:line="340" w:lineRule="atLeast"/>
                    <w:jc w:val="center"/>
                    <w:rPr>
                      <w:color w:val="000000"/>
                      <w:szCs w:val="21"/>
                      <w:lang w:val="en-GB"/>
                    </w:rPr>
                  </w:pPr>
                  <w:r>
                    <w:rPr>
                      <w:rFonts w:hint="eastAsia"/>
                      <w:snapToGrid w:val="0"/>
                      <w:color w:val="000000"/>
                      <w:kern w:val="18"/>
                      <w:szCs w:val="21"/>
                    </w:rPr>
                    <w:t>空间布局约束</w:t>
                  </w:r>
                </w:p>
              </w:tc>
              <w:tc>
                <w:tcPr>
                  <w:tcW w:w="1520" w:type="pct"/>
                  <w:tcBorders>
                    <w:top w:val="single" w:color="auto" w:sz="2" w:space="0"/>
                    <w:left w:val="single" w:color="auto" w:sz="2" w:space="0"/>
                    <w:bottom w:val="single" w:color="auto" w:sz="2" w:space="0"/>
                    <w:right w:val="single" w:color="auto" w:sz="2" w:space="0"/>
                  </w:tcBorders>
                  <w:vAlign w:val="center"/>
                </w:tcPr>
                <w:p>
                  <w:pPr>
                    <w:widowControl/>
                    <w:tabs>
                      <w:tab w:val="left" w:pos="3420"/>
                    </w:tabs>
                    <w:spacing w:line="340" w:lineRule="atLeast"/>
                    <w:jc w:val="center"/>
                    <w:rPr>
                      <w:color w:val="000000"/>
                      <w:szCs w:val="21"/>
                    </w:rPr>
                  </w:pPr>
                  <w:r>
                    <w:rPr>
                      <w:rFonts w:hint="eastAsia"/>
                      <w:color w:val="000000"/>
                      <w:szCs w:val="21"/>
                    </w:rPr>
                    <w:t>本项目情况</w:t>
                  </w:r>
                </w:p>
              </w:tc>
              <w:tc>
                <w:tcPr>
                  <w:tcW w:w="556" w:type="pct"/>
                  <w:tcBorders>
                    <w:top w:val="single" w:color="auto" w:sz="2" w:space="0"/>
                    <w:left w:val="single" w:color="auto" w:sz="2" w:space="0"/>
                    <w:bottom w:val="single" w:color="auto" w:sz="2" w:space="0"/>
                    <w:right w:val="nil"/>
                  </w:tcBorders>
                  <w:vAlign w:val="center"/>
                </w:tcPr>
                <w:p>
                  <w:pPr>
                    <w:widowControl/>
                    <w:tabs>
                      <w:tab w:val="left" w:pos="3420"/>
                    </w:tabs>
                    <w:spacing w:line="340" w:lineRule="atLeast"/>
                    <w:jc w:val="center"/>
                    <w:rPr>
                      <w:color w:val="000000"/>
                      <w:szCs w:val="21"/>
                    </w:rPr>
                  </w:pPr>
                  <w:r>
                    <w:rPr>
                      <w:rFonts w:hint="eastAsia"/>
                      <w:color w:val="000000"/>
                      <w:szCs w:val="21"/>
                    </w:rPr>
                    <w:t>符合性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12" w:type="pct"/>
                  <w:vMerge w:val="continue"/>
                  <w:tcBorders>
                    <w:top w:val="single" w:color="auto" w:sz="2" w:space="0"/>
                    <w:left w:val="nil"/>
                    <w:bottom w:val="single" w:color="auto" w:sz="2" w:space="0"/>
                    <w:right w:val="single" w:color="auto" w:sz="2" w:space="0"/>
                  </w:tcBorders>
                  <w:vAlign w:val="center"/>
                </w:tcPr>
                <w:p>
                  <w:pPr>
                    <w:widowControl/>
                    <w:spacing w:line="340" w:lineRule="atLeast"/>
                    <w:jc w:val="center"/>
                    <w:rPr>
                      <w:rFonts w:hint="eastAsia" w:ascii="宋体" w:hAnsi="宋体" w:cs="宋体"/>
                      <w:color w:val="000000"/>
                      <w:kern w:val="0"/>
                      <w:szCs w:val="21"/>
                      <w:lang w:bidi="ar"/>
                    </w:rPr>
                  </w:pPr>
                </w:p>
              </w:tc>
              <w:tc>
                <w:tcPr>
                  <w:tcW w:w="665" w:type="pct"/>
                  <w:tcBorders>
                    <w:top w:val="single" w:color="auto" w:sz="2" w:space="0"/>
                    <w:left w:val="single" w:color="auto" w:sz="2" w:space="0"/>
                    <w:bottom w:val="single" w:color="auto" w:sz="2" w:space="0"/>
                    <w:right w:val="single" w:color="auto" w:sz="4" w:space="0"/>
                  </w:tcBorders>
                  <w:vAlign w:val="center"/>
                </w:tcPr>
                <w:p>
                  <w:pPr>
                    <w:widowControl/>
                    <w:spacing w:line="340" w:lineRule="atLeast"/>
                    <w:jc w:val="center"/>
                    <w:rPr>
                      <w:snapToGrid w:val="0"/>
                      <w:color w:val="000000"/>
                      <w:kern w:val="18"/>
                      <w:szCs w:val="21"/>
                    </w:rPr>
                  </w:pPr>
                  <w:r>
                    <w:rPr>
                      <w:color w:val="000000"/>
                      <w:kern w:val="0"/>
                      <w:szCs w:val="21"/>
                      <w:lang w:bidi="ar"/>
                    </w:rPr>
                    <w:t xml:space="preserve">29 </w:t>
                  </w:r>
                  <w:r>
                    <w:rPr>
                      <w:rFonts w:hint="eastAsia" w:ascii="宋体" w:hAnsi="宋体" w:cs="宋体"/>
                      <w:color w:val="000000"/>
                      <w:kern w:val="0"/>
                      <w:szCs w:val="21"/>
                      <w:lang w:bidi="ar"/>
                    </w:rPr>
                    <w:t>橡胶和塑料制品业</w:t>
                  </w:r>
                </w:p>
              </w:tc>
              <w:tc>
                <w:tcPr>
                  <w:tcW w:w="1747" w:type="pct"/>
                  <w:tcBorders>
                    <w:top w:val="single" w:color="auto" w:sz="2" w:space="0"/>
                    <w:left w:val="single" w:color="auto" w:sz="4" w:space="0"/>
                    <w:bottom w:val="single" w:color="auto" w:sz="2" w:space="0"/>
                    <w:right w:val="single" w:color="auto" w:sz="2" w:space="0"/>
                  </w:tcBorders>
                  <w:vAlign w:val="center"/>
                </w:tcPr>
                <w:p>
                  <w:pPr>
                    <w:widowControl/>
                    <w:spacing w:line="340" w:lineRule="atLeast"/>
                    <w:jc w:val="center"/>
                    <w:rPr>
                      <w:color w:val="000000"/>
                      <w:szCs w:val="21"/>
                    </w:rPr>
                  </w:pPr>
                  <w:r>
                    <w:rPr>
                      <w:rFonts w:hint="eastAsia" w:ascii="宋体" w:hAnsi="宋体" w:cs="宋体"/>
                      <w:color w:val="000000"/>
                      <w:kern w:val="0"/>
                      <w:szCs w:val="21"/>
                      <w:lang w:bidi="ar"/>
                    </w:rPr>
                    <w:t>禁止新建：</w:t>
                  </w:r>
                </w:p>
                <w:p>
                  <w:pPr>
                    <w:widowControl/>
                    <w:spacing w:line="340" w:lineRule="atLeast"/>
                    <w:jc w:val="center"/>
                    <w:rPr>
                      <w:color w:val="000000"/>
                      <w:szCs w:val="21"/>
                    </w:rPr>
                  </w:pPr>
                  <w:r>
                    <w:rPr>
                      <w:color w:val="000000"/>
                      <w:kern w:val="0"/>
                      <w:szCs w:val="21"/>
                      <w:lang w:bidi="ar"/>
                    </w:rPr>
                    <w:t>1</w:t>
                  </w:r>
                  <w:r>
                    <w:rPr>
                      <w:rFonts w:hint="eastAsia" w:ascii="宋体" w:hAnsi="宋体" w:cs="宋体"/>
                      <w:color w:val="000000"/>
                      <w:kern w:val="0"/>
                      <w:szCs w:val="21"/>
                      <w:lang w:bidi="ar"/>
                    </w:rPr>
                    <w:t>、涉及开炼、密炼、硫化工艺</w:t>
                  </w:r>
                </w:p>
                <w:p>
                  <w:pPr>
                    <w:widowControl/>
                    <w:spacing w:line="340" w:lineRule="atLeast"/>
                    <w:jc w:val="center"/>
                    <w:rPr>
                      <w:color w:val="000000"/>
                      <w:szCs w:val="21"/>
                    </w:rPr>
                  </w:pPr>
                  <w:r>
                    <w:rPr>
                      <w:color w:val="000000"/>
                      <w:kern w:val="0"/>
                      <w:szCs w:val="21"/>
                      <w:lang w:bidi="ar"/>
                    </w:rPr>
                    <w:t>2</w:t>
                  </w:r>
                  <w:r>
                    <w:rPr>
                      <w:rFonts w:hint="eastAsia" w:ascii="宋体" w:hAnsi="宋体" w:cs="宋体"/>
                      <w:color w:val="000000"/>
                      <w:kern w:val="0"/>
                      <w:szCs w:val="21"/>
                      <w:lang w:bidi="ar"/>
                    </w:rPr>
                    <w:t>、采用煤、油、生物质等非清洁能源</w:t>
                  </w:r>
                </w:p>
                <w:p>
                  <w:pPr>
                    <w:widowControl/>
                    <w:spacing w:line="340" w:lineRule="atLeast"/>
                    <w:jc w:val="center"/>
                    <w:rPr>
                      <w:color w:val="000000"/>
                      <w:szCs w:val="21"/>
                    </w:rPr>
                  </w:pPr>
                  <w:r>
                    <w:rPr>
                      <w:color w:val="000000"/>
                      <w:kern w:val="0"/>
                      <w:szCs w:val="21"/>
                      <w:lang w:bidi="ar"/>
                    </w:rPr>
                    <w:t>3</w:t>
                  </w:r>
                  <w:r>
                    <w:rPr>
                      <w:rFonts w:hint="eastAsia" w:ascii="宋体" w:hAnsi="宋体" w:cs="宋体"/>
                      <w:color w:val="000000"/>
                      <w:kern w:val="0"/>
                      <w:szCs w:val="21"/>
                      <w:lang w:bidi="ar"/>
                    </w:rPr>
                    <w:t>、再生橡胶制造、橡胶加工、橡胶制品翻新</w:t>
                  </w:r>
                </w:p>
                <w:p>
                  <w:pPr>
                    <w:widowControl/>
                    <w:spacing w:line="340" w:lineRule="atLeast"/>
                    <w:jc w:val="center"/>
                    <w:rPr>
                      <w:color w:val="000000"/>
                      <w:szCs w:val="21"/>
                    </w:rPr>
                  </w:pPr>
                  <w:r>
                    <w:rPr>
                      <w:color w:val="000000"/>
                      <w:kern w:val="0"/>
                      <w:szCs w:val="21"/>
                      <w:lang w:bidi="ar"/>
                    </w:rPr>
                    <w:t>4</w:t>
                  </w:r>
                  <w:r>
                    <w:rPr>
                      <w:rFonts w:hint="eastAsia" w:ascii="宋体" w:hAnsi="宋体" w:cs="宋体"/>
                      <w:color w:val="000000"/>
                      <w:kern w:val="0"/>
                      <w:szCs w:val="21"/>
                      <w:lang w:bidi="ar"/>
                    </w:rPr>
                    <w:t>、废旧塑料再生</w:t>
                  </w:r>
                </w:p>
                <w:p>
                  <w:pPr>
                    <w:widowControl/>
                    <w:spacing w:line="340" w:lineRule="atLeast"/>
                    <w:jc w:val="center"/>
                    <w:rPr>
                      <w:snapToGrid w:val="0"/>
                      <w:color w:val="000000"/>
                      <w:kern w:val="18"/>
                      <w:szCs w:val="21"/>
                    </w:rPr>
                  </w:pPr>
                  <w:r>
                    <w:rPr>
                      <w:rFonts w:hint="eastAsia" w:ascii="宋体" w:hAnsi="宋体" w:cs="宋体"/>
                      <w:color w:val="000000"/>
                      <w:kern w:val="0"/>
                      <w:szCs w:val="21"/>
                      <w:lang w:bidi="ar"/>
                    </w:rPr>
                    <w:t>现有生产能力允许企业在一定期限内采取措施改造升级</w:t>
                  </w:r>
                </w:p>
              </w:tc>
              <w:tc>
                <w:tcPr>
                  <w:tcW w:w="1520" w:type="pct"/>
                  <w:tcBorders>
                    <w:top w:val="single" w:color="auto" w:sz="2" w:space="0"/>
                    <w:left w:val="single" w:color="auto" w:sz="2" w:space="0"/>
                    <w:bottom w:val="single" w:color="auto" w:sz="2" w:space="0"/>
                    <w:right w:val="single" w:color="auto" w:sz="2" w:space="0"/>
                  </w:tcBorders>
                  <w:vAlign w:val="center"/>
                </w:tcPr>
                <w:p>
                  <w:pPr>
                    <w:widowControl/>
                    <w:tabs>
                      <w:tab w:val="left" w:pos="3420"/>
                    </w:tabs>
                    <w:spacing w:line="340" w:lineRule="atLeast"/>
                    <w:jc w:val="left"/>
                    <w:rPr>
                      <w:rFonts w:hint="eastAsia" w:ascii="宋体" w:hAnsi="宋体" w:cs="宋体"/>
                      <w:color w:val="000000"/>
                      <w:kern w:val="0"/>
                      <w:szCs w:val="21"/>
                      <w:lang w:bidi="ar"/>
                    </w:rPr>
                  </w:pPr>
                  <w:r>
                    <w:rPr>
                      <w:rFonts w:hint="eastAsia"/>
                      <w:color w:val="000000"/>
                    </w:rPr>
                    <w:t>1、项目EVA塑料颗粒生产不涉及开炼</w:t>
                  </w:r>
                  <w:r>
                    <w:rPr>
                      <w:rFonts w:hint="eastAsia" w:ascii="宋体" w:hAnsi="宋体" w:cs="宋体"/>
                      <w:color w:val="000000"/>
                      <w:kern w:val="0"/>
                      <w:szCs w:val="21"/>
                      <w:lang w:bidi="ar"/>
                    </w:rPr>
                    <w:t>、密炼、硫化工艺；</w:t>
                  </w:r>
                </w:p>
                <w:p>
                  <w:pPr>
                    <w:widowControl/>
                    <w:tabs>
                      <w:tab w:val="left" w:pos="3420"/>
                    </w:tabs>
                    <w:spacing w:line="340" w:lineRule="atLeast"/>
                    <w:jc w:val="left"/>
                    <w:rPr>
                      <w:color w:val="000000"/>
                      <w:szCs w:val="21"/>
                    </w:rPr>
                  </w:pPr>
                  <w:r>
                    <w:rPr>
                      <w:rFonts w:hint="eastAsia"/>
                      <w:color w:val="000000"/>
                      <w:szCs w:val="21"/>
                    </w:rPr>
                    <w:t>2、项目EVA</w:t>
                  </w:r>
                  <w:r>
                    <w:rPr>
                      <w:rFonts w:hint="eastAsia"/>
                      <w:color w:val="000000"/>
                    </w:rPr>
                    <w:t>塑料颗粒生产</w:t>
                  </w:r>
                  <w:r>
                    <w:rPr>
                      <w:rFonts w:hint="eastAsia"/>
                      <w:color w:val="000000"/>
                      <w:szCs w:val="21"/>
                    </w:rPr>
                    <w:t>使用电能为能源属于清洁能源；</w:t>
                  </w:r>
                </w:p>
                <w:p>
                  <w:pPr>
                    <w:widowControl/>
                    <w:spacing w:line="340" w:lineRule="atLeast"/>
                    <w:jc w:val="left"/>
                    <w:rPr>
                      <w:rFonts w:hint="eastAsia" w:ascii="宋体" w:hAnsi="宋体" w:cs="宋体"/>
                      <w:color w:val="000000"/>
                      <w:kern w:val="0"/>
                      <w:szCs w:val="21"/>
                      <w:lang w:bidi="ar"/>
                    </w:rPr>
                  </w:pPr>
                  <w:r>
                    <w:rPr>
                      <w:rFonts w:hint="eastAsia"/>
                      <w:color w:val="000000"/>
                      <w:szCs w:val="21"/>
                    </w:rPr>
                    <w:t>3、项目EVA</w:t>
                  </w:r>
                  <w:r>
                    <w:rPr>
                      <w:rFonts w:hint="eastAsia"/>
                      <w:color w:val="000000"/>
                    </w:rPr>
                    <w:t>塑料颗粒生产</w:t>
                  </w:r>
                  <w:r>
                    <w:rPr>
                      <w:rFonts w:hint="eastAsia"/>
                      <w:color w:val="000000"/>
                      <w:szCs w:val="21"/>
                    </w:rPr>
                    <w:t>无</w:t>
                  </w:r>
                  <w:r>
                    <w:rPr>
                      <w:rFonts w:hint="eastAsia" w:ascii="宋体" w:hAnsi="宋体" w:cs="宋体"/>
                      <w:color w:val="000000"/>
                      <w:kern w:val="0"/>
                      <w:szCs w:val="21"/>
                      <w:lang w:bidi="ar"/>
                    </w:rPr>
                    <w:t>再生橡胶制造、橡胶加工、橡胶制品翻新工艺</w:t>
                  </w:r>
                </w:p>
                <w:p>
                  <w:pPr>
                    <w:widowControl/>
                    <w:tabs>
                      <w:tab w:val="left" w:pos="3420"/>
                    </w:tabs>
                    <w:spacing w:line="340" w:lineRule="atLeast"/>
                    <w:jc w:val="center"/>
                    <w:rPr>
                      <w:color w:val="000000"/>
                      <w:szCs w:val="21"/>
                    </w:rPr>
                  </w:pPr>
                  <w:r>
                    <w:rPr>
                      <w:rFonts w:hint="eastAsia" w:ascii="宋体" w:hAnsi="宋体" w:cs="宋体"/>
                      <w:color w:val="000000"/>
                      <w:kern w:val="0"/>
                      <w:szCs w:val="21"/>
                      <w:lang w:bidi="ar"/>
                    </w:rPr>
                    <w:t>4、项目EVA</w:t>
                  </w:r>
                  <w:r>
                    <w:rPr>
                      <w:rFonts w:hint="eastAsia"/>
                      <w:color w:val="000000"/>
                    </w:rPr>
                    <w:t>塑料颗粒生产</w:t>
                  </w:r>
                  <w:r>
                    <w:rPr>
                      <w:rFonts w:hint="eastAsia" w:ascii="宋体" w:hAnsi="宋体" w:cs="宋体"/>
                      <w:color w:val="000000"/>
                      <w:kern w:val="0"/>
                      <w:szCs w:val="21"/>
                      <w:lang w:bidi="ar"/>
                    </w:rPr>
                    <w:t>不涉及废旧塑料再生</w:t>
                  </w:r>
                </w:p>
              </w:tc>
              <w:tc>
                <w:tcPr>
                  <w:tcW w:w="556" w:type="pct"/>
                  <w:tcBorders>
                    <w:top w:val="single" w:color="auto" w:sz="2" w:space="0"/>
                    <w:left w:val="single" w:color="auto" w:sz="2" w:space="0"/>
                    <w:bottom w:val="single" w:color="auto" w:sz="2" w:space="0"/>
                    <w:right w:val="nil"/>
                  </w:tcBorders>
                  <w:vAlign w:val="center"/>
                </w:tcPr>
                <w:p>
                  <w:pPr>
                    <w:widowControl/>
                    <w:tabs>
                      <w:tab w:val="left" w:pos="3420"/>
                    </w:tabs>
                    <w:spacing w:line="340" w:lineRule="atLeast"/>
                    <w:jc w:val="center"/>
                    <w:rPr>
                      <w:color w:val="000000"/>
                      <w:szCs w:val="21"/>
                    </w:rPr>
                  </w:pPr>
                  <w:r>
                    <w:rPr>
                      <w:rFonts w:hint="eastAsia"/>
                      <w:snapToGrid w:val="0"/>
                      <w:color w:val="000000"/>
                      <w:kern w:val="18"/>
                      <w:szCs w:val="21"/>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85" w:hRule="atLeast"/>
                <w:jc w:val="center"/>
              </w:trPr>
              <w:tc>
                <w:tcPr>
                  <w:tcW w:w="512" w:type="pct"/>
                  <w:vMerge w:val="continue"/>
                  <w:tcBorders>
                    <w:top w:val="single" w:color="auto" w:sz="2" w:space="0"/>
                    <w:left w:val="nil"/>
                    <w:bottom w:val="single" w:color="auto" w:sz="2" w:space="0"/>
                    <w:right w:val="single" w:color="auto" w:sz="2" w:space="0"/>
                  </w:tcBorders>
                  <w:vAlign w:val="center"/>
                </w:tcPr>
                <w:p>
                  <w:pPr>
                    <w:widowControl/>
                    <w:jc w:val="left"/>
                    <w:rPr>
                      <w:rFonts w:hint="eastAsia" w:ascii="宋体" w:hAnsi="宋体" w:cs="宋体"/>
                      <w:color w:val="000000"/>
                      <w:kern w:val="0"/>
                      <w:szCs w:val="21"/>
                      <w:lang w:bidi="ar"/>
                    </w:rPr>
                  </w:pPr>
                </w:p>
              </w:tc>
              <w:tc>
                <w:tcPr>
                  <w:tcW w:w="665" w:type="pct"/>
                  <w:tcBorders>
                    <w:top w:val="single" w:color="auto" w:sz="2" w:space="0"/>
                    <w:left w:val="single" w:color="auto" w:sz="2" w:space="0"/>
                    <w:bottom w:val="single" w:color="auto" w:sz="2" w:space="0"/>
                    <w:right w:val="single" w:color="auto" w:sz="4" w:space="0"/>
                  </w:tcBorders>
                  <w:vAlign w:val="center"/>
                </w:tcPr>
                <w:p>
                  <w:pPr>
                    <w:pStyle w:val="144"/>
                    <w:rPr>
                      <w:rFonts w:hint="default"/>
                    </w:rPr>
                  </w:pPr>
                  <w:r>
                    <w:t>环境风险防控</w:t>
                  </w:r>
                </w:p>
              </w:tc>
              <w:tc>
                <w:tcPr>
                  <w:tcW w:w="1747" w:type="pct"/>
                  <w:tcBorders>
                    <w:top w:val="single" w:color="auto" w:sz="2" w:space="0"/>
                    <w:left w:val="single" w:color="auto" w:sz="4" w:space="0"/>
                    <w:bottom w:val="single" w:color="auto" w:sz="2" w:space="0"/>
                    <w:right w:val="single" w:color="auto" w:sz="2" w:space="0"/>
                  </w:tcBorders>
                  <w:vAlign w:val="center"/>
                </w:tcPr>
                <w:p>
                  <w:pPr>
                    <w:pStyle w:val="144"/>
                    <w:rPr>
                      <w:rFonts w:hint="default"/>
                    </w:rPr>
                  </w:pPr>
                  <w:r>
                    <w:t>1、必须规范配套应急池，建设企业、园区和周边水系三级环境风险防控工程，确保有效拦截、降污和倒流；受园区排污影响的周边水系应建设应急闸门，防止泄漏物和消防水等排入外环境。2、开发区内污水处理设施应采取必要的防渗处理，不得污染地下水环境。</w:t>
                  </w:r>
                </w:p>
              </w:tc>
              <w:tc>
                <w:tcPr>
                  <w:tcW w:w="1520" w:type="pct"/>
                  <w:tcBorders>
                    <w:top w:val="single" w:color="auto" w:sz="2" w:space="0"/>
                    <w:left w:val="single" w:color="auto" w:sz="2" w:space="0"/>
                    <w:bottom w:val="single" w:color="auto" w:sz="2" w:space="0"/>
                    <w:right w:val="single" w:color="auto" w:sz="2" w:space="0"/>
                  </w:tcBorders>
                  <w:vAlign w:val="center"/>
                </w:tcPr>
                <w:p>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造粒机设备冷却水循环回用，不外排，定期补充新鲜水；项目不新增生活污水排放；生活污水经化粪池处理达标后排入市政污水管网，送往福清市融元污水处理厂集中处理。因此，项目可符合园区环境风险防控要求。</w:t>
                  </w:r>
                </w:p>
              </w:tc>
              <w:tc>
                <w:tcPr>
                  <w:tcW w:w="556" w:type="pct"/>
                  <w:tcBorders>
                    <w:top w:val="single" w:color="auto" w:sz="2" w:space="0"/>
                    <w:left w:val="single" w:color="auto" w:sz="2" w:space="0"/>
                    <w:bottom w:val="single" w:color="auto" w:sz="2" w:space="0"/>
                    <w:right w:val="nil"/>
                  </w:tcBorders>
                  <w:vAlign w:val="center"/>
                </w:tcPr>
                <w:p>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85" w:hRule="atLeast"/>
                <w:jc w:val="center"/>
              </w:trPr>
              <w:tc>
                <w:tcPr>
                  <w:tcW w:w="512" w:type="pct"/>
                  <w:vMerge w:val="continue"/>
                  <w:tcBorders>
                    <w:top w:val="single" w:color="auto" w:sz="2" w:space="0"/>
                    <w:left w:val="nil"/>
                    <w:bottom w:val="single" w:color="auto" w:sz="2" w:space="0"/>
                    <w:right w:val="single" w:color="auto" w:sz="2" w:space="0"/>
                  </w:tcBorders>
                  <w:vAlign w:val="center"/>
                </w:tcPr>
                <w:p>
                  <w:pPr>
                    <w:widowControl/>
                    <w:jc w:val="left"/>
                    <w:rPr>
                      <w:rFonts w:hint="eastAsia" w:ascii="宋体" w:hAnsi="宋体" w:cs="宋体"/>
                      <w:color w:val="000000"/>
                      <w:kern w:val="0"/>
                      <w:szCs w:val="21"/>
                      <w:lang w:bidi="ar"/>
                    </w:rPr>
                  </w:pPr>
                </w:p>
              </w:tc>
              <w:tc>
                <w:tcPr>
                  <w:tcW w:w="665" w:type="pct"/>
                  <w:tcBorders>
                    <w:top w:val="single" w:color="auto" w:sz="2" w:space="0"/>
                    <w:left w:val="single" w:color="auto" w:sz="2" w:space="0"/>
                    <w:bottom w:val="single" w:color="auto" w:sz="2" w:space="0"/>
                    <w:right w:val="single" w:color="auto" w:sz="4" w:space="0"/>
                  </w:tcBorders>
                  <w:vAlign w:val="center"/>
                </w:tcPr>
                <w:p>
                  <w:pPr>
                    <w:pStyle w:val="144"/>
                    <w:rPr>
                      <w:rFonts w:hint="default"/>
                    </w:rPr>
                  </w:pPr>
                  <w:r>
                    <w:t>污染物排放管控</w:t>
                  </w:r>
                </w:p>
              </w:tc>
              <w:tc>
                <w:tcPr>
                  <w:tcW w:w="1747" w:type="pct"/>
                  <w:tcBorders>
                    <w:top w:val="single" w:color="auto" w:sz="2" w:space="0"/>
                    <w:left w:val="single" w:color="auto" w:sz="4" w:space="0"/>
                    <w:bottom w:val="single" w:color="auto" w:sz="2" w:space="0"/>
                    <w:right w:val="single" w:color="auto" w:sz="2" w:space="0"/>
                  </w:tcBorders>
                  <w:vAlign w:val="center"/>
                </w:tcPr>
                <w:p>
                  <w:pPr>
                    <w:pStyle w:val="144"/>
                    <w:rPr>
                      <w:rFonts w:hint="default"/>
                    </w:rPr>
                  </w:pPr>
                  <w:r>
                    <w:t>1、新、改、扩建项目新增大气污染物(现阶段指SO</w:t>
                  </w:r>
                  <w:r>
                    <w:rPr>
                      <w:vertAlign w:val="subscript"/>
                    </w:rPr>
                    <w:t>2</w:t>
                  </w:r>
                  <w:r>
                    <w:t>、NO</w:t>
                  </w:r>
                  <w:r>
                    <w:rPr>
                      <w:vertAlign w:val="subscript"/>
                    </w:rPr>
                    <w:t>x</w:t>
                  </w:r>
                  <w:r>
                    <w:t>)排放量实行1.5倍削减替代(不含使用天然气、液化石油气等作为燃料的非火电锅炉和工业炉窑)。2、新、改、扩建项目新增VOCs排放量实行倍量削减替代。3、工业企业废水全部纳管进入污水处理厂集中处理后达标排放。</w:t>
                  </w:r>
                </w:p>
              </w:tc>
              <w:tc>
                <w:tcPr>
                  <w:tcW w:w="1520" w:type="pct"/>
                  <w:tcBorders>
                    <w:top w:val="single" w:color="auto" w:sz="2" w:space="0"/>
                    <w:left w:val="single" w:color="auto" w:sz="2" w:space="0"/>
                    <w:bottom w:val="single" w:color="auto" w:sz="2" w:space="0"/>
                    <w:right w:val="single" w:color="auto" w:sz="2" w:space="0"/>
                  </w:tcBorders>
                  <w:vAlign w:val="center"/>
                </w:tcPr>
                <w:p>
                  <w:pPr>
                    <w:widowControl/>
                    <w:tabs>
                      <w:tab w:val="left" w:pos="3420"/>
                    </w:tabs>
                    <w:spacing w:line="340" w:lineRule="atLeast"/>
                    <w:jc w:val="center"/>
                    <w:rPr>
                      <w:snapToGrid w:val="0"/>
                      <w:color w:val="000000"/>
                      <w:kern w:val="18"/>
                      <w:szCs w:val="21"/>
                    </w:rPr>
                  </w:pPr>
                  <w:r>
                    <w:rPr>
                      <w:rFonts w:hint="eastAsia" w:ascii="宋体" w:hAnsi="宋体" w:cs="宋体"/>
                      <w:color w:val="000000"/>
                      <w:kern w:val="0"/>
                      <w:szCs w:val="21"/>
                      <w:lang w:bidi="ar"/>
                    </w:rPr>
                    <w:t>项目新增大气污染物为挥发性有机物，扩建项目新增</w:t>
                  </w:r>
                  <w:r>
                    <w:rPr>
                      <w:color w:val="000000"/>
                    </w:rPr>
                    <w:t>VOCs</w:t>
                  </w:r>
                  <w:r>
                    <w:rPr>
                      <w:rFonts w:hint="eastAsia"/>
                      <w:color w:val="000000"/>
                    </w:rPr>
                    <w:t>排放量实行倍量削减替代。</w:t>
                  </w:r>
                  <w:r>
                    <w:rPr>
                      <w:rFonts w:hint="eastAsia"/>
                      <w:snapToGrid w:val="0"/>
                      <w:color w:val="000000"/>
                      <w:kern w:val="18"/>
                      <w:szCs w:val="21"/>
                    </w:rPr>
                    <w:t>注塑机设备冷却水循环回用，不外排，定期补充新鲜水；项目生活污水经化粪池处理达标后排入市政污水管网，送往福清市融元污水处理厂集中处理。</w:t>
                  </w:r>
                  <w:r>
                    <w:rPr>
                      <w:rFonts w:hint="eastAsia"/>
                      <w:color w:val="000000"/>
                      <w:szCs w:val="21"/>
                    </w:rPr>
                    <w:t>因此企业废水可全部纳管进入污水处理厂集中处理。</w:t>
                  </w:r>
                </w:p>
              </w:tc>
              <w:tc>
                <w:tcPr>
                  <w:tcW w:w="556" w:type="pct"/>
                  <w:tcBorders>
                    <w:top w:val="single" w:color="auto" w:sz="2" w:space="0"/>
                    <w:left w:val="single" w:color="auto" w:sz="2" w:space="0"/>
                    <w:bottom w:val="single" w:color="auto" w:sz="2" w:space="0"/>
                    <w:right w:val="nil"/>
                  </w:tcBorders>
                  <w:vAlign w:val="center"/>
                </w:tcPr>
                <w:p>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85" w:hRule="atLeast"/>
                <w:jc w:val="center"/>
              </w:trPr>
              <w:tc>
                <w:tcPr>
                  <w:tcW w:w="512" w:type="pct"/>
                  <w:vMerge w:val="continue"/>
                  <w:tcBorders>
                    <w:top w:val="single" w:color="auto" w:sz="2" w:space="0"/>
                    <w:left w:val="nil"/>
                    <w:bottom w:val="single" w:color="auto" w:sz="2" w:space="0"/>
                    <w:right w:val="single" w:color="auto" w:sz="2" w:space="0"/>
                  </w:tcBorders>
                  <w:vAlign w:val="center"/>
                </w:tcPr>
                <w:p>
                  <w:pPr>
                    <w:widowControl/>
                    <w:jc w:val="left"/>
                    <w:rPr>
                      <w:rFonts w:hint="eastAsia" w:ascii="宋体" w:hAnsi="宋体" w:cs="宋体"/>
                      <w:color w:val="000000"/>
                      <w:kern w:val="0"/>
                      <w:szCs w:val="21"/>
                      <w:lang w:bidi="ar"/>
                    </w:rPr>
                  </w:pPr>
                </w:p>
              </w:tc>
              <w:tc>
                <w:tcPr>
                  <w:tcW w:w="665" w:type="pct"/>
                  <w:tcBorders>
                    <w:top w:val="single" w:color="auto" w:sz="2" w:space="0"/>
                    <w:left w:val="single" w:color="auto" w:sz="2" w:space="0"/>
                    <w:bottom w:val="single" w:color="auto" w:sz="2" w:space="0"/>
                    <w:right w:val="single" w:color="auto" w:sz="4" w:space="0"/>
                  </w:tcBorders>
                  <w:vAlign w:val="center"/>
                </w:tcPr>
                <w:p>
                  <w:pPr>
                    <w:pStyle w:val="144"/>
                    <w:rPr>
                      <w:rFonts w:hint="default"/>
                    </w:rPr>
                  </w:pPr>
                  <w:r>
                    <w:t>资源环境效率管控</w:t>
                  </w:r>
                </w:p>
              </w:tc>
              <w:tc>
                <w:tcPr>
                  <w:tcW w:w="1747" w:type="pct"/>
                  <w:tcBorders>
                    <w:top w:val="single" w:color="auto" w:sz="2" w:space="0"/>
                    <w:left w:val="single" w:color="auto" w:sz="4" w:space="0"/>
                    <w:bottom w:val="single" w:color="auto" w:sz="2" w:space="0"/>
                    <w:right w:val="single" w:color="auto" w:sz="2" w:space="0"/>
                  </w:tcBorders>
                  <w:vAlign w:val="center"/>
                </w:tcPr>
                <w:p>
                  <w:pPr>
                    <w:pStyle w:val="144"/>
                    <w:rPr>
                      <w:rFonts w:hint="default"/>
                    </w:rPr>
                  </w:pPr>
                  <w:r>
                    <w:t>1、能耗不超过0.23吨标煤/万元工业增加值；2、水耗不超过 6.90 t/万元工业增加值；3、污水排放量不超过5.43t/万元工业增加值；4、VOCs 排放量不超过 0.26kg/万元工业增加值。</w:t>
                  </w:r>
                </w:p>
              </w:tc>
              <w:tc>
                <w:tcPr>
                  <w:tcW w:w="1520" w:type="pct"/>
                  <w:tcBorders>
                    <w:top w:val="single" w:color="auto" w:sz="2" w:space="0"/>
                    <w:left w:val="single" w:color="auto" w:sz="2" w:space="0"/>
                    <w:bottom w:val="single" w:color="auto" w:sz="2" w:space="0"/>
                    <w:right w:val="single" w:color="auto" w:sz="2" w:space="0"/>
                  </w:tcBorders>
                  <w:vAlign w:val="center"/>
                </w:tcPr>
                <w:p>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项目不涉及煤原料使用，水耗、污水排放量、</w:t>
                  </w:r>
                  <w:r>
                    <w:rPr>
                      <w:snapToGrid w:val="0"/>
                      <w:color w:val="000000"/>
                      <w:kern w:val="18"/>
                      <w:szCs w:val="21"/>
                    </w:rPr>
                    <w:t>VOCs</w:t>
                  </w:r>
                  <w:r>
                    <w:rPr>
                      <w:rFonts w:hint="eastAsia"/>
                      <w:snapToGrid w:val="0"/>
                      <w:color w:val="000000"/>
                      <w:kern w:val="18"/>
                      <w:szCs w:val="21"/>
                    </w:rPr>
                    <w:t>排放量均不超过标准限制，具体数字见表</w:t>
                  </w:r>
                  <w:r>
                    <w:rPr>
                      <w:snapToGrid w:val="0"/>
                      <w:color w:val="000000"/>
                      <w:kern w:val="18"/>
                      <w:szCs w:val="21"/>
                    </w:rPr>
                    <w:t>1.1-3</w:t>
                  </w:r>
                  <w:r>
                    <w:rPr>
                      <w:rFonts w:hint="eastAsia"/>
                      <w:snapToGrid w:val="0"/>
                      <w:color w:val="000000"/>
                      <w:kern w:val="18"/>
                      <w:szCs w:val="21"/>
                    </w:rPr>
                    <w:t>。</w:t>
                  </w:r>
                </w:p>
              </w:tc>
              <w:tc>
                <w:tcPr>
                  <w:tcW w:w="556" w:type="pct"/>
                  <w:tcBorders>
                    <w:top w:val="single" w:color="auto" w:sz="2" w:space="0"/>
                    <w:left w:val="single" w:color="auto" w:sz="2" w:space="0"/>
                    <w:bottom w:val="single" w:color="auto" w:sz="2" w:space="0"/>
                    <w:right w:val="nil"/>
                  </w:tcBorders>
                  <w:vAlign w:val="center"/>
                </w:tcPr>
                <w:p>
                  <w:pPr>
                    <w:widowControl/>
                    <w:tabs>
                      <w:tab w:val="left" w:pos="3420"/>
                    </w:tabs>
                    <w:spacing w:line="340" w:lineRule="atLeast"/>
                    <w:jc w:val="center"/>
                    <w:rPr>
                      <w:snapToGrid w:val="0"/>
                      <w:color w:val="000000"/>
                      <w:kern w:val="18"/>
                      <w:szCs w:val="21"/>
                    </w:rPr>
                  </w:pPr>
                  <w:r>
                    <w:rPr>
                      <w:rFonts w:hint="eastAsia"/>
                      <w:snapToGrid w:val="0"/>
                      <w:color w:val="000000"/>
                      <w:kern w:val="18"/>
                      <w:szCs w:val="21"/>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12" w:type="pct"/>
                  <w:tcBorders>
                    <w:top w:val="single" w:color="auto" w:sz="2" w:space="0"/>
                    <w:left w:val="nil"/>
                    <w:bottom w:val="single" w:color="auto" w:sz="12" w:space="0"/>
                    <w:right w:val="single" w:color="auto" w:sz="2" w:space="0"/>
                  </w:tcBorders>
                  <w:vAlign w:val="center"/>
                </w:tcPr>
                <w:p>
                  <w:pPr>
                    <w:widowControl/>
                    <w:spacing w:line="340" w:lineRule="atLeast"/>
                    <w:jc w:val="center"/>
                    <w:rPr>
                      <w:rFonts w:hint="eastAsia" w:ascii="宋体" w:hAnsi="宋体" w:cs="宋体"/>
                      <w:color w:val="000000"/>
                      <w:kern w:val="0"/>
                      <w:szCs w:val="21"/>
                      <w:lang w:bidi="ar"/>
                    </w:rPr>
                  </w:pPr>
                  <w:r>
                    <w:rPr>
                      <w:rFonts w:hint="eastAsia" w:ascii="宋体" w:hAnsi="宋体" w:cs="宋体"/>
                      <w:color w:val="000000"/>
                      <w:kern w:val="0"/>
                      <w:szCs w:val="21"/>
                      <w:lang w:bidi="ar"/>
                    </w:rPr>
                    <w:t>审查意见</w:t>
                  </w:r>
                </w:p>
              </w:tc>
              <w:tc>
                <w:tcPr>
                  <w:tcW w:w="2412" w:type="pct"/>
                  <w:gridSpan w:val="2"/>
                  <w:tcBorders>
                    <w:top w:val="single" w:color="auto" w:sz="2" w:space="0"/>
                    <w:left w:val="single" w:color="auto" w:sz="2" w:space="0"/>
                    <w:bottom w:val="single" w:color="auto" w:sz="12" w:space="0"/>
                    <w:right w:val="single" w:color="auto" w:sz="2" w:space="0"/>
                  </w:tcBorders>
                  <w:vAlign w:val="center"/>
                </w:tcPr>
                <w:p>
                  <w:pPr>
                    <w:widowControl/>
                    <w:spacing w:line="340" w:lineRule="atLeast"/>
                    <w:jc w:val="center"/>
                    <w:rPr>
                      <w:color w:val="000000"/>
                      <w:kern w:val="0"/>
                      <w:szCs w:val="21"/>
                      <w:lang w:bidi="ar"/>
                    </w:rPr>
                  </w:pPr>
                  <w:r>
                    <w:rPr>
                      <w:rFonts w:hint="eastAsia"/>
                      <w:color w:val="000000"/>
                    </w:rPr>
                    <w:t>严格入区项目生态环境准入</w:t>
                  </w:r>
                  <w:r>
                    <w:rPr>
                      <w:color w:val="000000"/>
                    </w:rPr>
                    <w:t>……</w:t>
                  </w:r>
                  <w:r>
                    <w:rPr>
                      <w:rFonts w:hint="eastAsia"/>
                      <w:color w:val="000000"/>
                    </w:rPr>
                    <w:t>强化现有及入区企业挥发性有机物排放控制，禁止新增排放涉重金属污染物项目入区，禁止与主导行业不相关且污染物排放量大的项目入区。</w:t>
                  </w:r>
                  <w:r>
                    <w:rPr>
                      <w:color w:val="000000"/>
                    </w:rPr>
                    <w:t>……</w:t>
                  </w:r>
                </w:p>
              </w:tc>
              <w:tc>
                <w:tcPr>
                  <w:tcW w:w="1520" w:type="pct"/>
                  <w:tcBorders>
                    <w:top w:val="single" w:color="auto" w:sz="2" w:space="0"/>
                    <w:left w:val="single" w:color="auto" w:sz="2" w:space="0"/>
                    <w:bottom w:val="single" w:color="auto" w:sz="12" w:space="0"/>
                    <w:right w:val="single" w:color="auto" w:sz="2" w:space="0"/>
                  </w:tcBorders>
                  <w:vAlign w:val="center"/>
                </w:tcPr>
                <w:p>
                  <w:pPr>
                    <w:widowControl/>
                    <w:spacing w:line="340" w:lineRule="atLeast"/>
                    <w:jc w:val="center"/>
                    <w:rPr>
                      <w:snapToGrid w:val="0"/>
                      <w:color w:val="000000"/>
                      <w:kern w:val="18"/>
                      <w:szCs w:val="21"/>
                    </w:rPr>
                  </w:pPr>
                  <w:r>
                    <w:rPr>
                      <w:rFonts w:hint="eastAsia"/>
                      <w:color w:val="000000"/>
                    </w:rPr>
                    <w:t>项目挥发性有机物排放量较小，经收集后通过活性炭吸附装置处理后达标排放对外环境影响较小</w:t>
                  </w:r>
                  <w:r>
                    <w:rPr>
                      <w:rFonts w:hint="eastAsia"/>
                      <w:color w:val="000000"/>
                      <w:lang w:eastAsia="zh-CN"/>
                    </w:rPr>
                    <w:t>且</w:t>
                  </w:r>
                  <w:r>
                    <w:rPr>
                      <w:rFonts w:hint="eastAsia"/>
                      <w:color w:val="000000"/>
                    </w:rPr>
                    <w:t>项目不涉及重金属污染物的排放</w:t>
                  </w:r>
                </w:p>
              </w:tc>
              <w:tc>
                <w:tcPr>
                  <w:tcW w:w="556" w:type="pct"/>
                  <w:tcBorders>
                    <w:top w:val="single" w:color="auto" w:sz="2" w:space="0"/>
                    <w:left w:val="single" w:color="auto" w:sz="2" w:space="0"/>
                    <w:bottom w:val="single" w:color="auto" w:sz="12" w:space="0"/>
                    <w:right w:val="nil"/>
                  </w:tcBorders>
                  <w:vAlign w:val="center"/>
                </w:tcPr>
                <w:p>
                  <w:pPr>
                    <w:widowControl/>
                    <w:spacing w:line="340" w:lineRule="atLeast"/>
                    <w:jc w:val="center"/>
                    <w:rPr>
                      <w:snapToGrid w:val="0"/>
                      <w:color w:val="000000"/>
                      <w:kern w:val="18"/>
                      <w:szCs w:val="21"/>
                    </w:rPr>
                  </w:pPr>
                  <w:r>
                    <w:rPr>
                      <w:rFonts w:hint="eastAsia"/>
                      <w:snapToGrid w:val="0"/>
                      <w:color w:val="000000"/>
                      <w:kern w:val="18"/>
                      <w:szCs w:val="21"/>
                    </w:rPr>
                    <w:t>符合</w:t>
                  </w:r>
                </w:p>
              </w:tc>
            </w:tr>
          </w:tbl>
          <w:p>
            <w:pPr>
              <w:pStyle w:val="96"/>
              <w:ind w:firstLine="480"/>
              <w:rPr>
                <w:rFonts w:hint="eastAsia"/>
                <w:color w:val="000000" w:themeColor="text1"/>
                <w:kern w:val="2"/>
                <w:szCs w:val="24"/>
                <w14:textFill>
                  <w14:solidFill>
                    <w14:schemeClr w14:val="tx1"/>
                  </w14:solidFill>
                </w14:textFill>
              </w:rPr>
            </w:pPr>
            <w:r>
              <w:rPr>
                <w:rFonts w:hint="eastAsia" w:ascii="Times New Roman" w:hAnsi="Times New Roman"/>
                <w:color w:val="000000"/>
              </w:rPr>
              <w:t>根据建设单位提供资料，项目建成投产后工业增加值约为</w:t>
            </w:r>
            <w:bookmarkStart w:id="8" w:name="工业增加值"/>
            <w:r>
              <w:rPr>
                <w:rFonts w:hint="eastAsia" w:ascii="Times New Roman" w:hAnsi="Times New Roman"/>
                <w:color w:val="000000"/>
                <w:lang w:eastAsia="zh-CN"/>
              </w:rPr>
              <w:t>680</w:t>
            </w:r>
            <w:r>
              <w:rPr>
                <w:rFonts w:ascii="Times New Roman" w:hAnsi="Times New Roman"/>
                <w:color w:val="000000" w:themeColor="text1"/>
                <w14:textFill>
                  <w14:solidFill>
                    <w14:schemeClr w14:val="tx1"/>
                  </w14:solidFill>
                </w14:textFill>
              </w:rPr>
              <w:t>0</w:t>
            </w:r>
            <w:bookmarkEnd w:id="8"/>
            <w:r>
              <w:rPr>
                <w:rFonts w:hint="eastAsia"/>
                <w:color w:val="000000" w:themeColor="text1"/>
                <w14:textFill>
                  <w14:solidFill>
                    <w14:schemeClr w14:val="tx1"/>
                  </w14:solidFill>
                </w14:textFill>
              </w:rPr>
              <w:t>万元，则项目能源利用情况详见下表：</w:t>
            </w:r>
          </w:p>
          <w:p>
            <w:pPr>
              <w:autoSpaceDE w:val="0"/>
              <w:autoSpaceDN w:val="0"/>
              <w:spacing w:line="360" w:lineRule="auto"/>
              <w:ind w:firstLine="422" w:firstLineChars="2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w:t>
            </w:r>
            <w:r>
              <w:rPr>
                <w:b/>
                <w:bCs/>
                <w:color w:val="000000" w:themeColor="text1"/>
                <w:szCs w:val="21"/>
                <w14:textFill>
                  <w14:solidFill>
                    <w14:schemeClr w14:val="tx1"/>
                  </w14:solidFill>
                </w14:textFill>
              </w:rPr>
              <w:t xml:space="preserve">1.1-3 </w:t>
            </w:r>
            <w:r>
              <w:rPr>
                <w:rFonts w:hint="eastAsia"/>
                <w:b/>
                <w:bCs/>
                <w:color w:val="000000" w:themeColor="text1"/>
                <w:szCs w:val="21"/>
                <w14:textFill>
                  <w14:solidFill>
                    <w14:schemeClr w14:val="tx1"/>
                  </w14:solidFill>
                </w14:textFill>
              </w:rPr>
              <w:t>项目资源利用情况符合性分析对照表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934"/>
              <w:gridCol w:w="1756"/>
              <w:gridCol w:w="1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w:t>
                  </w:r>
                </w:p>
              </w:tc>
              <w:tc>
                <w:tcPr>
                  <w:tcW w:w="1542" w:type="pct"/>
                  <w:vAlign w:val="center"/>
                </w:tcPr>
                <w:p>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利用上限</w:t>
                  </w:r>
                </w:p>
              </w:tc>
              <w:tc>
                <w:tcPr>
                  <w:tcW w:w="1400" w:type="pct"/>
                  <w:vAlign w:val="center"/>
                </w:tcPr>
                <w:p>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项目实际情况</w:t>
                  </w:r>
                </w:p>
              </w:tc>
              <w:tc>
                <w:tcPr>
                  <w:tcW w:w="830" w:type="pct"/>
                  <w:vAlign w:val="center"/>
                </w:tcPr>
                <w:p>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能耗</w:t>
                  </w:r>
                </w:p>
              </w:tc>
              <w:tc>
                <w:tcPr>
                  <w:tcW w:w="1542"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1564</w:t>
                  </w:r>
                  <w:r>
                    <w:rPr>
                      <w:rFonts w:hint="eastAsia" w:ascii="Times New Roman" w:hAnsi="Times New Roman"/>
                      <w:color w:val="000000" w:themeColor="text1"/>
                      <w:sz w:val="21"/>
                      <w:szCs w:val="21"/>
                      <w14:textFill>
                        <w14:solidFill>
                          <w14:schemeClr w14:val="tx1"/>
                        </w14:solidFill>
                      </w14:textFill>
                    </w:rPr>
                    <w:t>吨标煤</w:t>
                  </w:r>
                </w:p>
              </w:tc>
              <w:tc>
                <w:tcPr>
                  <w:tcW w:w="1400"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72</w:t>
                  </w:r>
                  <w:r>
                    <w:rPr>
                      <w:rFonts w:ascii="Times New Roman" w:hAnsi="Times New Roman"/>
                      <w:color w:val="000000" w:themeColor="text1"/>
                      <w:sz w:val="21"/>
                      <w:szCs w:val="21"/>
                      <w14:textFill>
                        <w14:solidFill>
                          <w14:schemeClr w14:val="tx1"/>
                        </w14:solidFill>
                      </w14:textFill>
                    </w:rPr>
                    <w:t>0</w:t>
                  </w:r>
                  <w:r>
                    <w:rPr>
                      <w:rFonts w:hint="eastAsia" w:ascii="Times New Roman" w:hAnsi="Times New Roman"/>
                      <w:color w:val="000000" w:themeColor="text1"/>
                      <w:sz w:val="21"/>
                      <w:szCs w:val="21"/>
                      <w14:textFill>
                        <w14:solidFill>
                          <w14:schemeClr w14:val="tx1"/>
                        </w14:solidFill>
                      </w14:textFill>
                    </w:rPr>
                    <w:t>吨标煤</w:t>
                  </w:r>
                </w:p>
              </w:tc>
              <w:tc>
                <w:tcPr>
                  <w:tcW w:w="830" w:type="pct"/>
                  <w:vAlign w:val="center"/>
                </w:tcPr>
                <w:p>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水耗</w:t>
                  </w:r>
                </w:p>
              </w:tc>
              <w:tc>
                <w:tcPr>
                  <w:tcW w:w="1542"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4.692</w:t>
                  </w:r>
                  <w:r>
                    <w:rPr>
                      <w:rFonts w:hint="eastAsia" w:ascii="Times New Roman" w:hAnsi="Times New Roman"/>
                      <w:color w:val="000000" w:themeColor="text1"/>
                      <w:sz w:val="21"/>
                      <w:szCs w:val="21"/>
                      <w14:textFill>
                        <w14:solidFill>
                          <w14:schemeClr w14:val="tx1"/>
                        </w14:solidFill>
                      </w14:textFill>
                    </w:rPr>
                    <w:t>万</w:t>
                  </w:r>
                  <w:r>
                    <w:rPr>
                      <w:rFonts w:ascii="Times New Roman" w:hAnsi="Times New Roman"/>
                      <w:color w:val="000000" w:themeColor="text1"/>
                      <w:sz w:val="21"/>
                      <w:szCs w:val="21"/>
                      <w14:textFill>
                        <w14:solidFill>
                          <w14:schemeClr w14:val="tx1"/>
                        </w14:solidFill>
                      </w14:textFill>
                    </w:rPr>
                    <w:t>t</w:t>
                  </w:r>
                </w:p>
              </w:tc>
              <w:tc>
                <w:tcPr>
                  <w:tcW w:w="1400"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项目新增用水量约为</w:t>
                  </w:r>
                  <w:r>
                    <w:rPr>
                      <w:rFonts w:hint="eastAsia" w:ascii="Times New Roman" w:hAnsi="Times New Roman"/>
                      <w:color w:val="000000" w:themeColor="text1"/>
                      <w:sz w:val="21"/>
                      <w:szCs w:val="21"/>
                      <w:lang w:eastAsia="zh-CN"/>
                      <w14:textFill>
                        <w14:solidFill>
                          <w14:schemeClr w14:val="tx1"/>
                        </w14:solidFill>
                      </w14:textFill>
                    </w:rPr>
                    <w:t>285</w:t>
                  </w:r>
                  <w:r>
                    <w:rPr>
                      <w:rFonts w:ascii="Times New Roman" w:hAnsi="Times New Roman"/>
                      <w:color w:val="000000" w:themeColor="text1"/>
                      <w:sz w:val="21"/>
                      <w:szCs w:val="21"/>
                      <w14:textFill>
                        <w14:solidFill>
                          <w14:schemeClr w14:val="tx1"/>
                        </w14:solidFill>
                      </w14:textFill>
                    </w:rPr>
                    <w:t>t</w:t>
                  </w:r>
                </w:p>
              </w:tc>
              <w:tc>
                <w:tcPr>
                  <w:tcW w:w="830" w:type="pct"/>
                  <w:vAlign w:val="center"/>
                </w:tcPr>
                <w:p>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污水排放量</w:t>
                  </w:r>
                </w:p>
              </w:tc>
              <w:tc>
                <w:tcPr>
                  <w:tcW w:w="1542"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3.6924万</w:t>
                  </w:r>
                  <w:r>
                    <w:rPr>
                      <w:rFonts w:ascii="Times New Roman" w:hAnsi="Times New Roman"/>
                      <w:color w:val="000000" w:themeColor="text1"/>
                      <w:sz w:val="21"/>
                      <w:szCs w:val="21"/>
                      <w14:textFill>
                        <w14:solidFill>
                          <w14:schemeClr w14:val="tx1"/>
                        </w14:solidFill>
                      </w14:textFill>
                    </w:rPr>
                    <w:t>t</w:t>
                  </w:r>
                </w:p>
              </w:tc>
              <w:tc>
                <w:tcPr>
                  <w:tcW w:w="1400"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项目不排放生产废水</w:t>
                  </w:r>
                </w:p>
              </w:tc>
              <w:tc>
                <w:tcPr>
                  <w:tcW w:w="830" w:type="pct"/>
                  <w:vAlign w:val="center"/>
                </w:tcPr>
                <w:p>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VOCs</w:t>
                  </w:r>
                  <w:r>
                    <w:rPr>
                      <w:rFonts w:hint="eastAsia" w:ascii="Times New Roman" w:hAnsi="Times New Roman"/>
                      <w:color w:val="000000" w:themeColor="text1"/>
                      <w:sz w:val="21"/>
                      <w:szCs w:val="21"/>
                      <w14:textFill>
                        <w14:solidFill>
                          <w14:schemeClr w14:val="tx1"/>
                        </w14:solidFill>
                      </w14:textFill>
                    </w:rPr>
                    <w:t>排放量</w:t>
                  </w:r>
                </w:p>
              </w:tc>
              <w:tc>
                <w:tcPr>
                  <w:tcW w:w="1542"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1.768</w:t>
                  </w:r>
                  <w:r>
                    <w:rPr>
                      <w:rFonts w:ascii="Times New Roman" w:hAnsi="Times New Roman"/>
                      <w:color w:val="000000" w:themeColor="text1"/>
                      <w:sz w:val="21"/>
                      <w:szCs w:val="21"/>
                      <w14:textFill>
                        <w14:solidFill>
                          <w14:schemeClr w14:val="tx1"/>
                        </w14:solidFill>
                      </w14:textFill>
                    </w:rPr>
                    <w:t>t</w:t>
                  </w:r>
                </w:p>
              </w:tc>
              <w:tc>
                <w:tcPr>
                  <w:tcW w:w="1400" w:type="pct"/>
                  <w:vAlign w:val="center"/>
                </w:tcPr>
                <w:p>
                  <w:pPr>
                    <w:pStyle w:val="96"/>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VOCs</w:t>
                  </w:r>
                  <w:r>
                    <w:rPr>
                      <w:rFonts w:hint="eastAsia" w:ascii="Times New Roman" w:hAnsi="Times New Roman"/>
                      <w:color w:val="000000" w:themeColor="text1"/>
                      <w:sz w:val="21"/>
                      <w:szCs w:val="21"/>
                      <w14:textFill>
                        <w14:solidFill>
                          <w14:schemeClr w14:val="tx1"/>
                        </w14:solidFill>
                      </w14:textFill>
                    </w:rPr>
                    <w:t>排放量</w:t>
                  </w:r>
                  <w:r>
                    <w:rPr>
                      <w:rFonts w:hint="eastAsia" w:ascii="Times New Roman" w:hAnsi="Times New Roman"/>
                      <w:color w:val="000000" w:themeColor="text1"/>
                      <w:sz w:val="21"/>
                      <w:szCs w:val="21"/>
                      <w:lang w:eastAsia="zh-CN"/>
                      <w14:textFill>
                        <w14:solidFill>
                          <w14:schemeClr w14:val="tx1"/>
                        </w14:solidFill>
                      </w14:textFill>
                    </w:rPr>
                    <w:t>1.252</w:t>
                  </w:r>
                  <w:r>
                    <w:rPr>
                      <w:rFonts w:ascii="Times New Roman" w:hAnsi="Times New Roman"/>
                      <w:color w:val="000000" w:themeColor="text1"/>
                      <w:sz w:val="21"/>
                      <w:szCs w:val="21"/>
                      <w14:textFill>
                        <w14:solidFill>
                          <w14:schemeClr w14:val="tx1"/>
                        </w14:solidFill>
                      </w14:textFill>
                    </w:rPr>
                    <w:t>t</w:t>
                  </w:r>
                </w:p>
              </w:tc>
              <w:tc>
                <w:tcPr>
                  <w:tcW w:w="830" w:type="pct"/>
                  <w:vAlign w:val="center"/>
                </w:tcPr>
                <w:p>
                  <w:pPr>
                    <w:pStyle w:val="96"/>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pPr>
              <w:autoSpaceDE w:val="0"/>
              <w:autoSpaceDN w:val="0"/>
              <w:spacing w:line="360" w:lineRule="auto"/>
              <w:ind w:firstLine="420" w:firstLineChars="200"/>
              <w:jc w:val="left"/>
              <w:rPr>
                <w:color w:val="000000"/>
                <w:sz w:val="24"/>
              </w:rPr>
            </w:pPr>
            <w:r>
              <w:rPr>
                <w:rFonts w:hint="eastAsia"/>
                <w:color w:val="000000"/>
                <w:szCs w:val="21"/>
                <w:lang w:val="en-GB"/>
              </w:rPr>
              <w:t>注：项目年新增用量约为</w:t>
            </w:r>
            <w:r>
              <w:rPr>
                <w:rFonts w:hint="eastAsia"/>
                <w:color w:val="000000"/>
                <w:szCs w:val="21"/>
              </w:rPr>
              <w:t>18</w:t>
            </w:r>
            <w:r>
              <w:rPr>
                <w:color w:val="000000"/>
                <w:szCs w:val="21"/>
              </w:rPr>
              <w:t>000</w:t>
            </w:r>
            <w:r>
              <w:rPr>
                <w:color w:val="000000"/>
                <w:szCs w:val="21"/>
                <w:lang w:val="en-GB"/>
              </w:rPr>
              <w:t>00kW/h</w:t>
            </w:r>
            <w:r>
              <w:rPr>
                <w:rFonts w:hint="eastAsia"/>
                <w:color w:val="000000"/>
                <w:szCs w:val="21"/>
                <w:lang w:val="en-GB"/>
              </w:rPr>
              <w:t>，折算成标煤约为</w:t>
            </w:r>
            <w:r>
              <w:rPr>
                <w:rFonts w:hint="eastAsia"/>
                <w:color w:val="000000"/>
                <w:szCs w:val="21"/>
              </w:rPr>
              <w:t>72</w:t>
            </w:r>
            <w:r>
              <w:rPr>
                <w:color w:val="000000"/>
                <w:szCs w:val="21"/>
                <w:lang w:val="en-GB"/>
              </w:rPr>
              <w:t>0</w:t>
            </w:r>
            <w:r>
              <w:rPr>
                <w:rFonts w:hint="eastAsia"/>
                <w:color w:val="000000"/>
                <w:szCs w:val="21"/>
                <w:lang w:val="en-GB"/>
              </w:rPr>
              <w:t>吨标煤。</w:t>
            </w:r>
          </w:p>
          <w:p>
            <w:pPr>
              <w:autoSpaceDE w:val="0"/>
              <w:autoSpaceDN w:val="0"/>
              <w:adjustRightInd w:val="0"/>
              <w:spacing w:line="360" w:lineRule="auto"/>
              <w:ind w:firstLine="480" w:firstLineChars="200"/>
              <w:jc w:val="left"/>
              <w:rPr>
                <w:color w:val="000000"/>
                <w:sz w:val="24"/>
              </w:rPr>
            </w:pPr>
            <w:r>
              <w:rPr>
                <w:rFonts w:hint="eastAsia"/>
                <w:color w:val="000000"/>
                <w:sz w:val="24"/>
              </w:rPr>
              <w:t>综上，项目符合《</w:t>
            </w:r>
            <w:r>
              <w:rPr>
                <w:rFonts w:hint="eastAsia"/>
                <w:color w:val="000000"/>
                <w:sz w:val="24"/>
                <w:lang w:val="en-GB"/>
              </w:rPr>
              <w:t>福清融侨经济技术开发区总体规划环境影响报告书</w:t>
            </w:r>
            <w:r>
              <w:rPr>
                <w:color w:val="000000"/>
                <w:sz w:val="24"/>
              </w:rPr>
              <w:t>(</w:t>
            </w:r>
            <w:r>
              <w:rPr>
                <w:color w:val="000000"/>
                <w:sz w:val="24"/>
                <w:lang w:val="en-GB"/>
              </w:rPr>
              <w:t>2018</w:t>
            </w:r>
            <w:r>
              <w:rPr>
                <w:color w:val="000000"/>
                <w:sz w:val="24"/>
              </w:rPr>
              <w:t>-</w:t>
            </w:r>
            <w:r>
              <w:rPr>
                <w:color w:val="000000"/>
                <w:sz w:val="24"/>
                <w:lang w:val="en-GB"/>
              </w:rPr>
              <w:t>2035</w:t>
            </w:r>
            <w:r>
              <w:rPr>
                <w:rFonts w:hint="eastAsia"/>
                <w:color w:val="000000"/>
                <w:sz w:val="24"/>
                <w:lang w:val="en-GB"/>
              </w:rPr>
              <w:t>年</w:t>
            </w:r>
            <w:r>
              <w:rPr>
                <w:color w:val="000000"/>
                <w:sz w:val="24"/>
              </w:rPr>
              <w:t>)</w:t>
            </w:r>
            <w:r>
              <w:rPr>
                <w:rFonts w:hint="eastAsia"/>
                <w:color w:val="000000"/>
                <w:sz w:val="24"/>
              </w:rPr>
              <w:t>》及其审查小组意见中的相关要求。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1" w:hRule="atLeast"/>
          <w:jc w:val="center"/>
        </w:trPr>
        <w:tc>
          <w:tcPr>
            <w:tcW w:w="2382" w:type="dxa"/>
            <w:vAlign w:val="center"/>
          </w:tcPr>
          <w:p>
            <w:pPr>
              <w:autoSpaceDE w:val="0"/>
              <w:autoSpaceDN w:val="0"/>
              <w:adjustRightInd w:val="0"/>
              <w:snapToGrid w:val="0"/>
              <w:jc w:val="center"/>
              <w:rPr>
                <w:color w:val="000000"/>
                <w:kern w:val="0"/>
                <w:sz w:val="24"/>
              </w:rPr>
            </w:pPr>
            <w:r>
              <w:rPr>
                <w:color w:val="000000"/>
                <w:kern w:val="0"/>
                <w:sz w:val="24"/>
              </w:rPr>
              <w:t>其他符合性分析</w:t>
            </w:r>
          </w:p>
        </w:tc>
        <w:tc>
          <w:tcPr>
            <w:tcW w:w="6488" w:type="dxa"/>
            <w:gridSpan w:val="4"/>
            <w:vAlign w:val="center"/>
          </w:tcPr>
          <w:p>
            <w:pPr>
              <w:widowControl/>
              <w:spacing w:line="360" w:lineRule="auto"/>
              <w:jc w:val="left"/>
              <w:outlineLvl w:val="1"/>
              <w:rPr>
                <w:b/>
                <w:color w:val="000000"/>
                <w:kern w:val="0"/>
                <w:sz w:val="28"/>
                <w:szCs w:val="28"/>
              </w:rPr>
            </w:pPr>
            <w:bookmarkStart w:id="9" w:name="_Toc41037851"/>
            <w:r>
              <w:rPr>
                <w:b/>
                <w:color w:val="000000"/>
                <w:kern w:val="0"/>
                <w:sz w:val="28"/>
                <w:szCs w:val="28"/>
              </w:rPr>
              <w:t>1.1</w:t>
            </w:r>
            <w:bookmarkEnd w:id="9"/>
            <w:r>
              <w:rPr>
                <w:b/>
                <w:color w:val="000000"/>
                <w:kern w:val="0"/>
                <w:sz w:val="28"/>
                <w:szCs w:val="28"/>
              </w:rPr>
              <w:t>产业政策符合性分析</w:t>
            </w:r>
          </w:p>
          <w:p>
            <w:pPr>
              <w:adjustRightInd w:val="0"/>
              <w:spacing w:line="360" w:lineRule="auto"/>
              <w:ind w:firstLine="480" w:firstLineChars="200"/>
              <w:contextualSpacing/>
              <w:rPr>
                <w:color w:val="000000"/>
                <w:sz w:val="24"/>
              </w:rPr>
            </w:pPr>
            <w:r>
              <w:rPr>
                <w:color w:val="000000"/>
                <w:sz w:val="24"/>
              </w:rPr>
              <w:t>本项目主要从事</w:t>
            </w:r>
            <w:r>
              <w:rPr>
                <w:rFonts w:hint="eastAsia"/>
                <w:color w:val="000000"/>
                <w:sz w:val="24"/>
              </w:rPr>
              <w:t>EVA塑料颗粒</w:t>
            </w:r>
            <w:r>
              <w:rPr>
                <w:color w:val="000000"/>
                <w:sz w:val="24"/>
              </w:rPr>
              <w:t>的生产，项目不属于国家发展和改革委员会颁布的《产业结构调整指导目录（</w:t>
            </w:r>
            <w:r>
              <w:rPr>
                <w:rFonts w:hint="eastAsia"/>
                <w:color w:val="000000"/>
                <w:sz w:val="24"/>
              </w:rPr>
              <w:t>2024</w:t>
            </w:r>
            <w:r>
              <w:rPr>
                <w:color w:val="000000"/>
                <w:sz w:val="24"/>
              </w:rPr>
              <w:t>年本）》中限制和淘汰类的项目，为允许类。同时，检索工信部《部分工业行业淘汰落后生产工艺装备和产品指导目录》（2010年本）有关条款，本项目使用的生产设备均不属于淘汰落后生产工艺装备</w:t>
            </w:r>
            <w:r>
              <w:rPr>
                <w:rFonts w:hint="eastAsia"/>
                <w:color w:val="000000"/>
                <w:sz w:val="24"/>
                <w:lang w:eastAsia="zh-CN"/>
              </w:rPr>
              <w:t>且</w:t>
            </w:r>
            <w:r>
              <w:rPr>
                <w:color w:val="000000"/>
                <w:sz w:val="24"/>
              </w:rPr>
              <w:t>该项目于202</w:t>
            </w:r>
            <w:r>
              <w:rPr>
                <w:rFonts w:hint="eastAsia"/>
                <w:color w:val="000000"/>
                <w:sz w:val="24"/>
              </w:rPr>
              <w:t>5</w:t>
            </w:r>
            <w:r>
              <w:rPr>
                <w:color w:val="000000"/>
                <w:sz w:val="24"/>
              </w:rPr>
              <w:t>年</w:t>
            </w:r>
            <w:r>
              <w:rPr>
                <w:rFonts w:hint="eastAsia"/>
                <w:color w:val="000000"/>
                <w:sz w:val="24"/>
              </w:rPr>
              <w:t>9</w:t>
            </w:r>
            <w:r>
              <w:rPr>
                <w:color w:val="000000"/>
                <w:sz w:val="24"/>
              </w:rPr>
              <w:t>月</w:t>
            </w:r>
            <w:r>
              <w:rPr>
                <w:rFonts w:hint="eastAsia"/>
                <w:color w:val="000000"/>
                <w:sz w:val="24"/>
              </w:rPr>
              <w:t>30</w:t>
            </w:r>
            <w:r>
              <w:rPr>
                <w:color w:val="000000"/>
                <w:sz w:val="24"/>
              </w:rPr>
              <w:t>日通过了</w:t>
            </w:r>
            <w:r>
              <w:rPr>
                <w:rFonts w:hint="eastAsia"/>
                <w:color w:val="000000"/>
                <w:sz w:val="24"/>
              </w:rPr>
              <w:t>福清市发展和改革局</w:t>
            </w:r>
            <w:r>
              <w:rPr>
                <w:color w:val="000000"/>
                <w:sz w:val="24"/>
              </w:rPr>
              <w:t>（见附件</w:t>
            </w:r>
            <w:r>
              <w:rPr>
                <w:rFonts w:hint="eastAsia"/>
                <w:color w:val="000000"/>
                <w:sz w:val="24"/>
              </w:rPr>
              <w:t>二</w:t>
            </w:r>
            <w:r>
              <w:rPr>
                <w:color w:val="000000"/>
                <w:sz w:val="24"/>
              </w:rPr>
              <w:t>）。</w:t>
            </w:r>
          </w:p>
          <w:p>
            <w:pPr>
              <w:adjustRightInd w:val="0"/>
              <w:spacing w:line="360" w:lineRule="auto"/>
              <w:ind w:firstLine="480" w:firstLineChars="200"/>
              <w:contextualSpacing/>
              <w:rPr>
                <w:color w:val="000000"/>
                <w:sz w:val="24"/>
              </w:rPr>
            </w:pPr>
            <w:r>
              <w:rPr>
                <w:color w:val="000000"/>
                <w:sz w:val="24"/>
              </w:rPr>
              <w:t>综上，本项目建设符合国家当前的产业政策要求。</w:t>
            </w:r>
          </w:p>
          <w:p>
            <w:pPr>
              <w:widowControl/>
              <w:spacing w:line="360" w:lineRule="auto"/>
              <w:jc w:val="left"/>
              <w:outlineLvl w:val="1"/>
              <w:rPr>
                <w:b/>
                <w:color w:val="000000"/>
                <w:kern w:val="0"/>
                <w:sz w:val="28"/>
                <w:szCs w:val="28"/>
              </w:rPr>
            </w:pPr>
            <w:r>
              <w:rPr>
                <w:b/>
                <w:color w:val="000000"/>
                <w:kern w:val="0"/>
                <w:sz w:val="28"/>
                <w:szCs w:val="28"/>
              </w:rPr>
              <w:t>1.2相关规划符合性分析</w:t>
            </w:r>
          </w:p>
          <w:p>
            <w:pPr>
              <w:adjustRightInd w:val="0"/>
              <w:spacing w:line="360" w:lineRule="auto"/>
              <w:ind w:firstLine="480" w:firstLineChars="200"/>
              <w:contextualSpacing/>
              <w:rPr>
                <w:color w:val="000000"/>
                <w:sz w:val="24"/>
              </w:rPr>
            </w:pPr>
            <w:r>
              <w:rPr>
                <w:color w:val="000000"/>
                <w:sz w:val="24"/>
              </w:rPr>
              <w:t>本项目位于福清融侨经济技术开发区，</w:t>
            </w:r>
            <w:r>
              <w:rPr>
                <w:rFonts w:hint="eastAsia"/>
                <w:color w:val="000000"/>
                <w:sz w:val="24"/>
              </w:rPr>
              <w:t>租赁福清市友谊包装材料有限公司7号厂房一层</w:t>
            </w:r>
            <w:r>
              <w:rPr>
                <w:color w:val="000000"/>
                <w:sz w:val="24"/>
              </w:rPr>
              <w:t>，项目用地类型为工业用地</w:t>
            </w:r>
            <w:r>
              <w:rPr>
                <w:rFonts w:hint="eastAsia"/>
                <w:color w:val="000000"/>
                <w:sz w:val="24"/>
              </w:rPr>
              <w:t>，</w:t>
            </w:r>
            <w:r>
              <w:rPr>
                <w:color w:val="000000"/>
                <w:sz w:val="24"/>
              </w:rPr>
              <w:t>（见附件</w:t>
            </w:r>
            <w:r>
              <w:rPr>
                <w:rFonts w:hint="eastAsia"/>
                <w:color w:val="000000"/>
                <w:sz w:val="24"/>
              </w:rPr>
              <w:t>六</w:t>
            </w:r>
            <w:r>
              <w:rPr>
                <w:color w:val="000000"/>
                <w:sz w:val="24"/>
              </w:rPr>
              <w:t>），用地合理；项目周边区域水、大气、声环境质量现状均能达到相关标准要求，均有一定环境容量；项目建设运营后对周边的环境现状影响较小</w:t>
            </w:r>
            <w:r>
              <w:rPr>
                <w:rFonts w:hint="eastAsia"/>
                <w:color w:val="000000"/>
                <w:sz w:val="24"/>
              </w:rPr>
              <w:t>，符合政策要求，</w:t>
            </w:r>
            <w:r>
              <w:rPr>
                <w:color w:val="000000"/>
                <w:sz w:val="24"/>
              </w:rPr>
              <w:t>项目选址较为合理</w:t>
            </w:r>
          </w:p>
          <w:p>
            <w:pPr>
              <w:widowControl/>
              <w:spacing w:line="360" w:lineRule="auto"/>
              <w:jc w:val="left"/>
              <w:outlineLvl w:val="1"/>
              <w:rPr>
                <w:b/>
                <w:color w:val="000000"/>
                <w:kern w:val="0"/>
                <w:sz w:val="28"/>
                <w:szCs w:val="28"/>
              </w:rPr>
            </w:pPr>
            <w:r>
              <w:rPr>
                <w:b/>
                <w:color w:val="000000"/>
                <w:kern w:val="0"/>
                <w:sz w:val="28"/>
                <w:szCs w:val="28"/>
              </w:rPr>
              <w:t>1.3“三线一单”符合性分析</w:t>
            </w:r>
          </w:p>
          <w:p>
            <w:pPr>
              <w:adjustRightInd w:val="0"/>
              <w:spacing w:line="360" w:lineRule="auto"/>
              <w:ind w:firstLine="480" w:firstLineChars="200"/>
              <w:contextualSpacing/>
              <w:rPr>
                <w:color w:val="000000"/>
                <w:sz w:val="24"/>
              </w:rPr>
            </w:pPr>
            <w:r>
              <w:rPr>
                <w:rFonts w:hint="eastAsia"/>
                <w:color w:val="000000"/>
                <w:sz w:val="24"/>
              </w:rPr>
              <w:t>(1)与</w:t>
            </w:r>
            <w:r>
              <w:rPr>
                <w:color w:val="000000"/>
                <w:sz w:val="24"/>
              </w:rPr>
              <w:t>《福州市生态环境分区管控方案（2023年更新）》</w:t>
            </w:r>
            <w:r>
              <w:rPr>
                <w:rFonts w:hint="eastAsia"/>
                <w:color w:val="000000"/>
                <w:sz w:val="24"/>
              </w:rPr>
              <w:t>（</w:t>
            </w:r>
            <w:r>
              <w:rPr>
                <w:color w:val="000000"/>
                <w:sz w:val="24"/>
              </w:rPr>
              <w:t>榕政办规〔2024〕20号</w:t>
            </w:r>
            <w:r>
              <w:rPr>
                <w:rFonts w:hint="eastAsia"/>
                <w:color w:val="000000"/>
                <w:sz w:val="24"/>
              </w:rPr>
              <w:t>）</w:t>
            </w:r>
            <w:r>
              <w:rPr>
                <w:color w:val="000000"/>
                <w:sz w:val="24"/>
              </w:rPr>
              <w:t>的通知</w:t>
            </w:r>
            <w:r>
              <w:rPr>
                <w:rFonts w:hint="eastAsia"/>
                <w:color w:val="000000"/>
                <w:sz w:val="24"/>
              </w:rPr>
              <w:t>符合性分析</w:t>
            </w:r>
          </w:p>
          <w:p>
            <w:pPr>
              <w:adjustRightInd w:val="0"/>
              <w:spacing w:line="360" w:lineRule="auto"/>
              <w:ind w:firstLine="480" w:firstLineChars="200"/>
              <w:contextualSpacing/>
              <w:rPr>
                <w:color w:val="000000"/>
                <w:sz w:val="24"/>
              </w:rPr>
            </w:pPr>
            <w:r>
              <w:rPr>
                <w:rFonts w:hint="eastAsia"/>
                <w:color w:val="000000"/>
                <w:sz w:val="24"/>
              </w:rPr>
              <w:t>根据</w:t>
            </w:r>
            <w:r>
              <w:rPr>
                <w:color w:val="000000"/>
                <w:sz w:val="24"/>
              </w:rPr>
              <w:t>《福州市生态环境分区管控方案（2023年更新）》</w:t>
            </w:r>
            <w:r>
              <w:rPr>
                <w:rFonts w:hint="eastAsia"/>
                <w:color w:val="000000"/>
                <w:sz w:val="24"/>
              </w:rPr>
              <w:t>（</w:t>
            </w:r>
            <w:r>
              <w:rPr>
                <w:color w:val="000000"/>
                <w:sz w:val="24"/>
              </w:rPr>
              <w:t>榕政办规〔2024〕20号</w:t>
            </w:r>
            <w:r>
              <w:rPr>
                <w:rFonts w:hint="eastAsia"/>
                <w:color w:val="000000"/>
                <w:sz w:val="24"/>
              </w:rPr>
              <w:t>）</w:t>
            </w:r>
            <w:r>
              <w:rPr>
                <w:color w:val="000000"/>
                <w:sz w:val="24"/>
              </w:rPr>
              <w:t>的通知</w:t>
            </w:r>
            <w:r>
              <w:rPr>
                <w:rFonts w:hint="eastAsia"/>
                <w:color w:val="000000"/>
                <w:sz w:val="24"/>
              </w:rPr>
              <w:t>相关要求分析，项目所在位置属于福州市陆域区域。因此，具体见表1.3-2。</w:t>
            </w:r>
          </w:p>
          <w:p>
            <w:pPr>
              <w:autoSpaceDE w:val="0"/>
              <w:autoSpaceDN w:val="0"/>
              <w:adjustRightInd w:val="0"/>
              <w:snapToGrid w:val="0"/>
              <w:jc w:val="center"/>
              <w:rPr>
                <w:b/>
                <w:bCs/>
                <w:color w:val="000000"/>
                <w:kern w:val="0"/>
                <w:sz w:val="24"/>
              </w:rPr>
            </w:pPr>
            <w:r>
              <w:rPr>
                <w:rFonts w:hint="eastAsia"/>
                <w:b/>
                <w:bCs/>
                <w:color w:val="000000"/>
                <w:kern w:val="0"/>
                <w:sz w:val="24"/>
              </w:rPr>
              <w:t>表1.3-2 与福州市生态环境总体准入要求的符合性分析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85"/>
              <w:gridCol w:w="324"/>
              <w:gridCol w:w="2985"/>
              <w:gridCol w:w="1778"/>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85" w:type="dxa"/>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适用范围</w:t>
                  </w:r>
                </w:p>
              </w:tc>
              <w:tc>
                <w:tcPr>
                  <w:tcW w:w="3309" w:type="dxa"/>
                  <w:gridSpan w:val="2"/>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准入要求</w:t>
                  </w:r>
                </w:p>
              </w:tc>
              <w:tc>
                <w:tcPr>
                  <w:tcW w:w="1778" w:type="dxa"/>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本项目情况</w:t>
                  </w:r>
                </w:p>
              </w:tc>
              <w:tc>
                <w:tcPr>
                  <w:tcW w:w="586" w:type="dxa"/>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85" w:type="dxa"/>
                  <w:vMerge w:val="restart"/>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福州市陆域</w:t>
                  </w:r>
                </w:p>
              </w:tc>
              <w:tc>
                <w:tcPr>
                  <w:tcW w:w="324" w:type="dxa"/>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空间布局约束</w:t>
                  </w:r>
                </w:p>
              </w:tc>
              <w:tc>
                <w:tcPr>
                  <w:tcW w:w="2985" w:type="dxa"/>
                  <w:vAlign w:val="center"/>
                </w:tcPr>
                <w:p>
                  <w:pPr>
                    <w:adjustRightInd w:val="0"/>
                    <w:snapToGrid w:val="0"/>
                    <w:rPr>
                      <w:rFonts w:hint="eastAsia" w:ascii="宋体" w:hAnsi="宋体" w:cs="宋体"/>
                      <w:color w:val="000000"/>
                      <w:szCs w:val="21"/>
                    </w:rPr>
                  </w:pPr>
                  <w:r>
                    <w:rPr>
                      <w:rFonts w:hint="eastAsia" w:ascii="宋体" w:hAnsi="宋体" w:cs="宋体"/>
                      <w:color w:val="000000"/>
                      <w:szCs w:val="21"/>
                    </w:rPr>
                    <w:t>1.福州市石化中上游项目重点在福州江阴港城经济区、可门港经济区化工新材料产业园布局。</w:t>
                  </w:r>
                </w:p>
                <w:p>
                  <w:pPr>
                    <w:adjustRightInd w:val="0"/>
                    <w:snapToGrid w:val="0"/>
                    <w:rPr>
                      <w:rFonts w:hint="eastAsia" w:ascii="宋体" w:hAnsi="宋体" w:cs="宋体"/>
                      <w:color w:val="000000"/>
                      <w:szCs w:val="21"/>
                    </w:rPr>
                  </w:pPr>
                  <w:r>
                    <w:rPr>
                      <w:rFonts w:hint="eastAsia" w:ascii="宋体" w:hAnsi="宋体" w:cs="宋体"/>
                      <w:color w:val="000000"/>
                      <w:szCs w:val="21"/>
                    </w:rPr>
                    <w:t>2.禁止在闽江马尾罗星塔以上流域范围新、扩建制革项目，严控新（扩）建植物制浆、印染、合成革及人造革、电镀项目。</w:t>
                  </w:r>
                </w:p>
                <w:p>
                  <w:pPr>
                    <w:adjustRightInd w:val="0"/>
                    <w:snapToGrid w:val="0"/>
                    <w:rPr>
                      <w:rFonts w:hint="eastAsia" w:ascii="宋体" w:hAnsi="宋体" w:cs="宋体"/>
                      <w:color w:val="000000"/>
                      <w:szCs w:val="21"/>
                    </w:rPr>
                  </w:pPr>
                  <w:r>
                    <w:rPr>
                      <w:rFonts w:hint="eastAsia" w:ascii="宋体" w:hAnsi="宋体" w:cs="宋体"/>
                      <w:color w:val="000000"/>
                      <w:szCs w:val="21"/>
                    </w:rPr>
                    <w:t>3.禁止在通风廊道和主导风向的上风向布局大气重污染企业，推进建成区大气重污染企业搬迁或升级改造、环境风险企业搬迁或关闭退出。</w:t>
                  </w:r>
                </w:p>
                <w:p>
                  <w:pPr>
                    <w:adjustRightInd w:val="0"/>
                    <w:snapToGrid w:val="0"/>
                    <w:rPr>
                      <w:rFonts w:hint="eastAsia" w:ascii="宋体" w:hAnsi="宋体" w:cs="宋体"/>
                      <w:color w:val="000000"/>
                      <w:szCs w:val="21"/>
                    </w:rPr>
                  </w:pPr>
                  <w:r>
                    <w:rPr>
                      <w:rFonts w:hint="eastAsia" w:ascii="宋体" w:hAnsi="宋体" w:cs="宋体"/>
                      <w:color w:val="000000"/>
                      <w:szCs w:val="21"/>
                    </w:rPr>
                    <w:t>4.禁止新、改、扩建生产高VOCs含量有机溶剂型涂料、油墨和胶黏剂的项目。</w:t>
                  </w:r>
                </w:p>
                <w:p>
                  <w:pPr>
                    <w:adjustRightInd w:val="0"/>
                    <w:snapToGrid w:val="0"/>
                    <w:rPr>
                      <w:rFonts w:hint="eastAsia" w:ascii="宋体" w:hAnsi="宋体" w:cs="宋体"/>
                      <w:color w:val="000000"/>
                      <w:szCs w:val="21"/>
                    </w:rPr>
                  </w:pPr>
                  <w:r>
                    <w:rPr>
                      <w:rFonts w:hint="eastAsia" w:ascii="宋体" w:hAnsi="宋体" w:cs="宋体"/>
                      <w:color w:val="000000"/>
                      <w:szCs w:val="21"/>
                    </w:rPr>
                    <w:t>5.持续加强闽清等地建陶产业的环境综合治理，充分衔接国土空间规划和生态环境分区管控，并对照产业政策、城市总体发展规划等要求，进一步明确发展定位，优化产业布局和规模。</w:t>
                  </w:r>
                </w:p>
                <w:p>
                  <w:pPr>
                    <w:adjustRightInd w:val="0"/>
                    <w:snapToGrid w:val="0"/>
                    <w:rPr>
                      <w:rFonts w:hint="eastAsia" w:ascii="宋体" w:hAnsi="宋体" w:cs="宋体"/>
                      <w:color w:val="000000"/>
                      <w:szCs w:val="21"/>
                    </w:rPr>
                  </w:pPr>
                  <w:r>
                    <w:rPr>
                      <w:rFonts w:hint="eastAsia" w:ascii="宋体" w:hAnsi="宋体" w:cs="宋体"/>
                      <w:color w:val="000000"/>
                      <w:szCs w:val="21"/>
                    </w:rPr>
                    <w:t>6.新建、扩建的涉及重点重金属污染物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pPr>
                    <w:adjustRightInd w:val="0"/>
                    <w:snapToGrid w:val="0"/>
                    <w:rPr>
                      <w:rFonts w:hint="eastAsia" w:ascii="宋体" w:hAnsi="宋体" w:cs="宋体"/>
                      <w:color w:val="000000"/>
                      <w:szCs w:val="21"/>
                    </w:rPr>
                  </w:pPr>
                  <w:r>
                    <w:rPr>
                      <w:rFonts w:hint="eastAsia" w:ascii="宋体" w:hAnsi="宋体" w:cs="宋体"/>
                      <w:color w:val="000000"/>
                      <w:szCs w:val="21"/>
                    </w:rPr>
                    <w:t>7.禁止在流域上游新建、扩建重污染企业和项目。</w:t>
                  </w:r>
                </w:p>
                <w:p>
                  <w:pPr>
                    <w:adjustRightInd w:val="0"/>
                    <w:snapToGrid w:val="0"/>
                    <w:rPr>
                      <w:rFonts w:hint="eastAsia" w:ascii="宋体" w:hAnsi="宋体" w:cs="宋体"/>
                      <w:color w:val="000000"/>
                      <w:szCs w:val="21"/>
                    </w:rPr>
                  </w:pPr>
                  <w:r>
                    <w:rPr>
                      <w:rFonts w:hint="eastAsia" w:ascii="宋体" w:hAnsi="宋体" w:cs="宋体"/>
                      <w:color w:val="000000"/>
                      <w:szCs w:val="21"/>
                    </w:rPr>
                    <w:t>8.重要敏感水体及富营养化湖库生态缓冲带除相关政府部门批准的科学研究活动外，禁止其它可能对保护区构成危害或不良影响的大规模生产、建设活动。</w:t>
                  </w:r>
                </w:p>
                <w:p>
                  <w:pPr>
                    <w:adjustRightInd w:val="0"/>
                    <w:snapToGrid w:val="0"/>
                    <w:rPr>
                      <w:rFonts w:hint="eastAsia" w:ascii="宋体" w:hAnsi="宋体" w:cs="宋体"/>
                      <w:color w:val="000000"/>
                      <w:szCs w:val="21"/>
                    </w:rPr>
                  </w:pPr>
                  <w:r>
                    <w:rPr>
                      <w:rFonts w:hint="eastAsia" w:ascii="宋体" w:hAnsi="宋体" w:cs="宋体"/>
                      <w:color w:val="000000"/>
                      <w:szCs w:val="21"/>
                    </w:rPr>
                    <w:t>9.新、改、扩建煤电、钢铁、建材、石化、化工等“两高”项目，严格落实国家、省、市产业规划、产业政策、“三线一单”、规划环评，以及产能置换、煤炭消费减量替代、区域污染削减等相关要求。</w:t>
                  </w:r>
                </w:p>
                <w:p>
                  <w:pPr>
                    <w:pStyle w:val="84"/>
                    <w:tabs>
                      <w:tab w:val="left" w:pos="0"/>
                    </w:tabs>
                    <w:rPr>
                      <w:rFonts w:hint="eastAsia" w:ascii="宋体" w:hAnsi="宋体" w:cs="宋体"/>
                      <w:color w:val="000000"/>
                      <w:spacing w:val="0"/>
                      <w:kern w:val="2"/>
                      <w:szCs w:val="21"/>
                    </w:rPr>
                  </w:pPr>
                  <w:r>
                    <w:rPr>
                      <w:rFonts w:hint="eastAsia" w:ascii="宋体" w:hAnsi="宋体" w:cs="宋体"/>
                      <w:color w:val="000000"/>
                      <w:spacing w:val="0"/>
                      <w:kern w:val="2"/>
                      <w:szCs w:val="21"/>
                    </w:rPr>
                    <w:t>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778" w:type="dxa"/>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本项目主要从事</w:t>
                  </w:r>
                  <w:r>
                    <w:rPr>
                      <w:rFonts w:hint="eastAsia"/>
                      <w:color w:val="000000"/>
                      <w:szCs w:val="21"/>
                    </w:rPr>
                    <w:t>EVA塑料颗粒生产，属于塑料制品业，不属于</w:t>
                  </w:r>
                  <w:r>
                    <w:rPr>
                      <w:rFonts w:hint="eastAsia" w:ascii="宋体" w:hAnsi="宋体" w:cs="宋体"/>
                      <w:color w:val="000000"/>
                      <w:szCs w:val="21"/>
                    </w:rPr>
                    <w:t>电、钢铁、建材、石化、化工行业</w:t>
                  </w:r>
                  <w:r>
                    <w:rPr>
                      <w:rFonts w:hint="eastAsia"/>
                      <w:color w:val="000000"/>
                      <w:szCs w:val="21"/>
                    </w:rPr>
                    <w:t>，不涉及</w:t>
                  </w:r>
                  <w:r>
                    <w:rPr>
                      <w:rFonts w:hint="eastAsia" w:ascii="宋体" w:hAnsi="宋体" w:cs="宋体"/>
                      <w:color w:val="000000"/>
                      <w:szCs w:val="21"/>
                    </w:rPr>
                    <w:t>高VOCs含量有机溶剂型涂料、油墨和胶黏剂</w:t>
                  </w:r>
                  <w:r>
                    <w:rPr>
                      <w:color w:val="000000"/>
                      <w:szCs w:val="21"/>
                    </w:rPr>
                    <w:t>，位于福清融侨经济技术开发区</w:t>
                  </w:r>
                  <w:r>
                    <w:rPr>
                      <w:rFonts w:hint="eastAsia"/>
                      <w:color w:val="000000"/>
                      <w:szCs w:val="21"/>
                    </w:rPr>
                    <w:t>，不涉及永久基本农田，</w:t>
                  </w:r>
                  <w:r>
                    <w:rPr>
                      <w:color w:val="000000"/>
                      <w:szCs w:val="21"/>
                    </w:rPr>
                    <w:t>项目建设与空间布局约束要求不相冲突</w:t>
                  </w:r>
                </w:p>
              </w:tc>
              <w:tc>
                <w:tcPr>
                  <w:tcW w:w="586" w:type="dxa"/>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85" w:type="dxa"/>
                  <w:vMerge w:val="continue"/>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p>
              </w:tc>
              <w:tc>
                <w:tcPr>
                  <w:tcW w:w="324" w:type="dxa"/>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污染物排放管控</w:t>
                  </w:r>
                </w:p>
              </w:tc>
              <w:tc>
                <w:tcPr>
                  <w:tcW w:w="2985" w:type="dxa"/>
                  <w:vAlign w:val="center"/>
                </w:tcPr>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 xml:space="preserve">2.新、改、扩建涉VOCs排放项目污染物排放量应满足《福州市“十四五”空气质量持续改善计划》（榕环保综〔2023〕40号），应从源头加强控制，使用低（无）VOCs含量的原辅材料。 </w:t>
                  </w:r>
                </w:p>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4.氟化工、印染、电镀等行业企业实行水污染物特别排放限值。</w:t>
                  </w:r>
                </w:p>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5.新、改、扩建重点行业［2］建设项目要遵循重点重金属污染物排放“等量替代”原则，总量来源原则上应是同一重点行业内的削减量，当同一重点行业无法满足时可从其他重点行业调剂。</w:t>
                  </w:r>
                </w:p>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6.每小时35（含）—65蒸吨燃煤锅炉和位于县级及以上城市建成区内保留的燃煤、燃油、燃生物质锅炉，原则上2024年底前必须全面实现超低排放。</w:t>
                  </w:r>
                </w:p>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7.水泥行业新改扩建项目严格对照超低排放、能效标杆水平建设实施；现有项目超低排放改造应按文件（闽环规〔2023〕2号）的时限要求分步推进，2025年底前全面完成。</w:t>
                  </w:r>
                </w:p>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778" w:type="dxa"/>
                  <w:vAlign w:val="center"/>
                </w:tcPr>
                <w:p>
                  <w:pPr>
                    <w:pBdr>
                      <w:top w:val="none" w:color="auto" w:sz="0" w:space="1"/>
                      <w:left w:val="none" w:color="auto" w:sz="0" w:space="4"/>
                      <w:bottom w:val="none" w:color="auto" w:sz="0" w:space="1"/>
                      <w:right w:val="none" w:color="auto" w:sz="0" w:space="4"/>
                    </w:pBdr>
                    <w:jc w:val="left"/>
                    <w:rPr>
                      <w:color w:val="000000"/>
                      <w:szCs w:val="21"/>
                    </w:rPr>
                  </w:pPr>
                  <w:r>
                    <w:rPr>
                      <w:rFonts w:hint="eastAsia"/>
                      <w:color w:val="000000"/>
                      <w:szCs w:val="21"/>
                    </w:rPr>
                    <w:t>1、本项目涉及</w:t>
                  </w:r>
                  <w:r>
                    <w:rPr>
                      <w:color w:val="000000"/>
                      <w:szCs w:val="21"/>
                    </w:rPr>
                    <w:t>VOCS排放</w:t>
                  </w:r>
                  <w:r>
                    <w:rPr>
                      <w:rFonts w:hint="eastAsia"/>
                      <w:color w:val="000000"/>
                      <w:szCs w:val="21"/>
                    </w:rPr>
                    <w:t>，未涉及排放</w:t>
                  </w:r>
                  <w:r>
                    <w:rPr>
                      <w:color w:val="000000"/>
                      <w:szCs w:val="21"/>
                    </w:rPr>
                    <w:t>二氧化硫、氮氧化物</w:t>
                  </w:r>
                </w:p>
                <w:p>
                  <w:pPr>
                    <w:pBdr>
                      <w:top w:val="none" w:color="auto" w:sz="0" w:space="1"/>
                      <w:left w:val="none" w:color="auto" w:sz="0" w:space="4"/>
                      <w:bottom w:val="none" w:color="auto" w:sz="0" w:space="1"/>
                      <w:right w:val="none" w:color="auto" w:sz="0" w:space="4"/>
                    </w:pBdr>
                    <w:jc w:val="left"/>
                    <w:rPr>
                      <w:color w:val="000000"/>
                      <w:szCs w:val="21"/>
                    </w:rPr>
                  </w:pPr>
                  <w:r>
                    <w:rPr>
                      <w:rFonts w:hint="eastAsia"/>
                      <w:color w:val="000000"/>
                      <w:szCs w:val="21"/>
                    </w:rPr>
                    <w:t>2</w:t>
                  </w:r>
                  <w:r>
                    <w:rPr>
                      <w:color w:val="000000"/>
                      <w:szCs w:val="21"/>
                    </w:rPr>
                    <w:t>、项目位于福清融侨经济技术开发区，</w:t>
                  </w:r>
                  <w:r>
                    <w:rPr>
                      <w:rFonts w:hint="eastAsia"/>
                      <w:color w:val="000000"/>
                      <w:szCs w:val="21"/>
                    </w:rPr>
                    <w:t>不</w:t>
                  </w:r>
                  <w:r>
                    <w:rPr>
                      <w:color w:val="000000"/>
                      <w:szCs w:val="21"/>
                    </w:rPr>
                    <w:t>属于其规定的污染物管控区域。项目涉VOCS排放，建设单位将严格按照文件规定要求对VOCS排放实行倍量替代。</w:t>
                  </w:r>
                </w:p>
                <w:p>
                  <w:pPr>
                    <w:pBdr>
                      <w:top w:val="none" w:color="auto" w:sz="0" w:space="1"/>
                      <w:left w:val="none" w:color="auto" w:sz="0" w:space="4"/>
                      <w:bottom w:val="none" w:color="auto" w:sz="0" w:space="1"/>
                      <w:right w:val="none" w:color="auto" w:sz="0" w:space="4"/>
                    </w:pBdr>
                    <w:adjustRightInd w:val="0"/>
                    <w:snapToGrid w:val="0"/>
                    <w:jc w:val="center"/>
                    <w:rPr>
                      <w:color w:val="000000"/>
                      <w:szCs w:val="21"/>
                    </w:rPr>
                  </w:pPr>
                  <w:r>
                    <w:rPr>
                      <w:rFonts w:hint="eastAsia"/>
                      <w:color w:val="000000"/>
                      <w:szCs w:val="21"/>
                    </w:rPr>
                    <w:t>3</w:t>
                  </w:r>
                  <w:r>
                    <w:rPr>
                      <w:color w:val="000000"/>
                      <w:szCs w:val="21"/>
                    </w:rPr>
                    <w:t>、</w:t>
                  </w:r>
                  <w:r>
                    <w:rPr>
                      <w:rFonts w:hint="eastAsia"/>
                      <w:color w:val="000000"/>
                      <w:szCs w:val="21"/>
                    </w:rPr>
                    <w:t>本项</w:t>
                  </w:r>
                  <w:r>
                    <w:rPr>
                      <w:color w:val="000000"/>
                      <w:szCs w:val="21"/>
                    </w:rPr>
                    <w:t>目主要从事</w:t>
                  </w:r>
                  <w:r>
                    <w:rPr>
                      <w:rFonts w:hint="eastAsia"/>
                      <w:color w:val="000000"/>
                      <w:szCs w:val="21"/>
                    </w:rPr>
                    <w:t>EVA塑料颗粒制造</w:t>
                  </w:r>
                  <w:r>
                    <w:rPr>
                      <w:color w:val="000000"/>
                      <w:szCs w:val="21"/>
                    </w:rPr>
                    <w:t>，不属于水泥、有色金属、钢铁、火电</w:t>
                  </w:r>
                  <w:r>
                    <w:rPr>
                      <w:rFonts w:hint="eastAsia"/>
                      <w:color w:val="000000"/>
                      <w:szCs w:val="21"/>
                    </w:rPr>
                    <w:t>、</w:t>
                  </w:r>
                  <w:r>
                    <w:rPr>
                      <w:color w:val="000000"/>
                      <w:szCs w:val="21"/>
                    </w:rPr>
                    <w:t>氟化工、印染、电镀项目</w:t>
                  </w:r>
                </w:p>
                <w:p>
                  <w:pPr>
                    <w:pBdr>
                      <w:top w:val="none" w:color="auto" w:sz="0" w:space="1"/>
                      <w:left w:val="none" w:color="auto" w:sz="0" w:space="4"/>
                      <w:bottom w:val="none" w:color="auto" w:sz="0" w:space="1"/>
                      <w:right w:val="none" w:color="auto" w:sz="0" w:space="4"/>
                    </w:pBdr>
                    <w:adjustRightInd w:val="0"/>
                    <w:snapToGrid w:val="0"/>
                    <w:jc w:val="center"/>
                    <w:rPr>
                      <w:color w:val="000000"/>
                      <w:szCs w:val="21"/>
                    </w:rPr>
                  </w:pPr>
                  <w:r>
                    <w:rPr>
                      <w:rFonts w:hint="eastAsia"/>
                      <w:color w:val="000000"/>
                      <w:szCs w:val="21"/>
                    </w:rPr>
                    <w:t>4、项目不涉及锅炉</w:t>
                  </w:r>
                </w:p>
              </w:tc>
              <w:tc>
                <w:tcPr>
                  <w:tcW w:w="586" w:type="dxa"/>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585" w:type="dxa"/>
                  <w:vMerge w:val="continue"/>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p>
              </w:tc>
              <w:tc>
                <w:tcPr>
                  <w:tcW w:w="324" w:type="dxa"/>
                  <w:vAlign w:val="center"/>
                </w:tcPr>
                <w:p>
                  <w:pPr>
                    <w:adjustRightInd w:val="0"/>
                    <w:snapToGrid w:val="0"/>
                    <w:jc w:val="center"/>
                    <w:rPr>
                      <w:rFonts w:hint="eastAsia" w:ascii="宋体" w:hAnsi="宋体" w:cs="宋体"/>
                      <w:color w:val="000000"/>
                      <w:szCs w:val="21"/>
                    </w:rPr>
                  </w:pPr>
                  <w:r>
                    <w:rPr>
                      <w:rFonts w:hint="eastAsia" w:ascii="宋体" w:hAnsi="宋体" w:cs="宋体"/>
                      <w:color w:val="000000"/>
                      <w:szCs w:val="21"/>
                    </w:rPr>
                    <w:t>资源开发效率要求</w:t>
                  </w:r>
                </w:p>
              </w:tc>
              <w:tc>
                <w:tcPr>
                  <w:tcW w:w="2985" w:type="dxa"/>
                  <w:vAlign w:val="center"/>
                </w:tcPr>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pPr>
                    <w:adjustRightInd w:val="0"/>
                    <w:snapToGrid w:val="0"/>
                    <w:ind w:firstLine="420" w:firstLineChars="200"/>
                    <w:rPr>
                      <w:rFonts w:hint="eastAsia" w:ascii="宋体" w:hAnsi="宋体" w:cs="宋体"/>
                      <w:color w:val="000000"/>
                      <w:szCs w:val="21"/>
                    </w:rPr>
                  </w:pPr>
                  <w:r>
                    <w:rPr>
                      <w:rFonts w:hint="eastAsia" w:ascii="宋体" w:hAnsi="宋体" w:cs="宋体"/>
                      <w:color w:val="000000"/>
                      <w:szCs w:val="21"/>
                    </w:rPr>
                    <w:t>2.按照“提气、转电、控煤”的发展思路，推动陶瓷行业进一步优化用能结构，实现能源消费清洁低碳化。</w:t>
                  </w:r>
                </w:p>
              </w:tc>
              <w:tc>
                <w:tcPr>
                  <w:tcW w:w="1778" w:type="dxa"/>
                  <w:vAlign w:val="center"/>
                </w:tcPr>
                <w:p>
                  <w:pPr>
                    <w:pBdr>
                      <w:top w:val="none" w:color="auto" w:sz="0" w:space="1"/>
                      <w:left w:val="none" w:color="auto" w:sz="0" w:space="4"/>
                      <w:bottom w:val="none" w:color="auto" w:sz="0" w:space="1"/>
                      <w:right w:val="none" w:color="auto" w:sz="0" w:space="4"/>
                    </w:pBdr>
                    <w:jc w:val="left"/>
                    <w:rPr>
                      <w:color w:val="000000"/>
                      <w:szCs w:val="21"/>
                    </w:rPr>
                  </w:pPr>
                  <w:r>
                    <w:rPr>
                      <w:rFonts w:hint="eastAsia"/>
                      <w:color w:val="000000"/>
                      <w:szCs w:val="21"/>
                    </w:rPr>
                    <w:t>本项目不涉及</w:t>
                  </w:r>
                </w:p>
              </w:tc>
              <w:tc>
                <w:tcPr>
                  <w:tcW w:w="586" w:type="dxa"/>
                  <w:vAlign w:val="center"/>
                </w:tcPr>
                <w:p>
                  <w:pPr>
                    <w:pBdr>
                      <w:top w:val="none" w:color="auto" w:sz="0" w:space="1"/>
                      <w:left w:val="none" w:color="auto" w:sz="0" w:space="4"/>
                      <w:bottom w:val="none" w:color="auto" w:sz="0" w:space="1"/>
                      <w:right w:val="none" w:color="auto" w:sz="0" w:space="4"/>
                    </w:pBdr>
                    <w:spacing w:line="340" w:lineRule="exact"/>
                    <w:jc w:val="center"/>
                    <w:rPr>
                      <w:color w:val="000000"/>
                      <w:szCs w:val="21"/>
                    </w:rPr>
                  </w:pPr>
                  <w:r>
                    <w:rPr>
                      <w:color w:val="000000"/>
                      <w:szCs w:val="21"/>
                    </w:rPr>
                    <w:t>符合</w:t>
                  </w:r>
                </w:p>
              </w:tc>
            </w:tr>
          </w:tbl>
          <w:p>
            <w:pPr>
              <w:adjustRightInd w:val="0"/>
              <w:spacing w:line="360" w:lineRule="auto"/>
              <w:ind w:firstLine="480" w:firstLineChars="200"/>
              <w:contextualSpacing/>
              <w:rPr>
                <w:color w:val="000000"/>
                <w:sz w:val="24"/>
              </w:rPr>
            </w:pPr>
            <w:r>
              <w:rPr>
                <w:rFonts w:hint="eastAsia"/>
                <w:color w:val="000000"/>
                <w:sz w:val="24"/>
              </w:rPr>
              <w:t>根据上述分析，本项目与</w:t>
            </w:r>
            <w:r>
              <w:rPr>
                <w:color w:val="000000"/>
                <w:sz w:val="24"/>
              </w:rPr>
              <w:t>《福州市生态环境分区管控方案（2023年更新）》</w:t>
            </w:r>
            <w:r>
              <w:rPr>
                <w:rFonts w:hint="eastAsia"/>
                <w:color w:val="000000"/>
                <w:sz w:val="24"/>
              </w:rPr>
              <w:t>（</w:t>
            </w:r>
            <w:r>
              <w:rPr>
                <w:color w:val="000000"/>
                <w:sz w:val="24"/>
              </w:rPr>
              <w:t>榕政办规〔2024〕20号</w:t>
            </w:r>
            <w:r>
              <w:rPr>
                <w:rFonts w:hint="eastAsia"/>
                <w:color w:val="000000"/>
                <w:sz w:val="24"/>
              </w:rPr>
              <w:t>）中的相关规定是符合的。</w:t>
            </w:r>
          </w:p>
          <w:p>
            <w:pPr>
              <w:adjustRightInd w:val="0"/>
              <w:spacing w:line="360" w:lineRule="auto"/>
              <w:ind w:firstLine="480" w:firstLineChars="200"/>
              <w:contextualSpacing/>
              <w:rPr>
                <w:color w:val="000000"/>
                <w:sz w:val="24"/>
              </w:rPr>
            </w:pPr>
            <w:r>
              <w:rPr>
                <w:rFonts w:hint="eastAsia"/>
                <w:color w:val="000000"/>
                <w:sz w:val="24"/>
              </w:rPr>
              <w:t>通过“福建省生态环境分区管控数据应用平台”查询本项目涉及的管控单元为“</w:t>
            </w:r>
            <w:r>
              <w:rPr>
                <w:color w:val="000000"/>
                <w:sz w:val="24"/>
              </w:rPr>
              <w:t>福清市重点管控单元1</w:t>
            </w:r>
            <w:r>
              <w:rPr>
                <w:rFonts w:hint="eastAsia"/>
                <w:color w:val="000000"/>
                <w:sz w:val="24"/>
              </w:rPr>
              <w:t>”，对照情况见下表，查询报告见附图六。</w:t>
            </w:r>
          </w:p>
          <w:p>
            <w:pPr>
              <w:pStyle w:val="2"/>
              <w:ind w:left="0" w:firstLine="0"/>
              <w:jc w:val="center"/>
              <w:rPr>
                <w:sz w:val="24"/>
              </w:rPr>
            </w:pPr>
            <w:r>
              <w:rPr>
                <w:sz w:val="24"/>
              </w:rPr>
              <w:t xml:space="preserve">表1.3-3   </w:t>
            </w:r>
            <w:r>
              <w:rPr>
                <w:rFonts w:hint="eastAsia"/>
                <w:sz w:val="24"/>
              </w:rPr>
              <w:t>福清融侨经济技术开发区、</w:t>
            </w:r>
            <w:r>
              <w:rPr>
                <w:sz w:val="24"/>
              </w:rPr>
              <w:t>福清市重点管控单元1</w:t>
            </w:r>
            <w:r>
              <w:rPr>
                <w:rFonts w:hint="eastAsia"/>
                <w:sz w:val="24"/>
              </w:rPr>
              <w:t>生态环境准入</w:t>
            </w:r>
            <w:r>
              <w:rPr>
                <w:sz w:val="24"/>
              </w:rPr>
              <w:t>要求一览表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
              <w:gridCol w:w="426"/>
              <w:gridCol w:w="3377"/>
              <w:gridCol w:w="19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tblHeader/>
              </w:trPr>
              <w:tc>
                <w:tcPr>
                  <w:tcW w:w="426" w:type="pct"/>
                  <w:vAlign w:val="center"/>
                </w:tcPr>
                <w:p>
                  <w:pPr>
                    <w:spacing w:line="240" w:lineRule="exact"/>
                    <w:jc w:val="center"/>
                    <w:rPr>
                      <w:rFonts w:hint="eastAsia" w:ascii="宋体" w:hAnsi="宋体" w:cs="宋体"/>
                      <w:b/>
                      <w:bCs/>
                      <w:color w:val="000000"/>
                      <w:kern w:val="0"/>
                      <w:szCs w:val="21"/>
                    </w:rPr>
                  </w:pPr>
                  <w:r>
                    <w:rPr>
                      <w:rFonts w:hint="eastAsia" w:ascii="宋体" w:hAnsi="宋体" w:cs="宋体"/>
                      <w:b/>
                      <w:bCs/>
                      <w:color w:val="000000"/>
                      <w:kern w:val="0"/>
                      <w:szCs w:val="21"/>
                    </w:rPr>
                    <w:t>适用范围</w:t>
                  </w:r>
                </w:p>
              </w:tc>
              <w:tc>
                <w:tcPr>
                  <w:tcW w:w="3032" w:type="pct"/>
                  <w:gridSpan w:val="2"/>
                  <w:vAlign w:val="center"/>
                </w:tcPr>
                <w:p>
                  <w:pPr>
                    <w:spacing w:line="240" w:lineRule="exact"/>
                    <w:jc w:val="center"/>
                    <w:rPr>
                      <w:rFonts w:hint="eastAsia" w:ascii="宋体" w:hAnsi="宋体" w:cs="宋体"/>
                      <w:b/>
                      <w:bCs/>
                      <w:color w:val="000000"/>
                      <w:kern w:val="0"/>
                      <w:szCs w:val="21"/>
                    </w:rPr>
                  </w:pPr>
                  <w:r>
                    <w:rPr>
                      <w:rFonts w:hint="eastAsia" w:ascii="宋体" w:hAnsi="宋体" w:cs="宋体"/>
                      <w:b/>
                      <w:bCs/>
                      <w:color w:val="000000"/>
                      <w:kern w:val="0"/>
                      <w:szCs w:val="21"/>
                    </w:rPr>
                    <w:t>准入要求</w:t>
                  </w:r>
                </w:p>
              </w:tc>
              <w:tc>
                <w:tcPr>
                  <w:tcW w:w="1542" w:type="pct"/>
                  <w:vAlign w:val="center"/>
                </w:tcPr>
                <w:p>
                  <w:pPr>
                    <w:spacing w:line="240" w:lineRule="exact"/>
                    <w:jc w:val="center"/>
                    <w:rPr>
                      <w:rFonts w:hint="eastAsia" w:ascii="宋体" w:hAnsi="宋体" w:cs="宋体"/>
                      <w:b/>
                      <w:bCs/>
                      <w:color w:val="000000"/>
                      <w:kern w:val="0"/>
                      <w:szCs w:val="21"/>
                    </w:rPr>
                  </w:pPr>
                  <w:r>
                    <w:rPr>
                      <w:b/>
                      <w:bCs/>
                      <w:color w:val="000000"/>
                      <w:kern w:val="0"/>
                      <w:szCs w:val="21"/>
                    </w:rPr>
                    <w:t>本项目符合性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426" w:type="pct"/>
                  <w:vMerge w:val="restart"/>
                  <w:vAlign w:val="center"/>
                </w:tcPr>
                <w:p>
                  <w:pPr>
                    <w:jc w:val="left"/>
                    <w:rPr>
                      <w:rFonts w:hint="eastAsia" w:ascii="宋体" w:hAnsi="宋体" w:cs="宋体"/>
                      <w:color w:val="000000"/>
                      <w:kern w:val="0"/>
                      <w:szCs w:val="21"/>
                    </w:rPr>
                  </w:pPr>
                  <w:r>
                    <w:rPr>
                      <w:color w:val="000000"/>
                    </w:rPr>
                    <w:t>福清市重点管控单元1</w:t>
                  </w:r>
                </w:p>
              </w:tc>
              <w:tc>
                <w:tcPr>
                  <w:tcW w:w="340" w:type="pct"/>
                  <w:vAlign w:val="center"/>
                </w:tcPr>
                <w:p>
                  <w:pPr>
                    <w:jc w:val="left"/>
                    <w:rPr>
                      <w:rFonts w:hint="eastAsia" w:ascii="宋体" w:hAnsi="宋体" w:cs="宋体"/>
                      <w:color w:val="000000"/>
                      <w:kern w:val="0"/>
                      <w:szCs w:val="21"/>
                    </w:rPr>
                  </w:pPr>
                  <w:r>
                    <w:rPr>
                      <w:rFonts w:hint="eastAsia"/>
                      <w:color w:val="000000"/>
                    </w:rPr>
                    <w:t>空间布局约束</w:t>
                  </w:r>
                </w:p>
              </w:tc>
              <w:tc>
                <w:tcPr>
                  <w:tcW w:w="2692" w:type="pct"/>
                  <w:vAlign w:val="center"/>
                </w:tcPr>
                <w:p>
                  <w:pPr>
                    <w:jc w:val="left"/>
                    <w:rPr>
                      <w:rFonts w:hint="eastAsia" w:ascii="宋体" w:hAnsi="宋体" w:cs="宋体"/>
                      <w:color w:val="000000"/>
                      <w:kern w:val="0"/>
                      <w:szCs w:val="21"/>
                    </w:rPr>
                  </w:pPr>
                  <w:r>
                    <w:rPr>
                      <w:color w:val="000000"/>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1542" w:type="pct"/>
                  <w:vAlign w:val="center"/>
                </w:tcPr>
                <w:p>
                  <w:pPr>
                    <w:jc w:val="left"/>
                    <w:rPr>
                      <w:rFonts w:hint="eastAsia" w:ascii="宋体" w:hAnsi="宋体" w:cs="宋体"/>
                      <w:color w:val="000000"/>
                      <w:szCs w:val="21"/>
                    </w:rPr>
                  </w:pPr>
                  <w:r>
                    <w:rPr>
                      <w:rFonts w:hint="eastAsia" w:ascii="宋体" w:hAnsi="宋体" w:cs="宋体"/>
                      <w:color w:val="000000"/>
                      <w:szCs w:val="21"/>
                    </w:rPr>
                    <w:t>符合，本项目属于EVA塑料颗粒制造，不属于化工等污染较重的企业，不属于印刷、工业涂装、制鞋等高VOCs排放的建设项目，位于福清融侨经济开发区管控，项目建设与空间布局约束要求不相冲突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426" w:type="pct"/>
                  <w:vMerge w:val="continue"/>
                  <w:vAlign w:val="center"/>
                </w:tcPr>
                <w:p>
                  <w:pPr>
                    <w:jc w:val="left"/>
                    <w:rPr>
                      <w:rFonts w:hint="eastAsia" w:ascii="宋体" w:hAnsi="宋体" w:cs="宋体"/>
                      <w:color w:val="000000"/>
                      <w:kern w:val="0"/>
                      <w:szCs w:val="21"/>
                    </w:rPr>
                  </w:pPr>
                </w:p>
              </w:tc>
              <w:tc>
                <w:tcPr>
                  <w:tcW w:w="340" w:type="pct"/>
                  <w:vAlign w:val="center"/>
                </w:tcPr>
                <w:p>
                  <w:pPr>
                    <w:jc w:val="left"/>
                    <w:rPr>
                      <w:rFonts w:hint="eastAsia" w:ascii="宋体" w:hAnsi="宋体" w:cs="宋体"/>
                      <w:color w:val="000000"/>
                      <w:kern w:val="0"/>
                      <w:szCs w:val="21"/>
                    </w:rPr>
                  </w:pPr>
                  <w:r>
                    <w:rPr>
                      <w:rFonts w:hint="eastAsia"/>
                      <w:color w:val="000000"/>
                    </w:rPr>
                    <w:t>污染物排放管控</w:t>
                  </w:r>
                </w:p>
              </w:tc>
              <w:tc>
                <w:tcPr>
                  <w:tcW w:w="2692" w:type="pct"/>
                  <w:vAlign w:val="center"/>
                </w:tcPr>
                <w:p>
                  <w:pPr>
                    <w:jc w:val="left"/>
                    <w:rPr>
                      <w:rFonts w:hint="eastAsia" w:ascii="宋体" w:hAnsi="宋体" w:cs="宋体"/>
                      <w:color w:val="000000"/>
                      <w:kern w:val="0"/>
                      <w:szCs w:val="21"/>
                    </w:rPr>
                  </w:pPr>
                  <w:r>
                    <w:rPr>
                      <w:color w:val="000000"/>
                    </w:rPr>
                    <w:t>落实新增二氧化硫、氮氧化物和VOCs排放总量控制要求。</w:t>
                  </w:r>
                </w:p>
              </w:tc>
              <w:tc>
                <w:tcPr>
                  <w:tcW w:w="1542" w:type="pct"/>
                  <w:vAlign w:val="center"/>
                </w:tcPr>
                <w:p>
                  <w:pPr>
                    <w:jc w:val="left"/>
                    <w:rPr>
                      <w:rFonts w:hint="eastAsia" w:ascii="宋体" w:hAnsi="宋体" w:cs="宋体"/>
                      <w:color w:val="000000"/>
                      <w:szCs w:val="21"/>
                    </w:rPr>
                  </w:pPr>
                  <w:r>
                    <w:rPr>
                      <w:rFonts w:hint="eastAsia" w:ascii="宋体" w:hAnsi="宋体" w:cs="宋体"/>
                      <w:color w:val="000000"/>
                      <w:szCs w:val="21"/>
                    </w:rPr>
                    <w:t>项目排放的VOCs实行倍量调剂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426" w:type="pct"/>
                  <w:vMerge w:val="continue"/>
                  <w:vAlign w:val="center"/>
                </w:tcPr>
                <w:p>
                  <w:pPr>
                    <w:jc w:val="left"/>
                    <w:rPr>
                      <w:rFonts w:hint="eastAsia" w:ascii="宋体" w:hAnsi="宋体" w:cs="宋体"/>
                      <w:color w:val="000000"/>
                      <w:kern w:val="0"/>
                      <w:szCs w:val="21"/>
                    </w:rPr>
                  </w:pPr>
                </w:p>
              </w:tc>
              <w:tc>
                <w:tcPr>
                  <w:tcW w:w="340" w:type="pct"/>
                  <w:vAlign w:val="center"/>
                </w:tcPr>
                <w:p>
                  <w:pPr>
                    <w:jc w:val="left"/>
                    <w:rPr>
                      <w:rFonts w:hint="eastAsia" w:ascii="宋体" w:hAnsi="宋体" w:cs="宋体"/>
                      <w:color w:val="000000"/>
                      <w:kern w:val="0"/>
                      <w:szCs w:val="21"/>
                    </w:rPr>
                  </w:pPr>
                  <w:r>
                    <w:rPr>
                      <w:rFonts w:hint="eastAsia"/>
                      <w:color w:val="000000"/>
                    </w:rPr>
                    <w:t>环境风险防控</w:t>
                  </w:r>
                </w:p>
              </w:tc>
              <w:tc>
                <w:tcPr>
                  <w:tcW w:w="2692" w:type="pct"/>
                  <w:vAlign w:val="center"/>
                </w:tcPr>
                <w:p>
                  <w:pPr>
                    <w:jc w:val="left"/>
                    <w:rPr>
                      <w:rFonts w:hint="eastAsia" w:ascii="宋体" w:hAnsi="宋体" w:cs="宋体"/>
                      <w:color w:val="000000"/>
                      <w:kern w:val="0"/>
                      <w:szCs w:val="21"/>
                    </w:rPr>
                  </w:pPr>
                  <w:r>
                    <w:rPr>
                      <w:color w:val="000000"/>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542" w:type="pct"/>
                  <w:vAlign w:val="center"/>
                </w:tcPr>
                <w:p>
                  <w:pPr>
                    <w:jc w:val="left"/>
                    <w:rPr>
                      <w:rFonts w:hint="eastAsia" w:ascii="宋体" w:hAnsi="宋体" w:cs="宋体"/>
                      <w:color w:val="000000"/>
                      <w:szCs w:val="21"/>
                    </w:rPr>
                  </w:pPr>
                  <w:r>
                    <w:rPr>
                      <w:rFonts w:hint="eastAsia" w:ascii="宋体" w:hAnsi="宋体" w:cs="宋体"/>
                      <w:color w:val="000000"/>
                      <w:szCs w:val="21"/>
                    </w:rPr>
                    <w:t>符合，本项目不属于</w:t>
                  </w:r>
                  <w:r>
                    <w:rPr>
                      <w:color w:val="000000"/>
                      <w:szCs w:val="22"/>
                    </w:rPr>
                    <w:t>化学原料和化学制品制造业、有色金属冶炼和压延加工业</w:t>
                  </w:r>
                  <w:r>
                    <w:rPr>
                      <w:rFonts w:hint="eastAsia"/>
                      <w:color w:val="000000"/>
                      <w:szCs w:val="22"/>
                    </w:rPr>
                    <w:t>不会对土壤噪声危害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35" w:hRule="atLeast"/>
              </w:trPr>
              <w:tc>
                <w:tcPr>
                  <w:tcW w:w="426" w:type="pct"/>
                  <w:vMerge w:val="continue"/>
                  <w:vAlign w:val="center"/>
                </w:tcPr>
                <w:p>
                  <w:pPr>
                    <w:jc w:val="left"/>
                    <w:rPr>
                      <w:rFonts w:hint="eastAsia" w:ascii="宋体" w:hAnsi="宋体" w:cs="宋体"/>
                      <w:color w:val="000000"/>
                      <w:kern w:val="0"/>
                      <w:szCs w:val="21"/>
                    </w:rPr>
                  </w:pPr>
                </w:p>
              </w:tc>
              <w:tc>
                <w:tcPr>
                  <w:tcW w:w="340" w:type="pct"/>
                  <w:vAlign w:val="center"/>
                </w:tcPr>
                <w:p>
                  <w:pPr>
                    <w:jc w:val="left"/>
                    <w:rPr>
                      <w:rFonts w:hint="eastAsia" w:ascii="宋体" w:hAnsi="宋体" w:cs="宋体"/>
                      <w:color w:val="000000"/>
                      <w:kern w:val="0"/>
                      <w:szCs w:val="21"/>
                    </w:rPr>
                  </w:pPr>
                  <w:r>
                    <w:rPr>
                      <w:rFonts w:hint="eastAsia"/>
                      <w:color w:val="000000"/>
                    </w:rPr>
                    <w:t>资源开发效率要求</w:t>
                  </w:r>
                </w:p>
              </w:tc>
              <w:tc>
                <w:tcPr>
                  <w:tcW w:w="2692" w:type="pct"/>
                  <w:vAlign w:val="center"/>
                </w:tcPr>
                <w:p>
                  <w:pPr>
                    <w:jc w:val="left"/>
                    <w:rPr>
                      <w:rFonts w:hint="eastAsia" w:ascii="宋体" w:hAnsi="宋体" w:cs="宋体"/>
                      <w:color w:val="000000"/>
                      <w:kern w:val="0"/>
                      <w:szCs w:val="21"/>
                    </w:rPr>
                  </w:pPr>
                  <w:r>
                    <w:rPr>
                      <w:color w:val="000000"/>
                    </w:rPr>
                    <w:t>高污染燃料禁燃区内禁止燃用高污染燃料，禁止新建、扩建燃用高污染燃料的设施。已建的燃用高污染燃料设施，限期改用电、天然气、液化石油气等清洁能源。</w:t>
                  </w:r>
                </w:p>
              </w:tc>
              <w:tc>
                <w:tcPr>
                  <w:tcW w:w="1542" w:type="pct"/>
                  <w:vAlign w:val="center"/>
                </w:tcPr>
                <w:p>
                  <w:pPr>
                    <w:jc w:val="left"/>
                    <w:rPr>
                      <w:rFonts w:hint="eastAsia" w:ascii="宋体" w:hAnsi="宋体" w:cs="宋体"/>
                      <w:color w:val="000000"/>
                      <w:szCs w:val="21"/>
                    </w:rPr>
                  </w:pPr>
                  <w:r>
                    <w:rPr>
                      <w:rFonts w:hint="eastAsia" w:ascii="宋体" w:hAnsi="宋体" w:cs="宋体"/>
                      <w:color w:val="000000"/>
                      <w:szCs w:val="21"/>
                    </w:rPr>
                    <w:t>符合，本项目使用电为清洁能源</w:t>
                  </w:r>
                </w:p>
              </w:tc>
            </w:tr>
          </w:tbl>
          <w:p>
            <w:pPr>
              <w:adjustRightInd w:val="0"/>
              <w:spacing w:line="360" w:lineRule="auto"/>
              <w:ind w:firstLine="480" w:firstLineChars="200"/>
              <w:contextualSpacing/>
              <w:rPr>
                <w:color w:val="000000"/>
                <w:sz w:val="24"/>
              </w:rPr>
            </w:pPr>
            <w:r>
              <w:rPr>
                <w:color w:val="000000"/>
                <w:sz w:val="24"/>
              </w:rPr>
              <w:t>项目“三线一单”符合性分析见表1.3-4。</w:t>
            </w:r>
          </w:p>
          <w:p>
            <w:pPr>
              <w:autoSpaceDE w:val="0"/>
              <w:autoSpaceDN w:val="0"/>
              <w:adjustRightInd w:val="0"/>
              <w:snapToGrid w:val="0"/>
              <w:jc w:val="center"/>
              <w:rPr>
                <w:b/>
                <w:bCs/>
                <w:color w:val="000000"/>
                <w:kern w:val="0"/>
                <w:sz w:val="24"/>
              </w:rPr>
            </w:pPr>
            <w:r>
              <w:rPr>
                <w:b/>
                <w:bCs/>
                <w:color w:val="000000"/>
                <w:kern w:val="0"/>
                <w:sz w:val="24"/>
              </w:rPr>
              <w:t>表1.3-4  项目与“三线一单”文件相符性分析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426"/>
              <w:gridCol w:w="4281"/>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Align w:val="center"/>
                </w:tcPr>
                <w:p>
                  <w:pPr>
                    <w:pStyle w:val="64"/>
                    <w:rPr>
                      <w:color w:val="000000"/>
                    </w:rPr>
                  </w:pPr>
                  <w:r>
                    <w:rPr>
                      <w:color w:val="000000"/>
                    </w:rPr>
                    <w:t>文件</w:t>
                  </w:r>
                </w:p>
              </w:tc>
              <w:tc>
                <w:tcPr>
                  <w:tcW w:w="426" w:type="dxa"/>
                  <w:vAlign w:val="center"/>
                </w:tcPr>
                <w:p>
                  <w:pPr>
                    <w:pStyle w:val="64"/>
                    <w:rPr>
                      <w:color w:val="000000"/>
                    </w:rPr>
                  </w:pPr>
                  <w:r>
                    <w:rPr>
                      <w:color w:val="000000"/>
                    </w:rPr>
                    <w:t>类别</w:t>
                  </w:r>
                </w:p>
              </w:tc>
              <w:tc>
                <w:tcPr>
                  <w:tcW w:w="4281" w:type="dxa"/>
                  <w:vAlign w:val="center"/>
                </w:tcPr>
                <w:p>
                  <w:pPr>
                    <w:pStyle w:val="64"/>
                    <w:rPr>
                      <w:color w:val="000000"/>
                    </w:rPr>
                  </w:pPr>
                  <w:r>
                    <w:rPr>
                      <w:color w:val="000000"/>
                    </w:rPr>
                    <w:t>项目与“三线一单”相符性分析</w:t>
                  </w:r>
                </w:p>
              </w:tc>
              <w:tc>
                <w:tcPr>
                  <w:tcW w:w="569" w:type="dxa"/>
                  <w:vAlign w:val="center"/>
                </w:tcPr>
                <w:p>
                  <w:pPr>
                    <w:pStyle w:val="64"/>
                    <w:rPr>
                      <w:color w:val="000000"/>
                    </w:rPr>
                  </w:pPr>
                  <w:r>
                    <w:rPr>
                      <w:color w:val="00000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Merge w:val="restart"/>
                  <w:vAlign w:val="center"/>
                </w:tcPr>
                <w:p>
                  <w:pPr>
                    <w:pStyle w:val="64"/>
                    <w:rPr>
                      <w:color w:val="000000"/>
                    </w:rPr>
                  </w:pPr>
                  <w:r>
                    <w:rPr>
                      <w:color w:val="000000"/>
                    </w:rPr>
                    <w:t>《“十三五”环境影响评价改革实施方案》（环环评[2016]95号）</w:t>
                  </w:r>
                </w:p>
              </w:tc>
              <w:tc>
                <w:tcPr>
                  <w:tcW w:w="426" w:type="dxa"/>
                  <w:vAlign w:val="center"/>
                </w:tcPr>
                <w:p>
                  <w:pPr>
                    <w:pStyle w:val="64"/>
                    <w:rPr>
                      <w:color w:val="000000"/>
                    </w:rPr>
                  </w:pPr>
                  <w:r>
                    <w:rPr>
                      <w:color w:val="000000"/>
                    </w:rPr>
                    <w:t>生态保护红线</w:t>
                  </w:r>
                </w:p>
              </w:tc>
              <w:tc>
                <w:tcPr>
                  <w:tcW w:w="4281" w:type="dxa"/>
                  <w:vAlign w:val="center"/>
                </w:tcPr>
                <w:p>
                  <w:pPr>
                    <w:pStyle w:val="64"/>
                    <w:jc w:val="left"/>
                    <w:rPr>
                      <w:color w:val="000000"/>
                    </w:rPr>
                  </w:pPr>
                  <w:r>
                    <w:rPr>
                      <w:color w:val="000000"/>
                    </w:rPr>
                    <w:t>项目选址不涉及自然保护区、风景名胜区、重要湿地、生态公益林、重要自然与人文景观、文物古迹及其他需要特别保护的区域，项目用地红线不在饮用水源保护区范围内。项目位于</w:t>
                  </w:r>
                  <w:r>
                    <w:rPr>
                      <w:rFonts w:hint="eastAsia"/>
                      <w:color w:val="000000"/>
                    </w:rPr>
                    <w:t>融侨经济技术开发区</w:t>
                  </w:r>
                  <w:r>
                    <w:rPr>
                      <w:color w:val="000000"/>
                    </w:rPr>
                    <w:t>，属于工业用地，项目选址符合生态保护红线要求。</w:t>
                  </w:r>
                </w:p>
              </w:tc>
              <w:tc>
                <w:tcPr>
                  <w:tcW w:w="569" w:type="dxa"/>
                  <w:vAlign w:val="center"/>
                </w:tcPr>
                <w:p>
                  <w:pPr>
                    <w:pStyle w:val="64"/>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Merge w:val="continue"/>
                  <w:vAlign w:val="center"/>
                </w:tcPr>
                <w:p>
                  <w:pPr>
                    <w:pStyle w:val="64"/>
                    <w:rPr>
                      <w:color w:val="000000"/>
                    </w:rPr>
                  </w:pPr>
                </w:p>
              </w:tc>
              <w:tc>
                <w:tcPr>
                  <w:tcW w:w="426" w:type="dxa"/>
                  <w:vAlign w:val="center"/>
                </w:tcPr>
                <w:p>
                  <w:pPr>
                    <w:pStyle w:val="64"/>
                    <w:rPr>
                      <w:color w:val="000000"/>
                    </w:rPr>
                  </w:pPr>
                  <w:r>
                    <w:rPr>
                      <w:color w:val="000000"/>
                    </w:rPr>
                    <w:t>环境质量底线</w:t>
                  </w:r>
                </w:p>
              </w:tc>
              <w:tc>
                <w:tcPr>
                  <w:tcW w:w="4281" w:type="dxa"/>
                  <w:vAlign w:val="center"/>
                </w:tcPr>
                <w:p>
                  <w:pPr>
                    <w:pStyle w:val="64"/>
                    <w:jc w:val="left"/>
                    <w:rPr>
                      <w:color w:val="000000"/>
                    </w:rPr>
                  </w:pPr>
                  <w:r>
                    <w:rPr>
                      <w:color w:val="000000"/>
                    </w:rPr>
                    <w:t>根据项目所在地环境质量现状调查和污染物排放影响分析可知，本项目运营后不会对区域环境质量底线造成冲击。</w:t>
                  </w:r>
                </w:p>
              </w:tc>
              <w:tc>
                <w:tcPr>
                  <w:tcW w:w="569" w:type="dxa"/>
                  <w:vAlign w:val="center"/>
                </w:tcPr>
                <w:p>
                  <w:pPr>
                    <w:pStyle w:val="64"/>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Merge w:val="continue"/>
                  <w:vAlign w:val="center"/>
                </w:tcPr>
                <w:p>
                  <w:pPr>
                    <w:pStyle w:val="64"/>
                    <w:rPr>
                      <w:color w:val="000000"/>
                    </w:rPr>
                  </w:pPr>
                </w:p>
              </w:tc>
              <w:tc>
                <w:tcPr>
                  <w:tcW w:w="426" w:type="dxa"/>
                  <w:vAlign w:val="center"/>
                </w:tcPr>
                <w:p>
                  <w:pPr>
                    <w:pStyle w:val="64"/>
                    <w:rPr>
                      <w:color w:val="000000"/>
                    </w:rPr>
                  </w:pPr>
                  <w:r>
                    <w:rPr>
                      <w:color w:val="000000"/>
                    </w:rPr>
                    <w:t>资源利用上线</w:t>
                  </w:r>
                </w:p>
              </w:tc>
              <w:tc>
                <w:tcPr>
                  <w:tcW w:w="4281" w:type="dxa"/>
                  <w:vAlign w:val="center"/>
                </w:tcPr>
                <w:p>
                  <w:pPr>
                    <w:pStyle w:val="64"/>
                    <w:jc w:val="left"/>
                    <w:rPr>
                      <w:color w:val="000000"/>
                    </w:rPr>
                  </w:pPr>
                  <w:r>
                    <w:rPr>
                      <w:color w:val="000000"/>
                    </w:rPr>
                    <w:t>项目用水、用电为区域集中供应，项目运行过程通过内部管理、设备选择、原辅材料的选用和管理、废物回收利用、污染治理等多方面采取合理可行的防治措施，以“节能、降耗、减污”为目标，有效的控制污染。项目的水、气等资源利用不会突破区域的资源利用上线。</w:t>
                  </w:r>
                </w:p>
              </w:tc>
              <w:tc>
                <w:tcPr>
                  <w:tcW w:w="569" w:type="dxa"/>
                  <w:vAlign w:val="center"/>
                </w:tcPr>
                <w:p>
                  <w:pPr>
                    <w:pStyle w:val="64"/>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vMerge w:val="continue"/>
                  <w:vAlign w:val="center"/>
                </w:tcPr>
                <w:p>
                  <w:pPr>
                    <w:pStyle w:val="64"/>
                    <w:rPr>
                      <w:color w:val="000000"/>
                    </w:rPr>
                  </w:pPr>
                </w:p>
              </w:tc>
              <w:tc>
                <w:tcPr>
                  <w:tcW w:w="426" w:type="dxa"/>
                  <w:vAlign w:val="center"/>
                </w:tcPr>
                <w:p>
                  <w:pPr>
                    <w:pStyle w:val="64"/>
                    <w:jc w:val="left"/>
                    <w:rPr>
                      <w:color w:val="000000"/>
                    </w:rPr>
                  </w:pPr>
                  <w:r>
                    <w:rPr>
                      <w:color w:val="000000"/>
                    </w:rPr>
                    <w:t>环境准入负面清单</w:t>
                  </w:r>
                </w:p>
              </w:tc>
              <w:tc>
                <w:tcPr>
                  <w:tcW w:w="4281" w:type="dxa"/>
                  <w:vAlign w:val="center"/>
                </w:tcPr>
                <w:p>
                  <w:pPr>
                    <w:pStyle w:val="64"/>
                    <w:jc w:val="left"/>
                    <w:rPr>
                      <w:color w:val="000000"/>
                    </w:rPr>
                  </w:pPr>
                  <w:r>
                    <w:rPr>
                      <w:rFonts w:hint="eastAsia"/>
                      <w:color w:val="000000"/>
                    </w:rPr>
                    <w:t>项目符合国家产业政策，符合《福建省人民政府关于实施“三线一单”生态环境分区管控的通知(闽政〔2020〕12号)》全省生态环境总体准入要求及《福州市人民政府关于实施“三线一单”生态分区管控的通知》(榕政综〔2021〕178号)的要求；不属于《市场准入负面清单》(2020年版)中禁止准入类的项目。</w:t>
                  </w:r>
                </w:p>
              </w:tc>
              <w:tc>
                <w:tcPr>
                  <w:tcW w:w="569" w:type="dxa"/>
                  <w:vAlign w:val="center"/>
                </w:tcPr>
                <w:p>
                  <w:pPr>
                    <w:pStyle w:val="64"/>
                    <w:rPr>
                      <w:color w:val="000000"/>
                    </w:rPr>
                  </w:pPr>
                  <w:r>
                    <w:rPr>
                      <w:color w:val="000000"/>
                    </w:rPr>
                    <w:t>符合</w:t>
                  </w:r>
                </w:p>
              </w:tc>
            </w:tr>
          </w:tbl>
          <w:p>
            <w:pPr>
              <w:widowControl/>
              <w:spacing w:line="360" w:lineRule="auto"/>
              <w:jc w:val="left"/>
              <w:outlineLvl w:val="1"/>
              <w:rPr>
                <w:b/>
                <w:bCs/>
                <w:color w:val="000000"/>
                <w:kern w:val="21"/>
                <w:szCs w:val="21"/>
              </w:rPr>
            </w:pPr>
            <w:r>
              <w:rPr>
                <w:b/>
                <w:bCs/>
                <w:color w:val="000000"/>
                <w:kern w:val="21"/>
                <w:szCs w:val="21"/>
              </w:rPr>
              <w:t>1.</w:t>
            </w:r>
            <w:r>
              <w:rPr>
                <w:rFonts w:hint="eastAsia"/>
                <w:b/>
                <w:bCs/>
                <w:color w:val="000000"/>
                <w:kern w:val="21"/>
                <w:szCs w:val="21"/>
              </w:rPr>
              <w:t>4</w:t>
            </w:r>
            <w:r>
              <w:rPr>
                <w:b/>
                <w:bCs/>
                <w:color w:val="000000"/>
                <w:kern w:val="21"/>
                <w:szCs w:val="21"/>
              </w:rPr>
              <w:t>与污染防治相关政策符合性分析</w:t>
            </w:r>
          </w:p>
          <w:p>
            <w:pPr>
              <w:pStyle w:val="103"/>
              <w:spacing w:before="48" w:after="72" w:line="360" w:lineRule="auto"/>
              <w:ind w:firstLine="480" w:firstLineChars="200"/>
              <w:rPr>
                <w:color w:val="000000"/>
                <w:sz w:val="24"/>
                <w:szCs w:val="24"/>
              </w:rPr>
            </w:pPr>
            <w:r>
              <w:rPr>
                <w:rFonts w:hint="eastAsia"/>
                <w:color w:val="000000"/>
                <w:sz w:val="24"/>
                <w:szCs w:val="24"/>
              </w:rPr>
              <w:t>本项目与挥发性有机物污染防治政策相关内容符合性分析，符合性分析详见表</w:t>
            </w:r>
            <w:r>
              <w:rPr>
                <w:color w:val="000000"/>
                <w:sz w:val="24"/>
                <w:szCs w:val="24"/>
              </w:rPr>
              <w:t>1.4</w:t>
            </w:r>
            <w:r>
              <w:rPr>
                <w:rFonts w:hint="eastAsia"/>
                <w:color w:val="000000"/>
                <w:sz w:val="24"/>
                <w:szCs w:val="24"/>
              </w:rPr>
              <w:t>-</w:t>
            </w:r>
            <w:r>
              <w:rPr>
                <w:color w:val="000000"/>
                <w:sz w:val="24"/>
                <w:szCs w:val="24"/>
              </w:rPr>
              <w:t>1</w:t>
            </w:r>
            <w:r>
              <w:rPr>
                <w:rFonts w:hint="eastAsia"/>
                <w:color w:val="000000"/>
                <w:sz w:val="24"/>
                <w:szCs w:val="24"/>
              </w:rPr>
              <w:t>。</w:t>
            </w:r>
          </w:p>
          <w:p>
            <w:pPr>
              <w:pStyle w:val="2"/>
              <w:ind w:left="0" w:firstLine="0"/>
              <w:jc w:val="center"/>
              <w:rPr>
                <w:sz w:val="24"/>
              </w:rPr>
            </w:pPr>
            <w:r>
              <w:rPr>
                <w:sz w:val="24"/>
              </w:rPr>
              <w:t>表1.4</w:t>
            </w:r>
            <w:r>
              <w:rPr>
                <w:rFonts w:hint="eastAsia"/>
                <w:sz w:val="24"/>
              </w:rPr>
              <w:t>-</w:t>
            </w:r>
            <w:r>
              <w:rPr>
                <w:sz w:val="24"/>
              </w:rPr>
              <w:t xml:space="preserve">1  </w:t>
            </w:r>
            <w:r>
              <w:rPr>
                <w:rFonts w:hint="eastAsia"/>
                <w:sz w:val="24"/>
              </w:rPr>
              <w:t>挥发性有机物污染防治政策相关内容</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332"/>
              <w:gridCol w:w="1053"/>
              <w:gridCol w:w="2745"/>
              <w:gridCol w:w="1521"/>
              <w:gridCol w:w="6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pPr>
                    <w:pStyle w:val="121"/>
                    <w:adjustRightInd w:val="0"/>
                    <w:snapToGrid w:val="0"/>
                    <w:spacing w:line="340" w:lineRule="exact"/>
                    <w:rPr>
                      <w:color w:val="000000"/>
                      <w:szCs w:val="21"/>
                    </w:rPr>
                  </w:pPr>
                  <w:r>
                    <w:rPr>
                      <w:color w:val="000000"/>
                      <w:szCs w:val="21"/>
                    </w:rPr>
                    <w:t>序号</w:t>
                  </w:r>
                </w:p>
              </w:tc>
              <w:tc>
                <w:tcPr>
                  <w:tcW w:w="1064" w:type="dxa"/>
                  <w:vAlign w:val="center"/>
                </w:tcPr>
                <w:p>
                  <w:pPr>
                    <w:pStyle w:val="121"/>
                    <w:adjustRightInd w:val="0"/>
                    <w:snapToGrid w:val="0"/>
                    <w:spacing w:line="340" w:lineRule="exact"/>
                    <w:rPr>
                      <w:color w:val="000000"/>
                      <w:szCs w:val="21"/>
                    </w:rPr>
                  </w:pPr>
                  <w:r>
                    <w:rPr>
                      <w:color w:val="000000"/>
                      <w:szCs w:val="21"/>
                    </w:rPr>
                    <w:t>相关文</w:t>
                  </w:r>
                </w:p>
                <w:p>
                  <w:pPr>
                    <w:pStyle w:val="121"/>
                    <w:adjustRightInd w:val="0"/>
                    <w:snapToGrid w:val="0"/>
                    <w:spacing w:line="340" w:lineRule="exact"/>
                    <w:rPr>
                      <w:color w:val="000000"/>
                      <w:szCs w:val="21"/>
                    </w:rPr>
                  </w:pPr>
                  <w:r>
                    <w:rPr>
                      <w:color w:val="000000"/>
                      <w:szCs w:val="21"/>
                    </w:rPr>
                    <w:t>件名称</w:t>
                  </w:r>
                </w:p>
              </w:tc>
              <w:tc>
                <w:tcPr>
                  <w:tcW w:w="2877" w:type="dxa"/>
                  <w:tcBorders>
                    <w:right w:val="single" w:color="auto" w:sz="4" w:space="0"/>
                  </w:tcBorders>
                  <w:vAlign w:val="center"/>
                </w:tcPr>
                <w:p>
                  <w:pPr>
                    <w:pStyle w:val="121"/>
                    <w:adjustRightInd w:val="0"/>
                    <w:snapToGrid w:val="0"/>
                    <w:spacing w:line="340" w:lineRule="exact"/>
                    <w:rPr>
                      <w:color w:val="000000"/>
                      <w:szCs w:val="21"/>
                    </w:rPr>
                  </w:pPr>
                  <w:r>
                    <w:rPr>
                      <w:color w:val="000000"/>
                      <w:szCs w:val="21"/>
                    </w:rPr>
                    <w:t>相关内容</w:t>
                  </w:r>
                </w:p>
              </w:tc>
              <w:tc>
                <w:tcPr>
                  <w:tcW w:w="1562" w:type="dxa"/>
                  <w:tcBorders>
                    <w:left w:val="single" w:color="auto" w:sz="4" w:space="0"/>
                    <w:right w:val="single" w:color="auto" w:sz="4" w:space="0"/>
                  </w:tcBorders>
                  <w:vAlign w:val="center"/>
                </w:tcPr>
                <w:p>
                  <w:pPr>
                    <w:pStyle w:val="121"/>
                    <w:adjustRightInd w:val="0"/>
                    <w:snapToGrid w:val="0"/>
                    <w:spacing w:line="340" w:lineRule="exact"/>
                    <w:rPr>
                      <w:color w:val="000000"/>
                      <w:szCs w:val="21"/>
                    </w:rPr>
                  </w:pPr>
                  <w:r>
                    <w:rPr>
                      <w:color w:val="000000"/>
                      <w:szCs w:val="21"/>
                    </w:rPr>
                    <w:t>项目情况</w:t>
                  </w:r>
                </w:p>
              </w:tc>
              <w:tc>
                <w:tcPr>
                  <w:tcW w:w="647" w:type="dxa"/>
                  <w:tcBorders>
                    <w:left w:val="single" w:color="auto" w:sz="4" w:space="0"/>
                  </w:tcBorders>
                  <w:vAlign w:val="center"/>
                </w:tcPr>
                <w:p>
                  <w:pPr>
                    <w:pStyle w:val="121"/>
                    <w:adjustRightInd w:val="0"/>
                    <w:snapToGrid w:val="0"/>
                    <w:spacing w:line="340" w:lineRule="exact"/>
                    <w:rPr>
                      <w:color w:val="000000"/>
                      <w:szCs w:val="21"/>
                    </w:rPr>
                  </w:pPr>
                  <w:r>
                    <w:rPr>
                      <w:color w:val="00000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pPr>
                    <w:pStyle w:val="121"/>
                    <w:adjustRightInd w:val="0"/>
                    <w:snapToGrid w:val="0"/>
                    <w:spacing w:line="340" w:lineRule="exact"/>
                    <w:rPr>
                      <w:color w:val="000000"/>
                      <w:szCs w:val="21"/>
                    </w:rPr>
                  </w:pPr>
                  <w:r>
                    <w:rPr>
                      <w:color w:val="000000"/>
                      <w:szCs w:val="21"/>
                    </w:rPr>
                    <w:t>1</w:t>
                  </w:r>
                </w:p>
              </w:tc>
              <w:tc>
                <w:tcPr>
                  <w:tcW w:w="1064" w:type="dxa"/>
                  <w:vAlign w:val="center"/>
                </w:tcPr>
                <w:p>
                  <w:pPr>
                    <w:pStyle w:val="121"/>
                    <w:adjustRightInd w:val="0"/>
                    <w:snapToGrid w:val="0"/>
                    <w:spacing w:line="340" w:lineRule="exact"/>
                    <w:rPr>
                      <w:color w:val="000000"/>
                      <w:szCs w:val="21"/>
                    </w:rPr>
                  </w:pPr>
                  <w:r>
                    <w:rPr>
                      <w:color w:val="000000"/>
                      <w:szCs w:val="21"/>
                    </w:rPr>
                    <w:t>《福建省“十四五”空气质量改善规划》(2022年)</w:t>
                  </w:r>
                </w:p>
                <w:p>
                  <w:pPr>
                    <w:pStyle w:val="121"/>
                    <w:adjustRightInd w:val="0"/>
                    <w:snapToGrid w:val="0"/>
                    <w:spacing w:line="340" w:lineRule="exact"/>
                    <w:rPr>
                      <w:color w:val="000000"/>
                      <w:szCs w:val="21"/>
                    </w:rPr>
                  </w:pPr>
                </w:p>
              </w:tc>
              <w:tc>
                <w:tcPr>
                  <w:tcW w:w="2877" w:type="dxa"/>
                  <w:tcBorders>
                    <w:right w:val="single" w:color="auto" w:sz="4" w:space="0"/>
                  </w:tcBorders>
                  <w:vAlign w:val="center"/>
                </w:tcPr>
                <w:p>
                  <w:pPr>
                    <w:pStyle w:val="121"/>
                    <w:adjustRightInd w:val="0"/>
                    <w:snapToGrid w:val="0"/>
                    <w:spacing w:line="340" w:lineRule="exact"/>
                    <w:rPr>
                      <w:color w:val="000000"/>
                      <w:szCs w:val="21"/>
                    </w:rPr>
                  </w:pPr>
                  <w:r>
                    <w:rPr>
                      <w:color w:val="000000"/>
                      <w:szCs w:val="21"/>
                    </w:rPr>
                    <w:t>推广使用水性、高固体分、无溶剂、粉末等低VOCs含量涂料，......木质家具制造、汽车零部件、工程机械使用比例达到50%以上；......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1562" w:type="dxa"/>
                  <w:tcBorders>
                    <w:left w:val="single" w:color="auto" w:sz="4" w:space="0"/>
                    <w:right w:val="single" w:color="auto" w:sz="4" w:space="0"/>
                  </w:tcBorders>
                  <w:vAlign w:val="center"/>
                </w:tcPr>
                <w:p>
                  <w:pPr>
                    <w:pStyle w:val="121"/>
                    <w:adjustRightInd w:val="0"/>
                    <w:snapToGrid w:val="0"/>
                    <w:spacing w:line="340" w:lineRule="exact"/>
                    <w:rPr>
                      <w:color w:val="000000"/>
                      <w:szCs w:val="21"/>
                    </w:rPr>
                  </w:pPr>
                  <w:r>
                    <w:rPr>
                      <w:color w:val="000000"/>
                      <w:szCs w:val="21"/>
                    </w:rPr>
                    <w:t>项目不涉及涂料、油墨、胶粘剂、清洗剂等VOCs含量的原辅料，项目排放的</w:t>
                  </w:r>
                  <w:r>
                    <w:rPr>
                      <w:color w:val="000000" w:themeColor="text1"/>
                      <w:szCs w:val="21"/>
                      <w14:textFill>
                        <w14:solidFill>
                          <w14:schemeClr w14:val="tx1"/>
                        </w14:solidFill>
                      </w14:textFill>
                    </w:rPr>
                    <w:t>VOCs</w:t>
                  </w:r>
                  <w:r>
                    <w:rPr>
                      <w:rFonts w:hint="eastAsia"/>
                      <w:color w:val="000000" w:themeColor="text1"/>
                      <w:szCs w:val="21"/>
                      <w14:textFill>
                        <w14:solidFill>
                          <w14:schemeClr w14:val="tx1"/>
                        </w14:solidFill>
                      </w14:textFill>
                    </w:rPr>
                    <w:t>排放量为1.252t/a</w:t>
                  </w:r>
                  <w:r>
                    <w:rPr>
                      <w:color w:val="000000" w:themeColor="text1"/>
                      <w:szCs w:val="21"/>
                      <w14:textFill>
                        <w14:solidFill>
                          <w14:schemeClr w14:val="tx1"/>
                        </w14:solidFill>
                      </w14:textFill>
                    </w:rPr>
                    <w:t>，不属于高V</w:t>
                  </w:r>
                  <w:r>
                    <w:rPr>
                      <w:color w:val="000000"/>
                      <w:szCs w:val="21"/>
                    </w:rPr>
                    <w:t>OCs排放项目；项目排放的VOC</w:t>
                  </w:r>
                  <w:r>
                    <w:rPr>
                      <w:color w:val="000000"/>
                      <w:szCs w:val="21"/>
                      <w:vertAlign w:val="subscript"/>
                    </w:rPr>
                    <w:t>S</w:t>
                  </w:r>
                  <w:r>
                    <w:rPr>
                      <w:color w:val="000000"/>
                      <w:szCs w:val="21"/>
                    </w:rPr>
                    <w:t>拟实行区域内倍量替代</w:t>
                  </w:r>
                </w:p>
              </w:tc>
              <w:tc>
                <w:tcPr>
                  <w:tcW w:w="647" w:type="dxa"/>
                  <w:tcBorders>
                    <w:left w:val="single" w:color="auto" w:sz="4" w:space="0"/>
                  </w:tcBorders>
                  <w:vAlign w:val="center"/>
                </w:tcPr>
                <w:p>
                  <w:pPr>
                    <w:pStyle w:val="121"/>
                    <w:adjustRightInd w:val="0"/>
                    <w:snapToGrid w:val="0"/>
                    <w:spacing w:line="340" w:lineRule="exact"/>
                    <w:rPr>
                      <w:color w:val="000000"/>
                      <w:szCs w:val="21"/>
                    </w:rPr>
                  </w:pPr>
                  <w:r>
                    <w:rPr>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pPr>
                    <w:pStyle w:val="121"/>
                    <w:adjustRightInd w:val="0"/>
                    <w:snapToGrid w:val="0"/>
                    <w:spacing w:line="340" w:lineRule="exact"/>
                    <w:rPr>
                      <w:color w:val="000000"/>
                      <w:szCs w:val="21"/>
                    </w:rPr>
                  </w:pPr>
                  <w:r>
                    <w:rPr>
                      <w:color w:val="000000"/>
                      <w:szCs w:val="21"/>
                    </w:rPr>
                    <w:t>2</w:t>
                  </w:r>
                </w:p>
              </w:tc>
              <w:tc>
                <w:tcPr>
                  <w:tcW w:w="1064" w:type="dxa"/>
                  <w:vAlign w:val="center"/>
                </w:tcPr>
                <w:p>
                  <w:pPr>
                    <w:pStyle w:val="121"/>
                    <w:adjustRightInd w:val="0"/>
                    <w:snapToGrid w:val="0"/>
                    <w:spacing w:line="340" w:lineRule="exact"/>
                    <w:rPr>
                      <w:color w:val="000000"/>
                      <w:szCs w:val="21"/>
                    </w:rPr>
                  </w:pPr>
                  <w:r>
                    <w:rPr>
                      <w:color w:val="000000"/>
                      <w:szCs w:val="21"/>
                    </w:rPr>
                    <w:t>《福州市“十四五”生态环境保护规划》(榕政办〔2021〕123 号)</w:t>
                  </w:r>
                </w:p>
                <w:p>
                  <w:pPr>
                    <w:pStyle w:val="121"/>
                    <w:adjustRightInd w:val="0"/>
                    <w:snapToGrid w:val="0"/>
                    <w:spacing w:line="340" w:lineRule="exact"/>
                    <w:rPr>
                      <w:color w:val="000000"/>
                      <w:szCs w:val="21"/>
                    </w:rPr>
                  </w:pPr>
                </w:p>
              </w:tc>
              <w:tc>
                <w:tcPr>
                  <w:tcW w:w="2877" w:type="dxa"/>
                  <w:tcBorders>
                    <w:right w:val="single" w:color="auto" w:sz="4" w:space="0"/>
                  </w:tcBorders>
                  <w:vAlign w:val="center"/>
                </w:tcPr>
                <w:p>
                  <w:pPr>
                    <w:pStyle w:val="121"/>
                    <w:adjustRightInd w:val="0"/>
                    <w:snapToGrid w:val="0"/>
                    <w:spacing w:line="340" w:lineRule="exact"/>
                    <w:rPr>
                      <w:color w:val="000000"/>
                      <w:szCs w:val="21"/>
                    </w:rPr>
                  </w:pPr>
                  <w:r>
                    <w:rPr>
                      <w:color w:val="000000"/>
                      <w:szCs w:val="21"/>
                    </w:rPr>
                    <w:t>强化挥发性有机物整治。......实行挥发性有机物排放倍量替代。加大涉VOCs企业源头替代力度，推广使用低(无)VOCs原辅材料替代，禁止生产高VOCs含量有机溶剂型涂料、油墨和胶黏剂的新、改、扩建项目，推进重点企业“油改水”治理，提高有机溶剂回收率。”</w:t>
                  </w:r>
                </w:p>
              </w:tc>
              <w:tc>
                <w:tcPr>
                  <w:tcW w:w="1562" w:type="dxa"/>
                  <w:tcBorders>
                    <w:left w:val="single" w:color="auto" w:sz="4" w:space="0"/>
                    <w:right w:val="single" w:color="auto" w:sz="4" w:space="0"/>
                  </w:tcBorders>
                  <w:vAlign w:val="center"/>
                </w:tcPr>
                <w:p>
                  <w:pPr>
                    <w:pStyle w:val="121"/>
                    <w:adjustRightInd w:val="0"/>
                    <w:snapToGrid w:val="0"/>
                    <w:spacing w:line="340" w:lineRule="exact"/>
                    <w:rPr>
                      <w:color w:val="000000"/>
                      <w:szCs w:val="21"/>
                    </w:rPr>
                  </w:pPr>
                  <w:r>
                    <w:rPr>
                      <w:color w:val="000000"/>
                      <w:szCs w:val="21"/>
                    </w:rPr>
                    <w:t>项目排放的VOC</w:t>
                  </w:r>
                  <w:r>
                    <w:rPr>
                      <w:color w:val="000000"/>
                      <w:szCs w:val="21"/>
                      <w:vertAlign w:val="subscript"/>
                    </w:rPr>
                    <w:t>S</w:t>
                  </w:r>
                  <w:r>
                    <w:rPr>
                      <w:color w:val="000000"/>
                      <w:szCs w:val="21"/>
                    </w:rPr>
                    <w:t>拟实行区域内倍量替代；项目不涉及涂料、油墨、胶粘剂、清洗剂等VOCs含量的原辅料，项目不涉及VOCs含量原料的生产，全部外购</w:t>
                  </w:r>
                </w:p>
              </w:tc>
              <w:tc>
                <w:tcPr>
                  <w:tcW w:w="647" w:type="dxa"/>
                  <w:tcBorders>
                    <w:left w:val="single" w:color="auto" w:sz="4" w:space="0"/>
                  </w:tcBorders>
                  <w:vAlign w:val="center"/>
                </w:tcPr>
                <w:p>
                  <w:pPr>
                    <w:pStyle w:val="121"/>
                    <w:adjustRightInd w:val="0"/>
                    <w:snapToGrid w:val="0"/>
                    <w:spacing w:line="340" w:lineRule="exact"/>
                    <w:rPr>
                      <w:color w:val="000000"/>
                      <w:szCs w:val="21"/>
                    </w:rPr>
                  </w:pPr>
                  <w:r>
                    <w:rPr>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pPr>
                    <w:pStyle w:val="121"/>
                    <w:adjustRightInd w:val="0"/>
                    <w:snapToGrid w:val="0"/>
                    <w:spacing w:line="340" w:lineRule="exact"/>
                    <w:rPr>
                      <w:color w:val="000000"/>
                      <w:szCs w:val="21"/>
                    </w:rPr>
                  </w:pPr>
                  <w:r>
                    <w:rPr>
                      <w:color w:val="000000"/>
                      <w:szCs w:val="21"/>
                    </w:rPr>
                    <w:t>3</w:t>
                  </w:r>
                </w:p>
              </w:tc>
              <w:tc>
                <w:tcPr>
                  <w:tcW w:w="1064" w:type="dxa"/>
                  <w:vAlign w:val="center"/>
                </w:tcPr>
                <w:p>
                  <w:pPr>
                    <w:pStyle w:val="121"/>
                    <w:adjustRightInd w:val="0"/>
                    <w:snapToGrid w:val="0"/>
                    <w:spacing w:line="340" w:lineRule="exact"/>
                    <w:rPr>
                      <w:color w:val="000000"/>
                      <w:szCs w:val="21"/>
                    </w:rPr>
                  </w:pPr>
                  <w:r>
                    <w:rPr>
                      <w:color w:val="000000"/>
                      <w:szCs w:val="21"/>
                    </w:rPr>
                    <w:t>福建省重点行业挥发性有机物污染防治工作方案(闽环保大气〔2017〕6号)</w:t>
                  </w:r>
                </w:p>
              </w:tc>
              <w:tc>
                <w:tcPr>
                  <w:tcW w:w="2877" w:type="dxa"/>
                  <w:tcBorders>
                    <w:right w:val="single" w:color="auto" w:sz="4" w:space="0"/>
                  </w:tcBorders>
                </w:tcPr>
                <w:p>
                  <w:pPr>
                    <w:pStyle w:val="121"/>
                    <w:adjustRightInd w:val="0"/>
                    <w:snapToGrid w:val="0"/>
                    <w:spacing w:line="340" w:lineRule="exact"/>
                    <w:jc w:val="left"/>
                    <w:rPr>
                      <w:color w:val="000000"/>
                      <w:szCs w:val="21"/>
                    </w:rPr>
                  </w:pPr>
                  <w:r>
                    <w:rPr>
                      <w:color w:val="000000"/>
                      <w:szCs w:val="21"/>
                    </w:rPr>
                    <w:t>二、主要任务</w:t>
                  </w:r>
                </w:p>
                <w:p>
                  <w:pPr>
                    <w:pStyle w:val="121"/>
                    <w:adjustRightInd w:val="0"/>
                    <w:snapToGrid w:val="0"/>
                    <w:spacing w:line="340" w:lineRule="exact"/>
                    <w:jc w:val="left"/>
                    <w:rPr>
                      <w:color w:val="000000"/>
                      <w:szCs w:val="21"/>
                    </w:rPr>
                  </w:pPr>
                  <w:r>
                    <w:rPr>
                      <w:color w:val="000000"/>
                      <w:szCs w:val="21"/>
                    </w:rPr>
                    <w:t>（三）加快推进重点行业VOCs专项整治</w:t>
                  </w:r>
                </w:p>
                <w:p>
                  <w:pPr>
                    <w:pStyle w:val="121"/>
                    <w:adjustRightInd w:val="0"/>
                    <w:snapToGrid w:val="0"/>
                    <w:spacing w:line="340" w:lineRule="exact"/>
                    <w:jc w:val="left"/>
                    <w:rPr>
                      <w:color w:val="000000"/>
                      <w:szCs w:val="21"/>
                    </w:rPr>
                  </w:pPr>
                  <w:r>
                    <w:rPr>
                      <w:color w:val="000000"/>
                      <w:szCs w:val="21"/>
                    </w:rPr>
                    <w:t>（2）加强化工企业污染综合整治</w:t>
                  </w:r>
                </w:p>
                <w:p>
                  <w:pPr>
                    <w:pStyle w:val="121"/>
                    <w:adjustRightInd w:val="0"/>
                    <w:snapToGrid w:val="0"/>
                    <w:spacing w:line="340" w:lineRule="exact"/>
                    <w:jc w:val="left"/>
                    <w:rPr>
                      <w:color w:val="000000"/>
                      <w:szCs w:val="21"/>
                    </w:rPr>
                  </w:pPr>
                  <w:r>
                    <w:rPr>
                      <w:color w:val="000000"/>
                      <w:szCs w:val="21"/>
                    </w:rPr>
                    <w:t>提升有机化工(含有机化学原料、合成材料、日用化工、涂料、油墨、胶粘剂、染料、化学溶剂、试剂生产等)、医药化工、塑料制品企业装备水平，严格控制跑冒滴漏。......排放VOCs的生产工序要在密闭空间或设备中实施，产生的含VOCs废气需进行净化处理，净化效率应不低于80%。</w:t>
                  </w:r>
                </w:p>
              </w:tc>
              <w:tc>
                <w:tcPr>
                  <w:tcW w:w="1562" w:type="dxa"/>
                  <w:tcBorders>
                    <w:left w:val="single" w:color="auto" w:sz="4" w:space="0"/>
                    <w:right w:val="single" w:color="auto" w:sz="4" w:space="0"/>
                  </w:tcBorders>
                  <w:vAlign w:val="center"/>
                </w:tcPr>
                <w:p>
                  <w:pPr>
                    <w:pStyle w:val="121"/>
                    <w:adjustRightInd w:val="0"/>
                    <w:snapToGrid w:val="0"/>
                    <w:spacing w:line="340" w:lineRule="exact"/>
                    <w:rPr>
                      <w:color w:val="000000"/>
                      <w:szCs w:val="21"/>
                    </w:rPr>
                  </w:pPr>
                  <w:r>
                    <w:rPr>
                      <w:color w:val="000000"/>
                      <w:szCs w:val="21"/>
                    </w:rPr>
                    <w:t>本项目拟将产生的VOCs收集后通过1套“活性炭吸附装置”处理后排放，废气设计净化效率≥80%。</w:t>
                  </w:r>
                </w:p>
              </w:tc>
              <w:tc>
                <w:tcPr>
                  <w:tcW w:w="647" w:type="dxa"/>
                  <w:tcBorders>
                    <w:left w:val="single" w:color="auto" w:sz="4" w:space="0"/>
                  </w:tcBorders>
                  <w:vAlign w:val="center"/>
                </w:tcPr>
                <w:p>
                  <w:pPr>
                    <w:pStyle w:val="121"/>
                    <w:adjustRightInd w:val="0"/>
                    <w:snapToGrid w:val="0"/>
                    <w:spacing w:line="340" w:lineRule="exact"/>
                    <w:rPr>
                      <w:color w:val="000000"/>
                      <w:szCs w:val="21"/>
                    </w:rPr>
                  </w:pPr>
                  <w:r>
                    <w:rPr>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6" w:hRule="atLeast"/>
                <w:jc w:val="center"/>
              </w:trPr>
              <w:tc>
                <w:tcPr>
                  <w:tcW w:w="337" w:type="dxa"/>
                  <w:vAlign w:val="center"/>
                </w:tcPr>
                <w:p>
                  <w:pPr>
                    <w:pStyle w:val="121"/>
                    <w:adjustRightInd w:val="0"/>
                    <w:snapToGrid w:val="0"/>
                    <w:spacing w:line="340" w:lineRule="exact"/>
                    <w:rPr>
                      <w:color w:val="000000"/>
                      <w:szCs w:val="21"/>
                    </w:rPr>
                  </w:pPr>
                  <w:r>
                    <w:rPr>
                      <w:color w:val="000000"/>
                      <w:szCs w:val="21"/>
                    </w:rPr>
                    <w:t>4</w:t>
                  </w:r>
                </w:p>
              </w:tc>
              <w:tc>
                <w:tcPr>
                  <w:tcW w:w="1064" w:type="dxa"/>
                  <w:vAlign w:val="center"/>
                </w:tcPr>
                <w:p>
                  <w:pPr>
                    <w:pStyle w:val="121"/>
                    <w:adjustRightInd w:val="0"/>
                    <w:snapToGrid w:val="0"/>
                    <w:spacing w:line="340" w:lineRule="exact"/>
                    <w:rPr>
                      <w:color w:val="000000"/>
                      <w:szCs w:val="21"/>
                    </w:rPr>
                  </w:pPr>
                  <w:r>
                    <w:rPr>
                      <w:color w:val="000000"/>
                      <w:szCs w:val="21"/>
                    </w:rPr>
                    <w:t>《福建省重点行业挥发性有机物排放控制要求(试行)的通知》(闽环保大气〔2017〕9号)</w:t>
                  </w:r>
                </w:p>
              </w:tc>
              <w:tc>
                <w:tcPr>
                  <w:tcW w:w="2877" w:type="dxa"/>
                  <w:tcBorders>
                    <w:right w:val="single" w:color="auto" w:sz="4" w:space="0"/>
                  </w:tcBorders>
                </w:tcPr>
                <w:p>
                  <w:pPr>
                    <w:pStyle w:val="104"/>
                    <w:tabs>
                      <w:tab w:val="left" w:pos="4347"/>
                    </w:tabs>
                    <w:snapToGrid w:val="0"/>
                    <w:spacing w:line="340" w:lineRule="exact"/>
                    <w:jc w:val="both"/>
                    <w:outlineLvl w:val="2"/>
                    <w:rPr>
                      <w:rFonts w:ascii="Times New Roman"/>
                      <w:color w:val="000000"/>
                      <w:kern w:val="2"/>
                      <w:sz w:val="21"/>
                      <w:szCs w:val="21"/>
                    </w:rPr>
                  </w:pPr>
                  <w:r>
                    <w:rPr>
                      <w:rFonts w:ascii="Times New Roman"/>
                      <w:color w:val="000000"/>
                      <w:kern w:val="2"/>
                      <w:sz w:val="21"/>
                      <w:szCs w:val="21"/>
                    </w:rPr>
                    <w:t>(1)工艺过程控制要求</w:t>
                  </w:r>
                </w:p>
                <w:p>
                  <w:pPr>
                    <w:pStyle w:val="104"/>
                    <w:tabs>
                      <w:tab w:val="left" w:pos="4347"/>
                    </w:tabs>
                    <w:snapToGrid w:val="0"/>
                    <w:spacing w:line="340" w:lineRule="exact"/>
                    <w:jc w:val="both"/>
                    <w:outlineLvl w:val="2"/>
                    <w:rPr>
                      <w:rFonts w:ascii="Times New Roman"/>
                      <w:color w:val="000000"/>
                      <w:kern w:val="2"/>
                      <w:sz w:val="21"/>
                      <w:szCs w:val="21"/>
                    </w:rPr>
                  </w:pPr>
                  <w:r>
                    <w:rPr>
                      <w:rFonts w:ascii="Times New Roman"/>
                      <w:color w:val="000000"/>
                      <w:kern w:val="2"/>
                      <w:sz w:val="21"/>
                      <w:szCs w:val="21"/>
                    </w:rPr>
                    <w:t>含VOCs物料应储存于密闭容器中。盛装含VOCs物料的容器应存放于储存室内，或至少设置遮阳挡雨等设施；</w:t>
                  </w:r>
                </w:p>
                <w:p>
                  <w:pPr>
                    <w:pStyle w:val="104"/>
                    <w:tabs>
                      <w:tab w:val="left" w:pos="4347"/>
                    </w:tabs>
                    <w:snapToGrid w:val="0"/>
                    <w:spacing w:line="340" w:lineRule="exact"/>
                    <w:jc w:val="both"/>
                    <w:outlineLvl w:val="2"/>
                    <w:rPr>
                      <w:rFonts w:ascii="Times New Roman"/>
                      <w:color w:val="000000"/>
                      <w:kern w:val="2"/>
                      <w:sz w:val="21"/>
                      <w:szCs w:val="21"/>
                    </w:rPr>
                  </w:pPr>
                  <w:r>
                    <w:rPr>
                      <w:rFonts w:ascii="Times New Roman"/>
                      <w:color w:val="000000"/>
                      <w:kern w:val="2"/>
                      <w:sz w:val="21"/>
                      <w:szCs w:val="21"/>
                    </w:rPr>
                    <w:t>(2)其他控制要求</w:t>
                  </w:r>
                </w:p>
                <w:p>
                  <w:pPr>
                    <w:pStyle w:val="121"/>
                    <w:adjustRightInd w:val="0"/>
                    <w:snapToGrid w:val="0"/>
                    <w:spacing w:line="340" w:lineRule="exact"/>
                    <w:jc w:val="both"/>
                    <w:rPr>
                      <w:color w:val="000000"/>
                      <w:szCs w:val="21"/>
                    </w:rPr>
                  </w:pPr>
                  <w:r>
                    <w:rPr>
                      <w:color w:val="000000"/>
                      <w:szCs w:val="21"/>
                    </w:rPr>
                    <w:t>产生有废气的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p>
              </w:tc>
              <w:tc>
                <w:tcPr>
                  <w:tcW w:w="1562" w:type="dxa"/>
                  <w:tcBorders>
                    <w:left w:val="single" w:color="auto" w:sz="4" w:space="0"/>
                    <w:right w:val="single" w:color="auto" w:sz="4" w:space="0"/>
                  </w:tcBorders>
                  <w:vAlign w:val="center"/>
                </w:tcPr>
                <w:p>
                  <w:pPr>
                    <w:pStyle w:val="121"/>
                    <w:adjustRightInd w:val="0"/>
                    <w:snapToGrid w:val="0"/>
                    <w:spacing w:line="340" w:lineRule="exact"/>
                    <w:rPr>
                      <w:color w:val="000000"/>
                      <w:szCs w:val="21"/>
                    </w:rPr>
                  </w:pPr>
                  <w:r>
                    <w:rPr>
                      <w:color w:val="000000"/>
                      <w:szCs w:val="21"/>
                    </w:rPr>
                    <w:t>(1)项目原料等采用密闭袋装暂存在原料仓库；</w:t>
                  </w:r>
                </w:p>
                <w:p>
                  <w:pPr>
                    <w:pStyle w:val="121"/>
                    <w:adjustRightInd w:val="0"/>
                    <w:snapToGrid w:val="0"/>
                    <w:spacing w:line="340" w:lineRule="exact"/>
                    <w:rPr>
                      <w:color w:val="000000"/>
                      <w:szCs w:val="21"/>
                    </w:rPr>
                  </w:pPr>
                  <w:r>
                    <w:rPr>
                      <w:color w:val="000000"/>
                      <w:szCs w:val="21"/>
                    </w:rPr>
                    <w:t>(2)本项目拟将产生的VOCs收集后通过1套“活性炭吸附装置”处理后排放，拟将更换的废活性炭等</w:t>
                  </w:r>
                  <w:r>
                    <w:rPr>
                      <w:rFonts w:hint="eastAsia"/>
                      <w:color w:val="000000"/>
                      <w:szCs w:val="21"/>
                    </w:rPr>
                    <w:t>作为</w:t>
                  </w:r>
                  <w:r>
                    <w:rPr>
                      <w:color w:val="000000"/>
                      <w:szCs w:val="21"/>
                    </w:rPr>
                    <w:t>危险废物，袋装密闭暂存于危险废物</w:t>
                  </w:r>
                  <w:r>
                    <w:rPr>
                      <w:rFonts w:hint="eastAsia"/>
                      <w:color w:val="000000"/>
                      <w:szCs w:val="21"/>
                    </w:rPr>
                    <w:t>贮存库</w:t>
                  </w:r>
                  <w:r>
                    <w:rPr>
                      <w:color w:val="000000"/>
                      <w:szCs w:val="21"/>
                    </w:rPr>
                    <w:t>内，VOCs设计收集效率≥80%。</w:t>
                  </w:r>
                </w:p>
              </w:tc>
              <w:tc>
                <w:tcPr>
                  <w:tcW w:w="647" w:type="dxa"/>
                  <w:tcBorders>
                    <w:left w:val="single" w:color="auto" w:sz="4" w:space="0"/>
                  </w:tcBorders>
                  <w:vAlign w:val="center"/>
                </w:tcPr>
                <w:p>
                  <w:pPr>
                    <w:pStyle w:val="121"/>
                    <w:adjustRightInd w:val="0"/>
                    <w:snapToGrid w:val="0"/>
                    <w:spacing w:line="340" w:lineRule="exact"/>
                    <w:rPr>
                      <w:color w:val="000000"/>
                      <w:szCs w:val="21"/>
                    </w:rPr>
                  </w:pPr>
                  <w:r>
                    <w:rPr>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6" w:hRule="atLeast"/>
                <w:jc w:val="center"/>
              </w:trPr>
              <w:tc>
                <w:tcPr>
                  <w:tcW w:w="337" w:type="dxa"/>
                  <w:vAlign w:val="center"/>
                </w:tcPr>
                <w:p>
                  <w:pPr>
                    <w:pStyle w:val="121"/>
                    <w:adjustRightInd w:val="0"/>
                    <w:snapToGrid w:val="0"/>
                    <w:spacing w:line="340" w:lineRule="exact"/>
                    <w:rPr>
                      <w:color w:val="000000"/>
                      <w:szCs w:val="21"/>
                    </w:rPr>
                  </w:pPr>
                  <w:r>
                    <w:rPr>
                      <w:color w:val="000000"/>
                      <w:szCs w:val="21"/>
                    </w:rPr>
                    <w:t>5</w:t>
                  </w:r>
                </w:p>
              </w:tc>
              <w:tc>
                <w:tcPr>
                  <w:tcW w:w="1064" w:type="dxa"/>
                  <w:vAlign w:val="center"/>
                </w:tcPr>
                <w:p>
                  <w:pPr>
                    <w:pStyle w:val="121"/>
                    <w:adjustRightInd w:val="0"/>
                    <w:snapToGrid w:val="0"/>
                    <w:spacing w:line="340" w:lineRule="exact"/>
                    <w:rPr>
                      <w:color w:val="000000"/>
                      <w:szCs w:val="21"/>
                    </w:rPr>
                  </w:pPr>
                  <w:r>
                    <w:rPr>
                      <w:color w:val="000000"/>
                      <w:szCs w:val="21"/>
                    </w:rPr>
                    <w:t>《福建省2020年挥发性有机物治理攻坚实施方案》的通知(闽环保大气〔2020〕6号)</w:t>
                  </w:r>
                </w:p>
              </w:tc>
              <w:tc>
                <w:tcPr>
                  <w:tcW w:w="2877" w:type="dxa"/>
                  <w:tcBorders>
                    <w:right w:val="single" w:color="auto" w:sz="4" w:space="0"/>
                  </w:tcBorders>
                  <w:vAlign w:val="center"/>
                </w:tcPr>
                <w:p>
                  <w:pPr>
                    <w:pStyle w:val="121"/>
                    <w:adjustRightInd w:val="0"/>
                    <w:snapToGrid w:val="0"/>
                    <w:spacing w:line="340" w:lineRule="exact"/>
                    <w:rPr>
                      <w:color w:val="000000"/>
                      <w:szCs w:val="21"/>
                    </w:rPr>
                  </w:pPr>
                  <w:r>
                    <w:rPr>
                      <w:color w:val="000000"/>
                      <w:szCs w:val="21"/>
                    </w:rPr>
                    <w:t>(1)大力推进源头替代，有效减少VOCs产生；</w:t>
                  </w:r>
                </w:p>
                <w:p>
                  <w:pPr>
                    <w:pStyle w:val="121"/>
                    <w:adjustRightInd w:val="0"/>
                    <w:snapToGrid w:val="0"/>
                    <w:spacing w:line="340" w:lineRule="exact"/>
                    <w:rPr>
                      <w:color w:val="000000"/>
                      <w:szCs w:val="21"/>
                    </w:rPr>
                  </w:pPr>
                  <w:r>
                    <w:rPr>
                      <w:color w:val="000000"/>
                      <w:szCs w:val="21"/>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pPr>
                    <w:pStyle w:val="121"/>
                    <w:adjustRightInd w:val="0"/>
                    <w:snapToGrid w:val="0"/>
                    <w:spacing w:line="340" w:lineRule="exact"/>
                    <w:rPr>
                      <w:color w:val="000000"/>
                      <w:szCs w:val="21"/>
                    </w:rPr>
                  </w:pPr>
                  <w:r>
                    <w:rPr>
                      <w:color w:val="000000"/>
                      <w:szCs w:val="21"/>
                    </w:rPr>
                    <w:t>(3)聚焦治污设施“三率”，提升综合治理效率。......除恶臭异味治理外，一般不采用低温等离子、光催化、光氧化等技术。优先采用密闭设备、在密闭空间中操作或采用全密闭集气罩收集方式；......采用活性炭吸附技术的，应选择碘值不低于800毫克/克的活性炭，并按设计要求足量添加、及时更换。</w:t>
                  </w:r>
                </w:p>
              </w:tc>
              <w:tc>
                <w:tcPr>
                  <w:tcW w:w="1562" w:type="dxa"/>
                  <w:tcBorders>
                    <w:left w:val="single" w:color="auto" w:sz="4" w:space="0"/>
                    <w:right w:val="single" w:color="auto" w:sz="4" w:space="0"/>
                  </w:tcBorders>
                  <w:vAlign w:val="center"/>
                </w:tcPr>
                <w:p>
                  <w:pPr>
                    <w:pStyle w:val="121"/>
                    <w:adjustRightInd w:val="0"/>
                    <w:snapToGrid w:val="0"/>
                    <w:spacing w:line="340" w:lineRule="exact"/>
                    <w:rPr>
                      <w:color w:val="000000"/>
                      <w:szCs w:val="21"/>
                    </w:rPr>
                  </w:pPr>
                  <w:r>
                    <w:rPr>
                      <w:color w:val="000000"/>
                      <w:szCs w:val="21"/>
                    </w:rPr>
                    <w:t>(1)项目使用</w:t>
                  </w:r>
                  <w:r>
                    <w:rPr>
                      <w:rFonts w:hint="eastAsia"/>
                      <w:color w:val="000000"/>
                      <w:szCs w:val="21"/>
                    </w:rPr>
                    <w:t>PP、ABS</w:t>
                  </w:r>
                  <w:r>
                    <w:rPr>
                      <w:color w:val="000000"/>
                      <w:szCs w:val="21"/>
                    </w:rPr>
                    <w:t>塑料颗粒作为原料</w:t>
                  </w:r>
                  <w:r>
                    <w:rPr>
                      <w:rFonts w:hint="eastAsia"/>
                      <w:color w:val="000000"/>
                      <w:szCs w:val="21"/>
                    </w:rPr>
                    <w:t>不使用再生料</w:t>
                  </w:r>
                  <w:r>
                    <w:rPr>
                      <w:color w:val="000000"/>
                      <w:szCs w:val="21"/>
                    </w:rPr>
                    <w:t>；</w:t>
                  </w:r>
                </w:p>
                <w:p>
                  <w:pPr>
                    <w:pStyle w:val="121"/>
                    <w:adjustRightInd w:val="0"/>
                    <w:snapToGrid w:val="0"/>
                    <w:spacing w:line="340" w:lineRule="exact"/>
                    <w:rPr>
                      <w:color w:val="000000"/>
                      <w:szCs w:val="21"/>
                    </w:rPr>
                  </w:pPr>
                  <w:r>
                    <w:rPr>
                      <w:color w:val="000000"/>
                      <w:szCs w:val="21"/>
                    </w:rPr>
                    <w:t>(2)项目原料等采用密闭袋装暂存在原料仓库；项目生产设备除进出料口全部密闭，并采取集气罩将废气收集；拟将更换的废活性等</w:t>
                  </w:r>
                  <w:r>
                    <w:rPr>
                      <w:rFonts w:hint="eastAsia"/>
                      <w:color w:val="000000"/>
                      <w:szCs w:val="21"/>
                    </w:rPr>
                    <w:t>作为</w:t>
                  </w:r>
                  <w:r>
                    <w:rPr>
                      <w:color w:val="000000"/>
                      <w:szCs w:val="21"/>
                    </w:rPr>
                    <w:t>危险废物，袋装密闭暂存于危险废物</w:t>
                  </w:r>
                  <w:r>
                    <w:rPr>
                      <w:rFonts w:hint="eastAsia"/>
                      <w:color w:val="000000"/>
                      <w:szCs w:val="21"/>
                    </w:rPr>
                    <w:t>贮存库</w:t>
                  </w:r>
                  <w:r>
                    <w:rPr>
                      <w:color w:val="000000"/>
                      <w:szCs w:val="21"/>
                    </w:rPr>
                    <w:t>内，定期委托有资质单位统一处置；</w:t>
                  </w:r>
                </w:p>
                <w:p>
                  <w:pPr>
                    <w:pStyle w:val="121"/>
                    <w:adjustRightInd w:val="0"/>
                    <w:snapToGrid w:val="0"/>
                    <w:spacing w:line="340" w:lineRule="exact"/>
                    <w:rPr>
                      <w:color w:val="000000"/>
                      <w:szCs w:val="21"/>
                    </w:rPr>
                  </w:pPr>
                  <w:r>
                    <w:rPr>
                      <w:color w:val="000000"/>
                      <w:szCs w:val="21"/>
                    </w:rPr>
                    <w:t>(3)本项目将产生的VOCs收集后通过1套“活性炭吸附装置”处理后排放，项目生产设备除进出料口全部密闭，并采取集气罩将废气收集，采用碘值不低于800毫克/克的活性炭，并定期更换。</w:t>
                  </w:r>
                </w:p>
              </w:tc>
              <w:tc>
                <w:tcPr>
                  <w:tcW w:w="647" w:type="dxa"/>
                  <w:tcBorders>
                    <w:left w:val="single" w:color="auto" w:sz="4" w:space="0"/>
                  </w:tcBorders>
                  <w:vAlign w:val="center"/>
                </w:tcPr>
                <w:p>
                  <w:pPr>
                    <w:pStyle w:val="121"/>
                    <w:adjustRightInd w:val="0"/>
                    <w:snapToGrid w:val="0"/>
                    <w:spacing w:line="340" w:lineRule="exact"/>
                    <w:rPr>
                      <w:color w:val="000000"/>
                      <w:szCs w:val="21"/>
                    </w:rPr>
                  </w:pPr>
                  <w:r>
                    <w:rPr>
                      <w:color w:val="00000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7" w:type="dxa"/>
                  <w:vAlign w:val="center"/>
                </w:tcPr>
                <w:p>
                  <w:pPr>
                    <w:pStyle w:val="121"/>
                    <w:adjustRightInd w:val="0"/>
                    <w:snapToGrid w:val="0"/>
                    <w:spacing w:line="340" w:lineRule="exact"/>
                    <w:rPr>
                      <w:color w:val="000000"/>
                      <w:szCs w:val="21"/>
                    </w:rPr>
                  </w:pPr>
                  <w:r>
                    <w:rPr>
                      <w:color w:val="000000"/>
                      <w:szCs w:val="21"/>
                    </w:rPr>
                    <w:t>6</w:t>
                  </w:r>
                </w:p>
              </w:tc>
              <w:tc>
                <w:tcPr>
                  <w:tcW w:w="1064" w:type="dxa"/>
                  <w:vAlign w:val="center"/>
                </w:tcPr>
                <w:p>
                  <w:pPr>
                    <w:pStyle w:val="121"/>
                    <w:adjustRightInd w:val="0"/>
                    <w:snapToGrid w:val="0"/>
                    <w:spacing w:line="340" w:lineRule="exact"/>
                    <w:rPr>
                      <w:color w:val="000000"/>
                      <w:szCs w:val="21"/>
                    </w:rPr>
                  </w:pPr>
                  <w:r>
                    <w:rPr>
                      <w:color w:val="000000"/>
                      <w:szCs w:val="21"/>
                    </w:rPr>
                    <w:t>《福州市生态环境保护委员会办公室关于印发2022年度福州市蓝天碧海净土保卫战行动计划通知》(榕环委办[2022]49号)</w:t>
                  </w:r>
                </w:p>
              </w:tc>
              <w:tc>
                <w:tcPr>
                  <w:tcW w:w="2877" w:type="dxa"/>
                  <w:tcBorders>
                    <w:right w:val="single" w:color="auto" w:sz="4" w:space="0"/>
                  </w:tcBorders>
                  <w:vAlign w:val="center"/>
                </w:tcPr>
                <w:p>
                  <w:pPr>
                    <w:pStyle w:val="121"/>
                    <w:adjustRightInd w:val="0"/>
                    <w:snapToGrid w:val="0"/>
                    <w:spacing w:line="340" w:lineRule="exact"/>
                    <w:rPr>
                      <w:color w:val="000000"/>
                      <w:szCs w:val="21"/>
                    </w:rPr>
                  </w:pPr>
                  <w:r>
                    <w:rPr>
                      <w:color w:val="000000"/>
                      <w:szCs w:val="21"/>
                    </w:rPr>
                    <w:t>四是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1562" w:type="dxa"/>
                  <w:tcBorders>
                    <w:left w:val="single" w:color="auto" w:sz="4" w:space="0"/>
                    <w:right w:val="single" w:color="auto" w:sz="4" w:space="0"/>
                  </w:tcBorders>
                  <w:vAlign w:val="center"/>
                </w:tcPr>
                <w:p>
                  <w:pPr>
                    <w:pStyle w:val="121"/>
                    <w:adjustRightInd w:val="0"/>
                    <w:snapToGrid w:val="0"/>
                    <w:spacing w:line="340" w:lineRule="exact"/>
                    <w:rPr>
                      <w:color w:val="000000"/>
                      <w:szCs w:val="21"/>
                    </w:rPr>
                  </w:pPr>
                  <w:r>
                    <w:rPr>
                      <w:color w:val="000000"/>
                      <w:szCs w:val="21"/>
                    </w:rPr>
                    <w:t>项目使用</w:t>
                  </w:r>
                  <w:r>
                    <w:rPr>
                      <w:rFonts w:hint="eastAsia"/>
                      <w:color w:val="000000"/>
                      <w:szCs w:val="21"/>
                    </w:rPr>
                    <w:t>PP、ABS</w:t>
                  </w:r>
                  <w:r>
                    <w:rPr>
                      <w:color w:val="000000"/>
                      <w:szCs w:val="21"/>
                    </w:rPr>
                    <w:t>塑料颗粒作为原料；项目VOCs排放拟实行区域内倍量替代，项目VOCs</w:t>
                  </w:r>
                  <w:r>
                    <w:rPr>
                      <w:color w:val="000000" w:themeColor="text1"/>
                      <w:szCs w:val="21"/>
                      <w14:textFill>
                        <w14:solidFill>
                          <w14:schemeClr w14:val="tx1"/>
                        </w14:solidFill>
                      </w14:textFill>
                    </w:rPr>
                    <w:t>年排放量</w:t>
                  </w:r>
                  <w:r>
                    <w:rPr>
                      <w:rFonts w:hint="eastAsia"/>
                      <w:color w:val="000000" w:themeColor="text1"/>
                      <w:szCs w:val="21"/>
                      <w14:textFill>
                        <w14:solidFill>
                          <w14:schemeClr w14:val="tx1"/>
                        </w14:solidFill>
                      </w14:textFill>
                    </w:rPr>
                    <w:t>为1.252吨</w:t>
                  </w:r>
                  <w:r>
                    <w:rPr>
                      <w:rFonts w:hint="eastAsia"/>
                      <w:color w:val="000000"/>
                      <w:szCs w:val="21"/>
                    </w:rPr>
                    <w:t>，</w:t>
                  </w:r>
                  <w:r>
                    <w:rPr>
                      <w:color w:val="000000"/>
                      <w:szCs w:val="21"/>
                    </w:rPr>
                    <w:t>远小于5吨，不需安装VOCs在线监控设备。</w:t>
                  </w:r>
                </w:p>
              </w:tc>
              <w:tc>
                <w:tcPr>
                  <w:tcW w:w="647" w:type="dxa"/>
                  <w:tcBorders>
                    <w:left w:val="single" w:color="auto" w:sz="4" w:space="0"/>
                  </w:tcBorders>
                  <w:vAlign w:val="center"/>
                </w:tcPr>
                <w:p>
                  <w:pPr>
                    <w:pStyle w:val="121"/>
                    <w:adjustRightInd w:val="0"/>
                    <w:snapToGrid w:val="0"/>
                    <w:spacing w:line="340" w:lineRule="exact"/>
                    <w:rPr>
                      <w:color w:val="000000"/>
                      <w:szCs w:val="21"/>
                    </w:rPr>
                  </w:pPr>
                  <w:r>
                    <w:rPr>
                      <w:color w:val="000000"/>
                      <w:szCs w:val="21"/>
                    </w:rPr>
                    <w:t>符合</w:t>
                  </w:r>
                </w:p>
              </w:tc>
            </w:tr>
          </w:tbl>
          <w:p>
            <w:pPr>
              <w:autoSpaceDE w:val="0"/>
              <w:autoSpaceDN w:val="0"/>
              <w:spacing w:line="360" w:lineRule="auto"/>
              <w:jc w:val="left"/>
              <w:rPr>
                <w:b/>
                <w:color w:val="000000"/>
                <w:szCs w:val="21"/>
              </w:rPr>
            </w:pPr>
            <w:r>
              <w:rPr>
                <w:rFonts w:hint="eastAsia"/>
                <w:b/>
                <w:color w:val="000000"/>
                <w:szCs w:val="21"/>
              </w:rPr>
              <w:t>1.5与《挥发性有机物无组织排放控制标准》符合性分析</w:t>
            </w:r>
          </w:p>
          <w:p>
            <w:pPr>
              <w:autoSpaceDE w:val="0"/>
              <w:autoSpaceDN w:val="0"/>
              <w:spacing w:line="360" w:lineRule="auto"/>
              <w:ind w:firstLine="416" w:firstLineChars="200"/>
              <w:jc w:val="left"/>
              <w:rPr>
                <w:color w:val="000000"/>
              </w:rPr>
            </w:pPr>
            <w:r>
              <w:rPr>
                <w:rFonts w:hint="eastAsia"/>
                <w:color w:val="000000"/>
                <w:spacing w:val="-1"/>
                <w:szCs w:val="21"/>
              </w:rPr>
              <w:t>本项目主要从事EVA塑料颗粒生产制造项目，符合《挥发性有机物无组织排放控制标准》要求，详细内容如下表</w:t>
            </w:r>
            <w:r>
              <w:rPr>
                <w:color w:val="000000"/>
                <w:spacing w:val="-1"/>
                <w:szCs w:val="21"/>
              </w:rPr>
              <w:t>1.</w:t>
            </w:r>
            <w:r>
              <w:rPr>
                <w:rFonts w:hint="eastAsia"/>
                <w:color w:val="000000"/>
                <w:spacing w:val="-1"/>
                <w:szCs w:val="21"/>
              </w:rPr>
              <w:t>5-1。</w:t>
            </w:r>
          </w:p>
          <w:p>
            <w:pPr>
              <w:pStyle w:val="49"/>
              <w:rPr>
                <w:color w:val="000000"/>
              </w:rPr>
            </w:pPr>
            <w:bookmarkStart w:id="10" w:name="_Ref138098333"/>
            <w:r>
              <w:rPr>
                <w:rFonts w:hint="eastAsia"/>
                <w:color w:val="000000"/>
              </w:rPr>
              <w:t>表1.</w:t>
            </w:r>
            <w:r>
              <w:rPr>
                <w:rFonts w:hint="eastAsia"/>
                <w:color w:val="000000"/>
                <w:lang w:eastAsia="zh-CN"/>
              </w:rPr>
              <w:t>5</w:t>
            </w:r>
            <w:r>
              <w:rPr>
                <w:rFonts w:hint="eastAsia"/>
                <w:color w:val="000000"/>
              </w:rPr>
              <w:t>-1</w:t>
            </w:r>
            <w:r>
              <w:rPr>
                <w:color w:val="000000"/>
              </w:rPr>
              <w:t>与</w:t>
            </w:r>
            <w:r>
              <w:rPr>
                <w:rFonts w:hint="eastAsia"/>
                <w:color w:val="000000"/>
              </w:rPr>
              <w:t>挥发性有机物无组织排放控制标准</w:t>
            </w:r>
            <w:r>
              <w:rPr>
                <w:color w:val="000000"/>
              </w:rPr>
              <w:t>的符合性分析</w:t>
            </w:r>
            <w:bookmarkEnd w:id="10"/>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87"/>
              <w:gridCol w:w="633"/>
              <w:gridCol w:w="2671"/>
              <w:gridCol w:w="1485"/>
              <w:gridCol w:w="5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707" w:type="pct"/>
                  <w:vAlign w:val="center"/>
                </w:tcPr>
                <w:p>
                  <w:pPr>
                    <w:pStyle w:val="141"/>
                    <w:rPr>
                      <w:color w:val="000000"/>
                    </w:rPr>
                  </w:pPr>
                  <w:r>
                    <w:rPr>
                      <w:rFonts w:hint="eastAsia"/>
                      <w:color w:val="000000"/>
                    </w:rPr>
                    <w:t>控制要求</w:t>
                  </w:r>
                </w:p>
              </w:tc>
              <w:tc>
                <w:tcPr>
                  <w:tcW w:w="2634" w:type="pct"/>
                  <w:gridSpan w:val="2"/>
                  <w:vAlign w:val="center"/>
                </w:tcPr>
                <w:p>
                  <w:pPr>
                    <w:pStyle w:val="141"/>
                    <w:rPr>
                      <w:color w:val="000000"/>
                    </w:rPr>
                  </w:pPr>
                  <w:r>
                    <w:rPr>
                      <w:rFonts w:hint="eastAsia"/>
                      <w:color w:val="000000"/>
                    </w:rPr>
                    <w:t>基本要求</w:t>
                  </w:r>
                </w:p>
              </w:tc>
              <w:tc>
                <w:tcPr>
                  <w:tcW w:w="1184" w:type="pct"/>
                  <w:vAlign w:val="center"/>
                </w:tcPr>
                <w:p>
                  <w:pPr>
                    <w:pStyle w:val="141"/>
                    <w:rPr>
                      <w:color w:val="000000"/>
                    </w:rPr>
                  </w:pPr>
                  <w:r>
                    <w:rPr>
                      <w:rFonts w:hint="eastAsia"/>
                      <w:color w:val="000000"/>
                    </w:rPr>
                    <w:t>本项目</w:t>
                  </w:r>
                </w:p>
              </w:tc>
              <w:tc>
                <w:tcPr>
                  <w:tcW w:w="476" w:type="pct"/>
                  <w:vAlign w:val="center"/>
                </w:tcPr>
                <w:p>
                  <w:pPr>
                    <w:pStyle w:val="141"/>
                    <w:rPr>
                      <w:color w:val="000000"/>
                    </w:rPr>
                  </w:pPr>
                  <w:r>
                    <w:rPr>
                      <w:color w:val="000000"/>
                    </w:rPr>
                    <w:t>相符性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707" w:type="pct"/>
                  <w:vMerge w:val="restart"/>
                  <w:vAlign w:val="center"/>
                </w:tcPr>
                <w:p>
                  <w:pPr>
                    <w:autoSpaceDE w:val="0"/>
                    <w:autoSpaceDN w:val="0"/>
                    <w:jc w:val="left"/>
                    <w:rPr>
                      <w:color w:val="000000"/>
                    </w:rPr>
                  </w:pPr>
                  <w:r>
                    <w:rPr>
                      <w:rFonts w:ascii="TimesNewRomanPSMT" w:eastAsia="TimesNewRomanPSMT" w:cs="TimesNewRomanPSMT"/>
                      <w:color w:val="000000"/>
                      <w:kern w:val="0"/>
                      <w:szCs w:val="21"/>
                    </w:rPr>
                    <w:t>VOC</w:t>
                  </w:r>
                  <w:r>
                    <w:rPr>
                      <w:rFonts w:ascii="TimesNewRomanPSMT" w:eastAsia="TimesNewRomanPSMT" w:cs="TimesNewRomanPSMT"/>
                      <w:color w:val="000000"/>
                      <w:kern w:val="0"/>
                      <w:sz w:val="14"/>
                      <w:szCs w:val="14"/>
                    </w:rPr>
                    <w:t>S</w:t>
                  </w:r>
                  <w:r>
                    <w:rPr>
                      <w:rFonts w:hint="eastAsia" w:ascii="宋体" w:cs="宋体"/>
                      <w:color w:val="000000"/>
                      <w:kern w:val="0"/>
                      <w:szCs w:val="21"/>
                    </w:rPr>
                    <w:t>物料储存无组织排放控制要求</w:t>
                  </w:r>
                </w:p>
              </w:tc>
              <w:tc>
                <w:tcPr>
                  <w:tcW w:w="2634" w:type="pct"/>
                  <w:gridSpan w:val="2"/>
                  <w:vAlign w:val="center"/>
                </w:tcPr>
                <w:p>
                  <w:pPr>
                    <w:pStyle w:val="141"/>
                    <w:rPr>
                      <w:color w:val="000000"/>
                    </w:rPr>
                  </w:pPr>
                  <w:r>
                    <w:rPr>
                      <w:rFonts w:ascii="TimesNewRomanPSMT" w:eastAsia="TimesNewRomanPSMT" w:cs="TimesNewRomanPSMT"/>
                      <w:color w:val="000000"/>
                      <w:kern w:val="0"/>
                    </w:rPr>
                    <w:t>VOCs</w:t>
                  </w:r>
                  <w:r>
                    <w:rPr>
                      <w:rFonts w:hint="eastAsia" w:ascii="宋体" w:cs="宋体"/>
                      <w:color w:val="000000"/>
                      <w:kern w:val="0"/>
                    </w:rPr>
                    <w:t>物料应储存于密闭的容器、包装袋、储罐、储库、料仓</w:t>
                  </w:r>
                </w:p>
              </w:tc>
              <w:tc>
                <w:tcPr>
                  <w:tcW w:w="1184" w:type="pct"/>
                  <w:vMerge w:val="restart"/>
                  <w:vAlign w:val="center"/>
                </w:tcPr>
                <w:p>
                  <w:pPr>
                    <w:autoSpaceDE w:val="0"/>
                    <w:autoSpaceDN w:val="0"/>
                    <w:jc w:val="left"/>
                    <w:rPr>
                      <w:color w:val="000000"/>
                    </w:rPr>
                  </w:pPr>
                  <w:r>
                    <w:rPr>
                      <w:rFonts w:hint="eastAsia" w:ascii="宋体" w:cs="宋体"/>
                      <w:color w:val="000000"/>
                      <w:kern w:val="0"/>
                      <w:szCs w:val="21"/>
                    </w:rPr>
                    <w:t>本项目所使用的塑料颗粒均用密封的容器储存在仓库进行保存</w:t>
                  </w:r>
                </w:p>
              </w:tc>
              <w:tc>
                <w:tcPr>
                  <w:tcW w:w="476" w:type="pct"/>
                  <w:vMerge w:val="restart"/>
                  <w:vAlign w:val="center"/>
                </w:tcPr>
                <w:p>
                  <w:pPr>
                    <w:pStyle w:val="141"/>
                    <w:rPr>
                      <w:color w:val="000000"/>
                    </w:rPr>
                  </w:pPr>
                  <w:r>
                    <w:rPr>
                      <w:color w:val="000000"/>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19" w:hRule="atLeast"/>
                <w:jc w:val="center"/>
              </w:trPr>
              <w:tc>
                <w:tcPr>
                  <w:tcW w:w="707" w:type="pct"/>
                  <w:vMerge w:val="continue"/>
                  <w:vAlign w:val="center"/>
                </w:tcPr>
                <w:p>
                  <w:pPr>
                    <w:autoSpaceDE w:val="0"/>
                    <w:autoSpaceDN w:val="0"/>
                    <w:jc w:val="left"/>
                    <w:rPr>
                      <w:rFonts w:ascii="TimesNewRomanPSMT" w:eastAsia="TimesNewRomanPSMT" w:cs="TimesNewRomanPSMT"/>
                      <w:color w:val="000000"/>
                      <w:kern w:val="0"/>
                      <w:szCs w:val="21"/>
                    </w:rPr>
                  </w:pPr>
                </w:p>
              </w:tc>
              <w:tc>
                <w:tcPr>
                  <w:tcW w:w="2634" w:type="pct"/>
                  <w:gridSpan w:val="2"/>
                  <w:vAlign w:val="center"/>
                </w:tcPr>
                <w:p>
                  <w:pPr>
                    <w:autoSpaceDE w:val="0"/>
                    <w:autoSpaceDN w:val="0"/>
                    <w:jc w:val="left"/>
                    <w:rPr>
                      <w:color w:val="000000"/>
                    </w:rPr>
                  </w:pPr>
                  <w:r>
                    <w:rPr>
                      <w:rFonts w:hint="eastAsia" w:ascii="宋体" w:cs="宋体"/>
                      <w:color w:val="000000"/>
                      <w:kern w:val="0"/>
                      <w:szCs w:val="21"/>
                    </w:rPr>
                    <w:t>盛装</w:t>
                  </w:r>
                  <w:r>
                    <w:rPr>
                      <w:rFonts w:ascii="TimesNewRomanPSMT" w:eastAsia="TimesNewRomanPSMT" w:cs="TimesNewRomanPSMT"/>
                      <w:color w:val="000000"/>
                      <w:kern w:val="0"/>
                      <w:szCs w:val="21"/>
                    </w:rPr>
                    <w:t>VOCs</w:t>
                  </w:r>
                  <w:r>
                    <w:rPr>
                      <w:rFonts w:hint="eastAsia" w:ascii="宋体" w:cs="宋体"/>
                      <w:color w:val="000000"/>
                      <w:kern w:val="0"/>
                      <w:szCs w:val="21"/>
                    </w:rPr>
                    <w:t>物料的容器或包装袋应存放于室内，或存放于设置有雨棚、遮阳和防渗透的专用场地。盛装符合</w:t>
                  </w:r>
                  <w:r>
                    <w:rPr>
                      <w:rFonts w:ascii="TimesNewRomanPSMT" w:eastAsia="TimesNewRomanPSMT" w:cs="TimesNewRomanPSMT"/>
                      <w:color w:val="000000"/>
                      <w:kern w:val="0"/>
                      <w:szCs w:val="21"/>
                    </w:rPr>
                    <w:t>VOCs</w:t>
                  </w:r>
                  <w:r>
                    <w:rPr>
                      <w:rFonts w:hint="eastAsia" w:ascii="宋体" w:cs="宋体"/>
                      <w:color w:val="000000"/>
                      <w:kern w:val="0"/>
                      <w:szCs w:val="21"/>
                    </w:rPr>
                    <w:t>物料的容器或包装在非取用状态是应加盖、封口，保持密封</w:t>
                  </w:r>
                </w:p>
              </w:tc>
              <w:tc>
                <w:tcPr>
                  <w:tcW w:w="1184" w:type="pct"/>
                  <w:vMerge w:val="continue"/>
                  <w:vAlign w:val="center"/>
                </w:tcPr>
                <w:p>
                  <w:pPr>
                    <w:pStyle w:val="141"/>
                    <w:rPr>
                      <w:color w:val="000000"/>
                    </w:rPr>
                  </w:pPr>
                </w:p>
              </w:tc>
              <w:tc>
                <w:tcPr>
                  <w:tcW w:w="476" w:type="pct"/>
                  <w:vMerge w:val="continue"/>
                  <w:vAlign w:val="center"/>
                </w:tcPr>
                <w:p>
                  <w:pPr>
                    <w:pStyle w:val="141"/>
                    <w:rPr>
                      <w:color w:val="00000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707" w:type="pct"/>
                  <w:vMerge w:val="restart"/>
                  <w:vAlign w:val="center"/>
                </w:tcPr>
                <w:p>
                  <w:pPr>
                    <w:autoSpaceDE w:val="0"/>
                    <w:autoSpaceDN w:val="0"/>
                    <w:jc w:val="left"/>
                    <w:rPr>
                      <w:color w:val="000000"/>
                    </w:rPr>
                  </w:pPr>
                  <w:r>
                    <w:rPr>
                      <w:rFonts w:ascii="TimesNewRomanPSMT" w:eastAsia="TimesNewRomanPSMT" w:cs="TimesNewRomanPSMT"/>
                      <w:color w:val="000000"/>
                      <w:kern w:val="0"/>
                      <w:szCs w:val="21"/>
                    </w:rPr>
                    <w:t>VOCs</w:t>
                  </w:r>
                  <w:r>
                    <w:rPr>
                      <w:rFonts w:hint="eastAsia" w:ascii="宋体" w:cs="宋体"/>
                      <w:color w:val="000000"/>
                      <w:kern w:val="0"/>
                      <w:szCs w:val="21"/>
                    </w:rPr>
                    <w:t>物料转移和输送无组织排放控制要求</w:t>
                  </w:r>
                </w:p>
              </w:tc>
              <w:tc>
                <w:tcPr>
                  <w:tcW w:w="2634" w:type="pct"/>
                  <w:gridSpan w:val="2"/>
                  <w:vAlign w:val="center"/>
                </w:tcPr>
                <w:p>
                  <w:pPr>
                    <w:autoSpaceDE w:val="0"/>
                    <w:autoSpaceDN w:val="0"/>
                    <w:jc w:val="left"/>
                    <w:rPr>
                      <w:color w:val="000000"/>
                    </w:rPr>
                  </w:pPr>
                  <w:r>
                    <w:rPr>
                      <w:rFonts w:hint="eastAsia" w:ascii="宋体" w:cs="宋体"/>
                      <w:color w:val="000000"/>
                      <w:kern w:val="0"/>
                      <w:szCs w:val="21"/>
                    </w:rPr>
                    <w:t>液态</w:t>
                  </w:r>
                  <w:r>
                    <w:rPr>
                      <w:rFonts w:ascii="TimesNewRomanPSMT" w:eastAsia="TimesNewRomanPSMT" w:cs="TimesNewRomanPSMT"/>
                      <w:color w:val="000000"/>
                      <w:kern w:val="0"/>
                      <w:szCs w:val="21"/>
                    </w:rPr>
                    <w:t>VOCs</w:t>
                  </w:r>
                  <w:r>
                    <w:rPr>
                      <w:rFonts w:hint="eastAsia" w:ascii="宋体" w:cs="宋体"/>
                      <w:color w:val="000000"/>
                      <w:kern w:val="0"/>
                      <w:szCs w:val="21"/>
                    </w:rPr>
                    <w:t>物料应采用封闭管道输送。采用非管道输送方式转移液态</w:t>
                  </w:r>
                  <w:r>
                    <w:rPr>
                      <w:rFonts w:ascii="TimesNewRomanPSMT" w:eastAsia="TimesNewRomanPSMT" w:cs="TimesNewRomanPSMT"/>
                      <w:color w:val="000000"/>
                      <w:kern w:val="0"/>
                      <w:szCs w:val="21"/>
                    </w:rPr>
                    <w:t>VOCs</w:t>
                  </w:r>
                  <w:r>
                    <w:rPr>
                      <w:rFonts w:hint="eastAsia" w:ascii="宋体" w:cs="宋体"/>
                      <w:color w:val="000000"/>
                      <w:kern w:val="0"/>
                      <w:szCs w:val="21"/>
                    </w:rPr>
                    <w:t>物料时，应采用密封容器，罐车</w:t>
                  </w:r>
                </w:p>
              </w:tc>
              <w:tc>
                <w:tcPr>
                  <w:tcW w:w="1184" w:type="pct"/>
                  <w:vMerge w:val="restart"/>
                  <w:vAlign w:val="center"/>
                </w:tcPr>
                <w:p>
                  <w:pPr>
                    <w:autoSpaceDE w:val="0"/>
                    <w:autoSpaceDN w:val="0"/>
                    <w:jc w:val="left"/>
                    <w:rPr>
                      <w:color w:val="000000"/>
                    </w:rPr>
                  </w:pPr>
                  <w:r>
                    <w:rPr>
                      <w:rFonts w:hint="eastAsia" w:ascii="宋体" w:cs="宋体"/>
                      <w:color w:val="000000"/>
                      <w:kern w:val="0"/>
                      <w:szCs w:val="21"/>
                    </w:rPr>
                    <w:t>本项目产生</w:t>
                  </w:r>
                  <w:r>
                    <w:rPr>
                      <w:rFonts w:ascii="TimesNewRomanPSMT" w:eastAsia="TimesNewRomanPSMT" w:cs="TimesNewRomanPSMT"/>
                      <w:color w:val="000000"/>
                      <w:kern w:val="0"/>
                      <w:szCs w:val="21"/>
                    </w:rPr>
                    <w:t>VOCs</w:t>
                  </w:r>
                  <w:r>
                    <w:rPr>
                      <w:rFonts w:hint="eastAsia" w:ascii="宋体" w:cs="宋体"/>
                      <w:color w:val="000000"/>
                      <w:kern w:val="0"/>
                      <w:szCs w:val="21"/>
                    </w:rPr>
                    <w:t>的物料均有相应的容器进行密封，在转移运输过程中均在密封罐中储存</w:t>
                  </w:r>
                </w:p>
              </w:tc>
              <w:tc>
                <w:tcPr>
                  <w:tcW w:w="476" w:type="pct"/>
                  <w:vMerge w:val="restart"/>
                  <w:vAlign w:val="center"/>
                </w:tcPr>
                <w:p>
                  <w:pPr>
                    <w:pStyle w:val="141"/>
                    <w:rPr>
                      <w:color w:val="000000"/>
                    </w:rPr>
                  </w:pPr>
                  <w:r>
                    <w:rPr>
                      <w:color w:val="000000"/>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12" w:hRule="atLeast"/>
                <w:jc w:val="center"/>
              </w:trPr>
              <w:tc>
                <w:tcPr>
                  <w:tcW w:w="707" w:type="pct"/>
                  <w:vMerge w:val="continue"/>
                  <w:vAlign w:val="center"/>
                </w:tcPr>
                <w:p>
                  <w:pPr>
                    <w:autoSpaceDE w:val="0"/>
                    <w:autoSpaceDN w:val="0"/>
                    <w:jc w:val="left"/>
                    <w:rPr>
                      <w:rFonts w:ascii="TimesNewRomanPSMT" w:eastAsia="TimesNewRomanPSMT" w:cs="TimesNewRomanPSMT"/>
                      <w:color w:val="000000"/>
                      <w:kern w:val="0"/>
                      <w:szCs w:val="21"/>
                    </w:rPr>
                  </w:pPr>
                </w:p>
              </w:tc>
              <w:tc>
                <w:tcPr>
                  <w:tcW w:w="2634" w:type="pct"/>
                  <w:gridSpan w:val="2"/>
                  <w:vAlign w:val="center"/>
                </w:tcPr>
                <w:p>
                  <w:pPr>
                    <w:autoSpaceDE w:val="0"/>
                    <w:autoSpaceDN w:val="0"/>
                    <w:jc w:val="left"/>
                    <w:rPr>
                      <w:color w:val="000000"/>
                    </w:rPr>
                  </w:pPr>
                  <w:r>
                    <w:rPr>
                      <w:rFonts w:hint="eastAsia" w:ascii="宋体" w:cs="宋体"/>
                      <w:color w:val="000000"/>
                      <w:kern w:val="0"/>
                      <w:szCs w:val="21"/>
                    </w:rPr>
                    <w:t>粉状、粒状</w:t>
                  </w:r>
                  <w:r>
                    <w:rPr>
                      <w:rFonts w:ascii="TimesNewRomanPSMT" w:eastAsia="TimesNewRomanPSMT" w:cs="TimesNewRomanPSMT"/>
                      <w:color w:val="000000"/>
                      <w:kern w:val="0"/>
                      <w:szCs w:val="21"/>
                    </w:rPr>
                    <w:t>VOCs</w:t>
                  </w:r>
                  <w:r>
                    <w:rPr>
                      <w:rFonts w:hint="eastAsia" w:ascii="宋体" w:cs="宋体"/>
                      <w:color w:val="000000"/>
                      <w:kern w:val="0"/>
                      <w:szCs w:val="21"/>
                    </w:rPr>
                    <w:t>物料应采用气力输送设备、管状带式输送机、螺旋输送机等密封输送方式，或者采用密封的包装袋、容器或罐车进行物料转移</w:t>
                  </w:r>
                </w:p>
              </w:tc>
              <w:tc>
                <w:tcPr>
                  <w:tcW w:w="1184" w:type="pct"/>
                  <w:vMerge w:val="continue"/>
                  <w:vAlign w:val="center"/>
                </w:tcPr>
                <w:p>
                  <w:pPr>
                    <w:pStyle w:val="141"/>
                    <w:rPr>
                      <w:color w:val="000000"/>
                    </w:rPr>
                  </w:pPr>
                </w:p>
              </w:tc>
              <w:tc>
                <w:tcPr>
                  <w:tcW w:w="476" w:type="pct"/>
                  <w:vMerge w:val="continue"/>
                  <w:vAlign w:val="center"/>
                </w:tcPr>
                <w:p>
                  <w:pPr>
                    <w:pStyle w:val="141"/>
                    <w:rPr>
                      <w:color w:val="00000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07" w:hRule="atLeast"/>
                <w:jc w:val="center"/>
              </w:trPr>
              <w:tc>
                <w:tcPr>
                  <w:tcW w:w="707" w:type="pct"/>
                  <w:vAlign w:val="center"/>
                </w:tcPr>
                <w:p>
                  <w:pPr>
                    <w:autoSpaceDE w:val="0"/>
                    <w:autoSpaceDN w:val="0"/>
                    <w:jc w:val="left"/>
                    <w:rPr>
                      <w:rFonts w:ascii="宋体" w:cs="宋体"/>
                      <w:color w:val="000000"/>
                      <w:kern w:val="0"/>
                      <w:szCs w:val="21"/>
                    </w:rPr>
                  </w:pPr>
                  <w:r>
                    <w:rPr>
                      <w:rFonts w:hint="eastAsia" w:ascii="宋体" w:cs="宋体"/>
                      <w:color w:val="000000"/>
                      <w:kern w:val="0"/>
                      <w:szCs w:val="21"/>
                    </w:rPr>
                    <w:t>工艺过程</w:t>
                  </w:r>
                </w:p>
                <w:p>
                  <w:pPr>
                    <w:autoSpaceDE w:val="0"/>
                    <w:autoSpaceDN w:val="0"/>
                    <w:jc w:val="left"/>
                    <w:rPr>
                      <w:color w:val="000000"/>
                    </w:rPr>
                  </w:pPr>
                  <w:r>
                    <w:rPr>
                      <w:rFonts w:ascii="TimesNewRomanPSMT" w:eastAsia="TimesNewRomanPSMT" w:cs="TimesNewRomanPSMT"/>
                      <w:color w:val="000000"/>
                      <w:kern w:val="0"/>
                      <w:szCs w:val="21"/>
                    </w:rPr>
                    <w:t>VOCs</w:t>
                  </w:r>
                  <w:r>
                    <w:rPr>
                      <w:rFonts w:hint="eastAsia" w:ascii="宋体" w:cs="宋体"/>
                      <w:color w:val="000000"/>
                      <w:kern w:val="0"/>
                      <w:szCs w:val="21"/>
                    </w:rPr>
                    <w:t>无组织排放控制要求</w:t>
                  </w:r>
                </w:p>
              </w:tc>
              <w:tc>
                <w:tcPr>
                  <w:tcW w:w="505" w:type="pct"/>
                  <w:vAlign w:val="center"/>
                </w:tcPr>
                <w:p>
                  <w:pPr>
                    <w:autoSpaceDE w:val="0"/>
                    <w:autoSpaceDN w:val="0"/>
                    <w:jc w:val="center"/>
                    <w:rPr>
                      <w:rFonts w:ascii="宋体" w:cs="宋体"/>
                      <w:color w:val="000000"/>
                      <w:kern w:val="0"/>
                      <w:szCs w:val="21"/>
                    </w:rPr>
                  </w:pPr>
                  <w:r>
                    <w:rPr>
                      <w:rFonts w:hint="eastAsia" w:ascii="宋体" w:cs="宋体"/>
                      <w:color w:val="000000"/>
                      <w:kern w:val="0"/>
                      <w:szCs w:val="21"/>
                    </w:rPr>
                    <w:t>含</w:t>
                  </w:r>
                  <w:r>
                    <w:rPr>
                      <w:rFonts w:ascii="TimesNewRomanPSMT" w:eastAsia="TimesNewRomanPSMT" w:cs="TimesNewRomanPSMT"/>
                      <w:color w:val="000000"/>
                      <w:kern w:val="0"/>
                      <w:szCs w:val="21"/>
                    </w:rPr>
                    <w:t>VOCs</w:t>
                  </w:r>
                  <w:r>
                    <w:rPr>
                      <w:rFonts w:hint="eastAsia" w:ascii="宋体" w:cs="宋体"/>
                      <w:color w:val="000000"/>
                      <w:kern w:val="0"/>
                      <w:szCs w:val="21"/>
                    </w:rPr>
                    <w:t>产品的使用过</w:t>
                  </w:r>
                </w:p>
                <w:p>
                  <w:pPr>
                    <w:pStyle w:val="141"/>
                    <w:rPr>
                      <w:color w:val="000000"/>
                    </w:rPr>
                  </w:pPr>
                  <w:r>
                    <w:rPr>
                      <w:rFonts w:hint="eastAsia" w:ascii="宋体" w:cs="宋体"/>
                      <w:color w:val="000000"/>
                      <w:kern w:val="0"/>
                    </w:rPr>
                    <w:t>程</w:t>
                  </w:r>
                </w:p>
              </w:tc>
              <w:tc>
                <w:tcPr>
                  <w:tcW w:w="2129" w:type="pct"/>
                  <w:vAlign w:val="center"/>
                </w:tcPr>
                <w:p>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VOCs</w:t>
                  </w:r>
                  <w:r>
                    <w:rPr>
                      <w:rFonts w:hint="eastAsia" w:ascii="宋体" w:cs="宋体"/>
                      <w:color w:val="000000"/>
                      <w:kern w:val="0"/>
                      <w:szCs w:val="21"/>
                    </w:rPr>
                    <w:t>质量占比大于等于</w:t>
                  </w:r>
                  <w:r>
                    <w:rPr>
                      <w:rFonts w:ascii="TimesNewRomanPSMT" w:eastAsia="TimesNewRomanPSMT" w:cs="TimesNewRomanPSMT"/>
                      <w:color w:val="000000"/>
                      <w:kern w:val="0"/>
                      <w:szCs w:val="21"/>
                    </w:rPr>
                    <w:t>10%</w:t>
                  </w:r>
                  <w:r>
                    <w:rPr>
                      <w:rFonts w:hint="eastAsia" w:ascii="宋体" w:cs="宋体"/>
                      <w:color w:val="000000"/>
                      <w:kern w:val="0"/>
                      <w:szCs w:val="21"/>
                    </w:rPr>
                    <w:t>的含产品，其使用过程应采用密闭设备或在密闭空间内操作，废气应排至</w:t>
                  </w:r>
                  <w:r>
                    <w:rPr>
                      <w:rFonts w:ascii="TimesNewRomanPSMT" w:eastAsia="TimesNewRomanPSMT" w:cs="TimesNewRomanPSMT"/>
                      <w:color w:val="000000"/>
                      <w:kern w:val="0"/>
                      <w:szCs w:val="21"/>
                    </w:rPr>
                    <w:t>VOCs</w:t>
                  </w:r>
                  <w:r>
                    <w:rPr>
                      <w:rFonts w:hint="eastAsia" w:ascii="宋体" w:cs="宋体"/>
                      <w:color w:val="000000"/>
                      <w:kern w:val="0"/>
                      <w:szCs w:val="21"/>
                    </w:rPr>
                    <w:t>废气收集处理系统；无法密闭的，应采取局部气体收集措施，废气应排至</w:t>
                  </w:r>
                  <w:r>
                    <w:rPr>
                      <w:rFonts w:ascii="TimesNewRomanPSMT" w:eastAsia="TimesNewRomanPSMT" w:cs="TimesNewRomanPSMT"/>
                      <w:color w:val="000000"/>
                      <w:kern w:val="0"/>
                      <w:szCs w:val="21"/>
                    </w:rPr>
                    <w:t>VOCs</w:t>
                  </w:r>
                  <w:r>
                    <w:rPr>
                      <w:rFonts w:hint="eastAsia" w:ascii="宋体" w:cs="宋体"/>
                      <w:color w:val="000000"/>
                      <w:kern w:val="0"/>
                      <w:szCs w:val="21"/>
                    </w:rPr>
                    <w:t>废气收集处理系统。含</w:t>
                  </w:r>
                  <w:r>
                    <w:rPr>
                      <w:rFonts w:ascii="TimesNewRomanPSMT" w:eastAsia="TimesNewRomanPSMT" w:cs="TimesNewRomanPSMT"/>
                      <w:color w:val="000000"/>
                      <w:kern w:val="0"/>
                      <w:szCs w:val="21"/>
                    </w:rPr>
                    <w:t>VOCs</w:t>
                  </w:r>
                  <w:r>
                    <w:rPr>
                      <w:rFonts w:hint="eastAsia" w:ascii="宋体" w:cs="宋体"/>
                      <w:color w:val="000000"/>
                      <w:kern w:val="0"/>
                      <w:szCs w:val="21"/>
                    </w:rPr>
                    <w:t>产品的使用过程包括但不限于以下作业；</w:t>
                  </w:r>
                </w:p>
                <w:p>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a</w:t>
                  </w:r>
                  <w:r>
                    <w:rPr>
                      <w:rFonts w:hint="eastAsia" w:ascii="宋体" w:cs="宋体"/>
                      <w:color w:val="000000"/>
                      <w:kern w:val="0"/>
                      <w:szCs w:val="21"/>
                    </w:rPr>
                    <w:t>）调配（混合、搅拌等）；</w:t>
                  </w:r>
                </w:p>
                <w:p>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b</w:t>
                  </w:r>
                  <w:r>
                    <w:rPr>
                      <w:rFonts w:hint="eastAsia" w:ascii="宋体" w:cs="宋体"/>
                      <w:color w:val="000000"/>
                      <w:kern w:val="0"/>
                      <w:szCs w:val="21"/>
                    </w:rPr>
                    <w:t>）涂装（喷涂、浸涂、淋涂、混涂、刷涂、涂布等</w:t>
                  </w:r>
                  <w:r>
                    <w:rPr>
                      <w:rFonts w:ascii="TimesNewRomanPSMT" w:eastAsia="TimesNewRomanPSMT" w:cs="TimesNewRomanPSMT"/>
                      <w:color w:val="000000"/>
                      <w:kern w:val="0"/>
                      <w:szCs w:val="21"/>
                    </w:rPr>
                    <w:t>)</w:t>
                  </w:r>
                  <w:r>
                    <w:rPr>
                      <w:rFonts w:hint="eastAsia" w:ascii="宋体" w:cs="宋体"/>
                      <w:color w:val="000000"/>
                      <w:kern w:val="0"/>
                      <w:szCs w:val="21"/>
                    </w:rPr>
                    <w:t>；</w:t>
                  </w:r>
                </w:p>
                <w:p>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c</w:t>
                  </w:r>
                  <w:r>
                    <w:rPr>
                      <w:rFonts w:hint="eastAsia" w:ascii="宋体" w:cs="宋体"/>
                      <w:color w:val="000000"/>
                      <w:kern w:val="0"/>
                      <w:szCs w:val="21"/>
                    </w:rPr>
                    <w:t>）印刷（平版、凸版、凹版、孔版等</w:t>
                  </w:r>
                  <w:r>
                    <w:rPr>
                      <w:rFonts w:ascii="TimesNewRomanPSMT" w:eastAsia="TimesNewRomanPSMT" w:cs="TimesNewRomanPSMT"/>
                      <w:color w:val="000000"/>
                      <w:kern w:val="0"/>
                      <w:szCs w:val="21"/>
                    </w:rPr>
                    <w:t>)</w:t>
                  </w:r>
                  <w:r>
                    <w:rPr>
                      <w:rFonts w:hint="eastAsia" w:ascii="宋体" w:cs="宋体"/>
                      <w:color w:val="000000"/>
                      <w:kern w:val="0"/>
                      <w:szCs w:val="21"/>
                    </w:rPr>
                    <w:t>；</w:t>
                  </w:r>
                </w:p>
                <w:p>
                  <w:pPr>
                    <w:autoSpaceDE w:val="0"/>
                    <w:autoSpaceDN w:val="0"/>
                    <w:jc w:val="left"/>
                    <w:rPr>
                      <w:rFonts w:ascii="TimesNewRomanPSMT" w:eastAsia="TimesNewRomanPSMT" w:cs="TimesNewRomanPSMT"/>
                      <w:color w:val="000000"/>
                      <w:kern w:val="0"/>
                      <w:szCs w:val="21"/>
                    </w:rPr>
                  </w:pPr>
                  <w:r>
                    <w:rPr>
                      <w:rFonts w:ascii="TimesNewRomanPSMT" w:eastAsia="TimesNewRomanPSMT" w:cs="TimesNewRomanPSMT"/>
                      <w:color w:val="000000"/>
                      <w:kern w:val="0"/>
                      <w:szCs w:val="21"/>
                    </w:rPr>
                    <w:t>d</w:t>
                  </w:r>
                  <w:r>
                    <w:rPr>
                      <w:rFonts w:hint="eastAsia" w:ascii="宋体" w:cs="宋体"/>
                      <w:color w:val="000000"/>
                      <w:kern w:val="0"/>
                      <w:szCs w:val="21"/>
                    </w:rPr>
                    <w:t>）粘结（涂胶、热压、复合、贴合等</w:t>
                  </w:r>
                  <w:r>
                    <w:rPr>
                      <w:rFonts w:ascii="TimesNewRomanPSMT" w:eastAsia="TimesNewRomanPSMT" w:cs="TimesNewRomanPSMT"/>
                      <w:color w:val="000000"/>
                      <w:kern w:val="0"/>
                      <w:szCs w:val="21"/>
                    </w:rPr>
                    <w:t>);</w:t>
                  </w:r>
                </w:p>
                <w:p>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e</w:t>
                  </w:r>
                  <w:r>
                    <w:rPr>
                      <w:rFonts w:hint="eastAsia" w:ascii="宋体" w:cs="宋体"/>
                      <w:color w:val="000000"/>
                      <w:kern w:val="0"/>
                      <w:szCs w:val="21"/>
                    </w:rPr>
                    <w:t>）印染（染色、印花、定型等</w:t>
                  </w:r>
                  <w:r>
                    <w:rPr>
                      <w:rFonts w:ascii="TimesNewRomanPSMT" w:eastAsia="TimesNewRomanPSMT" w:cs="TimesNewRomanPSMT"/>
                      <w:color w:val="000000"/>
                      <w:kern w:val="0"/>
                      <w:szCs w:val="21"/>
                    </w:rPr>
                    <w:t>)</w:t>
                  </w:r>
                  <w:r>
                    <w:rPr>
                      <w:rFonts w:hint="eastAsia" w:ascii="宋体" w:cs="宋体"/>
                      <w:color w:val="000000"/>
                      <w:kern w:val="0"/>
                      <w:szCs w:val="21"/>
                    </w:rPr>
                    <w:t>；</w:t>
                  </w:r>
                </w:p>
                <w:p>
                  <w:pPr>
                    <w:autoSpaceDE w:val="0"/>
                    <w:autoSpaceDN w:val="0"/>
                    <w:jc w:val="left"/>
                    <w:rPr>
                      <w:rFonts w:ascii="宋体" w:cs="宋体"/>
                      <w:color w:val="000000"/>
                      <w:kern w:val="0"/>
                      <w:szCs w:val="21"/>
                    </w:rPr>
                  </w:pPr>
                  <w:r>
                    <w:rPr>
                      <w:rFonts w:ascii="TimesNewRomanPSMT" w:eastAsia="TimesNewRomanPSMT" w:cs="TimesNewRomanPSMT"/>
                      <w:color w:val="000000"/>
                      <w:kern w:val="0"/>
                      <w:szCs w:val="21"/>
                    </w:rPr>
                    <w:t>f</w:t>
                  </w:r>
                  <w:r>
                    <w:rPr>
                      <w:rFonts w:hint="eastAsia" w:ascii="宋体" w:cs="宋体"/>
                      <w:color w:val="000000"/>
                      <w:kern w:val="0"/>
                      <w:szCs w:val="21"/>
                    </w:rPr>
                    <w:t>）干燥（烘干、风干、晾干等</w:t>
                  </w:r>
                  <w:r>
                    <w:rPr>
                      <w:rFonts w:ascii="TimesNewRomanPSMT" w:eastAsia="TimesNewRomanPSMT" w:cs="TimesNewRomanPSMT"/>
                      <w:color w:val="000000"/>
                      <w:kern w:val="0"/>
                      <w:szCs w:val="21"/>
                    </w:rPr>
                    <w:t>)</w:t>
                  </w:r>
                  <w:r>
                    <w:rPr>
                      <w:rFonts w:hint="eastAsia" w:ascii="宋体" w:cs="宋体"/>
                      <w:color w:val="000000"/>
                      <w:kern w:val="0"/>
                      <w:szCs w:val="21"/>
                    </w:rPr>
                    <w:t>；</w:t>
                  </w:r>
                </w:p>
                <w:p>
                  <w:pPr>
                    <w:pStyle w:val="141"/>
                    <w:rPr>
                      <w:color w:val="000000"/>
                    </w:rPr>
                  </w:pPr>
                  <w:r>
                    <w:rPr>
                      <w:rFonts w:ascii="TimesNewRomanPSMT" w:eastAsia="TimesNewRomanPSMT" w:cs="TimesNewRomanPSMT"/>
                      <w:color w:val="000000"/>
                      <w:kern w:val="0"/>
                    </w:rPr>
                    <w:t>g</w:t>
                  </w:r>
                  <w:r>
                    <w:rPr>
                      <w:rFonts w:hint="eastAsia" w:ascii="宋体" w:cs="宋体"/>
                      <w:color w:val="000000"/>
                      <w:kern w:val="0"/>
                    </w:rPr>
                    <w:t>）清洗（浸洗、喷洗、淋洗、冲洗、擦洗等</w:t>
                  </w:r>
                  <w:r>
                    <w:rPr>
                      <w:rFonts w:ascii="TimesNewRomanPSMT" w:eastAsia="TimesNewRomanPSMT" w:cs="TimesNewRomanPSMT"/>
                      <w:color w:val="000000"/>
                      <w:kern w:val="0"/>
                    </w:rPr>
                    <w:t>)</w:t>
                  </w:r>
                  <w:r>
                    <w:rPr>
                      <w:rFonts w:hint="eastAsia" w:ascii="宋体" w:cs="宋体"/>
                      <w:color w:val="000000"/>
                      <w:kern w:val="0"/>
                    </w:rPr>
                    <w:t>。</w:t>
                  </w:r>
                </w:p>
              </w:tc>
              <w:tc>
                <w:tcPr>
                  <w:tcW w:w="1184" w:type="pct"/>
                  <w:vAlign w:val="center"/>
                </w:tcPr>
                <w:p>
                  <w:pPr>
                    <w:autoSpaceDE w:val="0"/>
                    <w:autoSpaceDN w:val="0"/>
                    <w:jc w:val="left"/>
                    <w:rPr>
                      <w:color w:val="000000"/>
                    </w:rPr>
                  </w:pPr>
                  <w:r>
                    <w:rPr>
                      <w:rFonts w:hint="eastAsia" w:ascii="宋体" w:cs="宋体"/>
                      <w:color w:val="000000"/>
                      <w:kern w:val="0"/>
                      <w:szCs w:val="21"/>
                    </w:rPr>
                    <w:t>本项目产生的挥发性有机废气通过集气罩引至活性炭吸附装置处理后通过</w:t>
                  </w:r>
                  <w:r>
                    <w:rPr>
                      <w:rFonts w:ascii="TimesNewRomanPSMT" w:eastAsia="TimesNewRomanPSMT" w:cs="TimesNewRomanPSMT"/>
                      <w:color w:val="000000"/>
                      <w:kern w:val="0"/>
                      <w:szCs w:val="21"/>
                    </w:rPr>
                    <w:t>1</w:t>
                  </w:r>
                  <w:r>
                    <w:rPr>
                      <w:rFonts w:hint="eastAsia" w:ascii="宋体" w:cs="宋体"/>
                      <w:color w:val="000000"/>
                      <w:kern w:val="0"/>
                      <w:szCs w:val="21"/>
                    </w:rPr>
                    <w:t>根</w:t>
                  </w:r>
                  <w:r>
                    <w:rPr>
                      <w:rFonts w:ascii="TimesNewRomanPSMT" w:eastAsia="TimesNewRomanPSMT" w:cs="TimesNewRomanPSMT"/>
                      <w:color w:val="000000"/>
                      <w:kern w:val="0"/>
                      <w:szCs w:val="21"/>
                    </w:rPr>
                    <w:t>15m</w:t>
                  </w:r>
                  <w:r>
                    <w:rPr>
                      <w:rFonts w:hint="eastAsia" w:ascii="宋体" w:cs="宋体"/>
                      <w:color w:val="000000"/>
                      <w:kern w:val="0"/>
                      <w:szCs w:val="21"/>
                    </w:rPr>
                    <w:t>高排气筒排放</w:t>
                  </w:r>
                </w:p>
              </w:tc>
              <w:tc>
                <w:tcPr>
                  <w:tcW w:w="476" w:type="pct"/>
                  <w:vAlign w:val="center"/>
                </w:tcPr>
                <w:p>
                  <w:pPr>
                    <w:pStyle w:val="141"/>
                    <w:rPr>
                      <w:color w:val="000000"/>
                    </w:rPr>
                  </w:pPr>
                  <w:r>
                    <w:rPr>
                      <w:color w:val="000000"/>
                    </w:rPr>
                    <w:t>符合</w:t>
                  </w:r>
                </w:p>
              </w:tc>
            </w:tr>
          </w:tbl>
          <w:p>
            <w:pPr>
              <w:rPr>
                <w:color w:val="000000"/>
                <w:szCs w:val="21"/>
              </w:rPr>
            </w:pPr>
          </w:p>
        </w:tc>
      </w:tr>
    </w:tbl>
    <w:p>
      <w:pPr>
        <w:spacing w:line="360" w:lineRule="auto"/>
        <w:outlineLvl w:val="0"/>
        <w:rPr>
          <w:rFonts w:eastAsia="黑体"/>
          <w:color w:val="000000"/>
          <w:sz w:val="30"/>
        </w:rPr>
        <w:sectPr>
          <w:footerReference r:id="rId4" w:type="default"/>
          <w:pgSz w:w="11906" w:h="16838"/>
          <w:pgMar w:top="1701" w:right="1531" w:bottom="1701" w:left="1531" w:header="851" w:footer="1077" w:gutter="0"/>
          <w:pgNumType w:start="1"/>
          <w:cols w:space="720" w:num="1"/>
          <w:docGrid w:linePitch="312" w:charSpace="0"/>
        </w:sectPr>
      </w:pPr>
    </w:p>
    <w:p>
      <w:pPr>
        <w:widowControl/>
        <w:adjustRightInd w:val="0"/>
        <w:snapToGrid w:val="0"/>
        <w:spacing w:before="100" w:beforeAutospacing="1" w:after="100" w:afterAutospacing="1"/>
        <w:jc w:val="center"/>
        <w:outlineLvl w:val="0"/>
        <w:rPr>
          <w:rFonts w:hint="eastAsia" w:ascii="黑体" w:hAnsi="黑体" w:eastAsia="黑体"/>
          <w:snapToGrid w:val="0"/>
          <w:color w:val="000000"/>
          <w:kern w:val="21"/>
          <w:sz w:val="30"/>
          <w:szCs w:val="30"/>
        </w:rPr>
      </w:pPr>
      <w:r>
        <w:rPr>
          <w:rFonts w:hint="eastAsia" w:ascii="黑体" w:hAnsi="黑体" w:eastAsia="黑体"/>
          <w:snapToGrid w:val="0"/>
          <w:color w:val="000000"/>
          <w:kern w:val="21"/>
          <w:sz w:val="30"/>
          <w:szCs w:val="30"/>
        </w:rPr>
        <w:t>二、建设项目工程分析</w:t>
      </w:r>
    </w:p>
    <w:p>
      <w:pPr>
        <w:adjustRightInd w:val="0"/>
        <w:snapToGrid w:val="0"/>
        <w:rPr>
          <w:color w:val="000000"/>
        </w:rPr>
      </w:pPr>
    </w:p>
    <w:tbl>
      <w:tblPr>
        <w:tblStyle w:val="20"/>
        <w:tblW w:w="90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426" w:type="dxa"/>
            <w:vAlign w:val="center"/>
          </w:tcPr>
          <w:p>
            <w:pPr>
              <w:widowControl/>
              <w:adjustRightInd w:val="0"/>
              <w:snapToGrid w:val="0"/>
              <w:jc w:val="center"/>
              <w:rPr>
                <w:rFonts w:hint="eastAsia" w:ascii="宋体" w:hAnsi="宋体" w:cs="宋体"/>
                <w:color w:val="000000"/>
                <w:kern w:val="21"/>
                <w:szCs w:val="21"/>
              </w:rPr>
            </w:pPr>
            <w:r>
              <w:rPr>
                <w:rFonts w:hint="eastAsia" w:ascii="宋体" w:hAnsi="宋体" w:cs="宋体"/>
                <w:color w:val="000000"/>
                <w:kern w:val="21"/>
                <w:szCs w:val="21"/>
              </w:rPr>
              <w:t>建设内容</w:t>
            </w:r>
          </w:p>
        </w:tc>
        <w:tc>
          <w:tcPr>
            <w:tcW w:w="8591" w:type="dxa"/>
            <w:vAlign w:val="center"/>
          </w:tcPr>
          <w:p>
            <w:pPr>
              <w:autoSpaceDE w:val="0"/>
              <w:autoSpaceDN w:val="0"/>
              <w:adjustRightInd w:val="0"/>
              <w:snapToGrid w:val="0"/>
              <w:spacing w:line="360" w:lineRule="auto"/>
              <w:rPr>
                <w:b/>
                <w:bCs/>
                <w:color w:val="000000"/>
                <w:kern w:val="21"/>
                <w:szCs w:val="21"/>
              </w:rPr>
            </w:pPr>
            <w:r>
              <w:rPr>
                <w:rFonts w:hint="eastAsia"/>
                <w:b/>
                <w:bCs/>
                <w:color w:val="000000"/>
                <w:kern w:val="21"/>
                <w:szCs w:val="21"/>
              </w:rPr>
              <w:t>2.1 项目由来</w:t>
            </w:r>
          </w:p>
          <w:p>
            <w:pPr>
              <w:adjustRightInd w:val="0"/>
              <w:snapToGrid w:val="0"/>
              <w:spacing w:line="360" w:lineRule="auto"/>
              <w:ind w:firstLine="480" w:firstLineChars="200"/>
              <w:jc w:val="left"/>
              <w:rPr>
                <w:color w:val="000000"/>
                <w:sz w:val="24"/>
              </w:rPr>
            </w:pPr>
            <w:r>
              <w:rPr>
                <w:color w:val="000000"/>
                <w:sz w:val="24"/>
              </w:rPr>
              <w:fldChar w:fldCharType="begin"/>
            </w:r>
            <w:r>
              <w:rPr>
                <w:color w:val="000000"/>
                <w:sz w:val="24"/>
              </w:rPr>
              <w:instrText xml:space="preserve"> REF 项目名称 \h  \* MERGEFORMAT </w:instrText>
            </w:r>
            <w:r>
              <w:rPr>
                <w:color w:val="000000"/>
                <w:sz w:val="24"/>
              </w:rPr>
              <w:fldChar w:fldCharType="separate"/>
            </w:r>
            <w:r>
              <w:rPr>
                <w:rFonts w:hint="eastAsia"/>
                <w:color w:val="000000"/>
                <w:sz w:val="24"/>
              </w:rPr>
              <w:t>福州市非凡新材料科技有限公司年加工EVA塑料颗粒85</w:t>
            </w:r>
            <w:bookmarkStart w:id="11" w:name="_Hlk210934509"/>
            <w:r>
              <w:rPr>
                <w:rFonts w:hint="eastAsia"/>
                <w:color w:val="000000"/>
                <w:sz w:val="24"/>
              </w:rPr>
              <w:t>0吨</w:t>
            </w:r>
            <w:bookmarkEnd w:id="11"/>
            <w:r>
              <w:rPr>
                <w:color w:val="000000"/>
                <w:sz w:val="24"/>
              </w:rPr>
              <w:fldChar w:fldCharType="end"/>
            </w:r>
            <w:r>
              <w:rPr>
                <w:color w:val="000000"/>
                <w:sz w:val="24"/>
              </w:rPr>
              <w:t>位于福清融侨经济技术开发区</w:t>
            </w:r>
            <w:r>
              <w:rPr>
                <w:rFonts w:hint="eastAsia"/>
                <w:color w:val="000000"/>
                <w:sz w:val="24"/>
              </w:rPr>
              <w:t>租赁</w:t>
            </w:r>
            <w:bookmarkStart w:id="12" w:name="_Hlk210934628"/>
            <w:bookmarkStart w:id="13" w:name="_Hlk210935121"/>
            <w:r>
              <w:rPr>
                <w:rFonts w:hint="eastAsia"/>
                <w:color w:val="000000"/>
                <w:sz w:val="24"/>
              </w:rPr>
              <w:t>福清市友谊包装材料有限公司</w:t>
            </w:r>
            <w:bookmarkEnd w:id="12"/>
            <w:r>
              <w:rPr>
                <w:rFonts w:hint="eastAsia"/>
                <w:color w:val="000000"/>
                <w:sz w:val="24"/>
              </w:rPr>
              <w:t>7号厂房一层西侧</w:t>
            </w:r>
            <w:bookmarkEnd w:id="13"/>
            <w:r>
              <w:rPr>
                <w:color w:val="000000"/>
                <w:sz w:val="24"/>
              </w:rPr>
              <w:t>，租赁厂房面积</w:t>
            </w:r>
            <w:r>
              <w:rPr>
                <w:rFonts w:hint="eastAsia"/>
                <w:color w:val="000000"/>
                <w:sz w:val="24"/>
              </w:rPr>
              <w:t>1560</w:t>
            </w:r>
            <w:r>
              <w:rPr>
                <w:color w:val="000000"/>
                <w:sz w:val="24"/>
              </w:rPr>
              <w:t>平方米。</w:t>
            </w:r>
          </w:p>
          <w:p>
            <w:pPr>
              <w:adjustRightInd w:val="0"/>
              <w:snapToGrid w:val="0"/>
              <w:spacing w:line="360" w:lineRule="auto"/>
              <w:ind w:firstLine="480" w:firstLineChars="200"/>
              <w:jc w:val="left"/>
              <w:rPr>
                <w:color w:val="000000"/>
                <w:sz w:val="24"/>
              </w:rPr>
            </w:pPr>
            <w:r>
              <w:rPr>
                <w:rFonts w:hint="eastAsia"/>
                <w:color w:val="000000"/>
                <w:sz w:val="24"/>
              </w:rPr>
              <w:t>根据调查，</w:t>
            </w:r>
            <w:bookmarkStart w:id="14" w:name="_Hlk175771521"/>
            <w:r>
              <w:rPr>
                <w:rFonts w:hint="eastAsia"/>
                <w:color w:val="000000"/>
                <w:sz w:val="24"/>
              </w:rPr>
              <w:t>项目出租方福清市友谊包装材料有限公司</w:t>
            </w:r>
            <w:bookmarkStart w:id="15" w:name="_Hlk210935094"/>
            <w:r>
              <w:rPr>
                <w:rFonts w:hint="eastAsia"/>
                <w:color w:val="000000"/>
                <w:sz w:val="24"/>
              </w:rPr>
              <w:t xml:space="preserve">于2023年将本项目所在厂房（7号厂房一层）出租给福州市乐步新材料科技有限公司进行福州市乐步新材料科技有限公司年 </w:t>
            </w:r>
            <w:r>
              <w:rPr>
                <w:color w:val="000000"/>
                <w:sz w:val="24"/>
              </w:rPr>
              <w:t xml:space="preserve">60 </w:t>
            </w:r>
            <w:r>
              <w:rPr>
                <w:rFonts w:hint="eastAsia"/>
                <w:color w:val="000000"/>
                <w:sz w:val="24"/>
              </w:rPr>
              <w:t>万件显示器配件生产，该项目2023年12月7日通过福清市</w:t>
            </w:r>
            <w:r>
              <w:rPr>
                <w:rFonts w:hint="eastAsia"/>
                <w:color w:val="000000"/>
                <w:sz w:val="24"/>
                <w:lang w:eastAsia="zh-CN"/>
              </w:rPr>
              <w:t>生态环境局</w:t>
            </w:r>
            <w:r>
              <w:rPr>
                <w:rFonts w:hint="eastAsia"/>
                <w:color w:val="000000"/>
                <w:sz w:val="24"/>
              </w:rPr>
              <w:t>审批工作，该项目一直未投入生产</w:t>
            </w:r>
            <w:bookmarkEnd w:id="15"/>
            <w:r>
              <w:rPr>
                <w:rFonts w:hint="eastAsia"/>
                <w:color w:val="000000"/>
                <w:sz w:val="24"/>
              </w:rPr>
              <w:t>。</w:t>
            </w:r>
            <w:bookmarkEnd w:id="14"/>
          </w:p>
          <w:p>
            <w:pPr>
              <w:adjustRightInd w:val="0"/>
              <w:snapToGrid w:val="0"/>
              <w:spacing w:line="360" w:lineRule="auto"/>
              <w:ind w:firstLine="480" w:firstLineChars="200"/>
              <w:jc w:val="left"/>
              <w:rPr>
                <w:color w:val="000000"/>
                <w:sz w:val="24"/>
              </w:rPr>
            </w:pPr>
            <w:r>
              <w:rPr>
                <w:rFonts w:hint="eastAsia"/>
                <w:color w:val="000000"/>
                <w:sz w:val="24"/>
              </w:rPr>
              <w:t>2025年8月福州市乐步新材料科技有限公司将7号厂房一层退还给</w:t>
            </w:r>
            <w:bookmarkStart w:id="16" w:name="OLE_LINK1"/>
            <w:r>
              <w:rPr>
                <w:rFonts w:hint="eastAsia"/>
                <w:color w:val="000000"/>
                <w:sz w:val="24"/>
              </w:rPr>
              <w:t>福清市友谊包装材料有限公司</w:t>
            </w:r>
            <w:bookmarkEnd w:id="16"/>
            <w:r>
              <w:rPr>
                <w:rFonts w:hint="eastAsia"/>
                <w:color w:val="000000"/>
                <w:sz w:val="24"/>
              </w:rPr>
              <w:t xml:space="preserve">，现福州市乐步新材料科技有限公司已注销福州市乐步新材料科技有限公司年产 </w:t>
            </w:r>
            <w:r>
              <w:rPr>
                <w:color w:val="000000"/>
                <w:sz w:val="24"/>
              </w:rPr>
              <w:t xml:space="preserve">60 </w:t>
            </w:r>
            <w:r>
              <w:rPr>
                <w:rFonts w:hint="eastAsia"/>
                <w:color w:val="000000"/>
                <w:sz w:val="24"/>
              </w:rPr>
              <w:t xml:space="preserve">万件显示器配件生产项目，不在使用7号厂房一层进行福州市乐步新材料科技有限公司年产 </w:t>
            </w:r>
            <w:r>
              <w:rPr>
                <w:color w:val="000000"/>
                <w:sz w:val="24"/>
              </w:rPr>
              <w:t xml:space="preserve">60 </w:t>
            </w:r>
            <w:r>
              <w:rPr>
                <w:rFonts w:hint="eastAsia"/>
                <w:color w:val="000000"/>
                <w:sz w:val="24"/>
              </w:rPr>
              <w:t>万件显示器配件生产项目生产，注销说明见附件十</w:t>
            </w:r>
            <w:r>
              <w:rPr>
                <w:rFonts w:hint="eastAsia" w:ascii="Cambria" w:hAnsi="Cambria" w:cs="Cambria"/>
                <w:color w:val="000000"/>
                <w:sz w:val="24"/>
              </w:rPr>
              <w:t>四</w:t>
            </w:r>
            <w:r>
              <w:rPr>
                <w:rFonts w:hint="eastAsia"/>
                <w:color w:val="000000"/>
                <w:sz w:val="24"/>
              </w:rPr>
              <w:t>。</w:t>
            </w:r>
          </w:p>
          <w:p>
            <w:pPr>
              <w:keepNext/>
              <w:overflowPunct w:val="0"/>
              <w:adjustRightInd w:val="0"/>
              <w:snapToGrid w:val="0"/>
              <w:spacing w:line="360" w:lineRule="auto"/>
              <w:ind w:firstLine="480" w:firstLineChars="200"/>
              <w:jc w:val="left"/>
              <w:outlineLvl w:val="0"/>
              <w:rPr>
                <w:rFonts w:eastAsia="黑体"/>
                <w:b/>
                <w:bCs/>
                <w:color w:val="000000"/>
                <w:kern w:val="44"/>
                <w:sz w:val="30"/>
                <w:szCs w:val="30"/>
              </w:rPr>
            </w:pPr>
            <w:r>
              <w:rPr>
                <w:color w:val="000000"/>
                <w:sz w:val="24"/>
              </w:rPr>
              <w:t>根据最新版《建设项目环境影响评价分类管理名录》（2021年版），本项目产品</w:t>
            </w:r>
            <w:r>
              <w:rPr>
                <w:rFonts w:hint="eastAsia"/>
                <w:color w:val="000000"/>
                <w:sz w:val="24"/>
              </w:rPr>
              <w:t>EVA塑料颗粒</w:t>
            </w:r>
            <w:r>
              <w:rPr>
                <w:color w:val="000000"/>
                <w:sz w:val="24"/>
              </w:rPr>
              <w:t>属于“</w:t>
            </w:r>
            <w:r>
              <w:rPr>
                <w:rFonts w:hint="eastAsia"/>
                <w:color w:val="000000"/>
                <w:sz w:val="24"/>
              </w:rPr>
              <w:t>二十六、橡胶和塑料制品业、53 塑料制品业中其他类</w:t>
            </w:r>
            <w:r>
              <w:rPr>
                <w:color w:val="000000"/>
                <w:sz w:val="24"/>
              </w:rPr>
              <w:t>”项，按规定属于需编制报告表的类别。</w:t>
            </w:r>
          </w:p>
          <w:p>
            <w:pPr>
              <w:autoSpaceDE w:val="0"/>
              <w:autoSpaceDN w:val="0"/>
              <w:adjustRightInd w:val="0"/>
              <w:snapToGrid w:val="0"/>
              <w:spacing w:line="360" w:lineRule="auto"/>
              <w:rPr>
                <w:b/>
                <w:bCs/>
                <w:color w:val="000000"/>
                <w:kern w:val="21"/>
                <w:szCs w:val="21"/>
              </w:rPr>
            </w:pPr>
            <w:r>
              <w:rPr>
                <w:rFonts w:hint="eastAsia"/>
                <w:b/>
                <w:bCs/>
                <w:color w:val="000000"/>
                <w:kern w:val="21"/>
                <w:szCs w:val="21"/>
              </w:rPr>
              <w:t>2.2 项目基本情况</w:t>
            </w:r>
          </w:p>
          <w:p>
            <w:pPr>
              <w:autoSpaceDE w:val="0"/>
              <w:autoSpaceDN w:val="0"/>
              <w:adjustRightInd w:val="0"/>
              <w:snapToGrid w:val="0"/>
              <w:spacing w:line="360" w:lineRule="auto"/>
              <w:ind w:firstLine="480" w:firstLineChars="200"/>
              <w:rPr>
                <w:color w:val="000000"/>
                <w:sz w:val="24"/>
              </w:rPr>
            </w:pPr>
            <w:r>
              <w:rPr>
                <w:rFonts w:hint="eastAsia"/>
                <w:color w:val="000000"/>
                <w:sz w:val="24"/>
              </w:rPr>
              <w:t>(1)项目名称：</w:t>
            </w:r>
            <w:r>
              <w:rPr>
                <w:color w:val="000000"/>
                <w:sz w:val="24"/>
              </w:rPr>
              <w:fldChar w:fldCharType="begin"/>
            </w:r>
            <w:r>
              <w:rPr>
                <w:color w:val="000000"/>
                <w:sz w:val="24"/>
              </w:rPr>
              <w:instrText xml:space="preserve"> REF 项目名称 \h  \* MERGEFORMAT </w:instrText>
            </w:r>
            <w:r>
              <w:rPr>
                <w:color w:val="000000"/>
                <w:sz w:val="24"/>
              </w:rPr>
              <w:fldChar w:fldCharType="separate"/>
            </w:r>
            <w:r>
              <w:rPr>
                <w:rFonts w:hint="eastAsia"/>
                <w:color w:val="000000"/>
                <w:sz w:val="24"/>
              </w:rPr>
              <w:t>福州市非凡新材料科技有限公司年加工EVA塑料颗粒850吨</w:t>
            </w:r>
            <w:r>
              <w:rPr>
                <w:color w:val="000000"/>
                <w:sz w:val="24"/>
              </w:rPr>
              <w:fldChar w:fldCharType="end"/>
            </w:r>
          </w:p>
          <w:p>
            <w:pPr>
              <w:autoSpaceDE w:val="0"/>
              <w:autoSpaceDN w:val="0"/>
              <w:adjustRightInd w:val="0"/>
              <w:snapToGrid w:val="0"/>
              <w:spacing w:line="360" w:lineRule="auto"/>
              <w:ind w:firstLine="480" w:firstLineChars="200"/>
              <w:rPr>
                <w:color w:val="000000"/>
                <w:sz w:val="24"/>
              </w:rPr>
            </w:pPr>
            <w:r>
              <w:rPr>
                <w:rFonts w:hint="eastAsia"/>
                <w:color w:val="000000"/>
                <w:sz w:val="24"/>
              </w:rPr>
              <w:t>(2)建设单位：福州市非凡新材料科技有限公司</w:t>
            </w:r>
          </w:p>
          <w:p>
            <w:pPr>
              <w:autoSpaceDE w:val="0"/>
              <w:autoSpaceDN w:val="0"/>
              <w:adjustRightInd w:val="0"/>
              <w:snapToGrid w:val="0"/>
              <w:spacing w:line="360" w:lineRule="auto"/>
              <w:ind w:firstLine="480" w:firstLineChars="200"/>
              <w:rPr>
                <w:color w:val="000000"/>
                <w:sz w:val="24"/>
              </w:rPr>
            </w:pPr>
            <w:r>
              <w:rPr>
                <w:rFonts w:hint="eastAsia"/>
                <w:color w:val="000000"/>
                <w:sz w:val="24"/>
              </w:rPr>
              <w:t>(3)建设地点：</w:t>
            </w:r>
            <w:r>
              <w:rPr>
                <w:color w:val="000000"/>
                <w:sz w:val="24"/>
              </w:rPr>
              <w:t>福清融侨经济技术开发区(</w:t>
            </w:r>
            <w:r>
              <w:rPr>
                <w:rFonts w:hint="eastAsia"/>
                <w:color w:val="000000"/>
                <w:sz w:val="24"/>
              </w:rPr>
              <w:t>赁福清市友谊包装材料有限公司7号厂房一层</w:t>
            </w:r>
            <w:r>
              <w:rPr>
                <w:color w:val="000000"/>
                <w:sz w:val="24"/>
              </w:rPr>
              <w:t>)</w:t>
            </w:r>
          </w:p>
          <w:p>
            <w:pPr>
              <w:autoSpaceDE w:val="0"/>
              <w:autoSpaceDN w:val="0"/>
              <w:adjustRightInd w:val="0"/>
              <w:snapToGrid w:val="0"/>
              <w:spacing w:line="360" w:lineRule="auto"/>
              <w:ind w:firstLine="480" w:firstLineChars="200"/>
              <w:rPr>
                <w:color w:val="000000"/>
                <w:sz w:val="24"/>
              </w:rPr>
            </w:pPr>
            <w:r>
              <w:rPr>
                <w:rFonts w:hint="eastAsia"/>
                <w:color w:val="000000"/>
                <w:sz w:val="24"/>
              </w:rPr>
              <w:t>(4)企业性质：私营</w:t>
            </w:r>
          </w:p>
          <w:p>
            <w:pPr>
              <w:autoSpaceDE w:val="0"/>
              <w:autoSpaceDN w:val="0"/>
              <w:adjustRightInd w:val="0"/>
              <w:snapToGrid w:val="0"/>
              <w:spacing w:line="360" w:lineRule="auto"/>
              <w:ind w:firstLine="480" w:firstLineChars="200"/>
              <w:rPr>
                <w:color w:val="000000"/>
                <w:sz w:val="24"/>
              </w:rPr>
            </w:pPr>
            <w:r>
              <w:rPr>
                <w:rFonts w:hint="eastAsia"/>
                <w:color w:val="000000"/>
                <w:sz w:val="24"/>
              </w:rPr>
              <w:t>(5)项目总投资：200万元</w:t>
            </w:r>
          </w:p>
          <w:p>
            <w:pPr>
              <w:autoSpaceDE w:val="0"/>
              <w:autoSpaceDN w:val="0"/>
              <w:adjustRightInd w:val="0"/>
              <w:snapToGrid w:val="0"/>
              <w:spacing w:line="360" w:lineRule="auto"/>
              <w:ind w:firstLine="480" w:firstLineChars="200"/>
              <w:rPr>
                <w:color w:val="000000"/>
                <w:sz w:val="24"/>
                <w:vertAlign w:val="superscript"/>
              </w:rPr>
            </w:pPr>
            <w:r>
              <w:rPr>
                <w:rFonts w:hint="eastAsia"/>
                <w:color w:val="000000"/>
                <w:sz w:val="24"/>
              </w:rPr>
              <w:t>(6)建设规模：租赁厂房面积为15609m</w:t>
            </w:r>
            <w:r>
              <w:rPr>
                <w:rFonts w:hint="eastAsia"/>
                <w:color w:val="000000"/>
                <w:sz w:val="24"/>
                <w:vertAlign w:val="superscript"/>
              </w:rPr>
              <w:t>2</w:t>
            </w:r>
          </w:p>
          <w:p>
            <w:pPr>
              <w:autoSpaceDE w:val="0"/>
              <w:autoSpaceDN w:val="0"/>
              <w:adjustRightInd w:val="0"/>
              <w:snapToGrid w:val="0"/>
              <w:spacing w:line="360" w:lineRule="auto"/>
              <w:ind w:firstLine="480" w:firstLineChars="200"/>
              <w:rPr>
                <w:color w:val="000000"/>
                <w:sz w:val="24"/>
              </w:rPr>
            </w:pPr>
            <w:r>
              <w:rPr>
                <w:rFonts w:hint="eastAsia"/>
                <w:color w:val="000000"/>
                <w:sz w:val="24"/>
              </w:rPr>
              <w:t>(7)建设工期：拟2025年11月~2026年4月</w:t>
            </w:r>
          </w:p>
          <w:p>
            <w:pPr>
              <w:autoSpaceDE w:val="0"/>
              <w:autoSpaceDN w:val="0"/>
              <w:adjustRightInd w:val="0"/>
              <w:snapToGrid w:val="0"/>
              <w:spacing w:line="360" w:lineRule="auto"/>
              <w:ind w:firstLine="480" w:firstLineChars="200"/>
              <w:rPr>
                <w:color w:val="000000"/>
                <w:sz w:val="24"/>
              </w:rPr>
            </w:pPr>
            <w:r>
              <w:rPr>
                <w:rFonts w:hint="eastAsia"/>
                <w:color w:val="000000"/>
                <w:sz w:val="24"/>
              </w:rPr>
              <w:t>(8)生产规模：年加工EVA塑料颗粒850吨</w:t>
            </w:r>
          </w:p>
          <w:p>
            <w:pPr>
              <w:autoSpaceDE w:val="0"/>
              <w:autoSpaceDN w:val="0"/>
              <w:adjustRightInd w:val="0"/>
              <w:snapToGrid w:val="0"/>
              <w:spacing w:line="360" w:lineRule="auto"/>
              <w:ind w:firstLine="480" w:firstLineChars="200"/>
              <w:rPr>
                <w:color w:val="000000"/>
                <w:sz w:val="24"/>
              </w:rPr>
            </w:pPr>
            <w:r>
              <w:rPr>
                <w:rFonts w:hint="eastAsia"/>
                <w:color w:val="000000"/>
                <w:sz w:val="24"/>
              </w:rPr>
              <w:t>(9)职工人数：职工人数</w:t>
            </w:r>
            <w:r>
              <w:rPr>
                <w:color w:val="000000"/>
                <w:sz w:val="24"/>
              </w:rPr>
              <w:t>15</w:t>
            </w:r>
            <w:r>
              <w:rPr>
                <w:rFonts w:hint="eastAsia"/>
                <w:color w:val="000000"/>
                <w:sz w:val="24"/>
              </w:rPr>
              <w:t>人，均不在厂区内进行食宿</w:t>
            </w:r>
          </w:p>
          <w:p>
            <w:pPr>
              <w:autoSpaceDE w:val="0"/>
              <w:autoSpaceDN w:val="0"/>
              <w:adjustRightInd w:val="0"/>
              <w:snapToGrid w:val="0"/>
              <w:spacing w:line="360" w:lineRule="auto"/>
              <w:ind w:firstLine="480" w:firstLineChars="200"/>
              <w:rPr>
                <w:color w:val="000000"/>
                <w:sz w:val="24"/>
              </w:rPr>
            </w:pPr>
            <w:r>
              <w:rPr>
                <w:rFonts w:hint="eastAsia"/>
                <w:color w:val="000000"/>
                <w:sz w:val="24"/>
              </w:rPr>
              <w:t>(10)工作制度：年工作日300天，实行白班制，每天工作时间8小时，夜间不生产</w:t>
            </w:r>
          </w:p>
          <w:p>
            <w:pPr>
              <w:autoSpaceDE w:val="0"/>
              <w:autoSpaceDN w:val="0"/>
              <w:adjustRightInd w:val="0"/>
              <w:snapToGrid w:val="0"/>
              <w:spacing w:line="360" w:lineRule="auto"/>
              <w:rPr>
                <w:color w:val="000000"/>
                <w:sz w:val="24"/>
              </w:rPr>
            </w:pPr>
            <w:r>
              <w:rPr>
                <w:rFonts w:hint="eastAsia"/>
                <w:b/>
                <w:bCs/>
                <w:color w:val="000000"/>
                <w:kern w:val="21"/>
                <w:szCs w:val="21"/>
              </w:rPr>
              <w:t>2.3项目组成及产品方案</w:t>
            </w:r>
          </w:p>
          <w:p>
            <w:pPr>
              <w:adjustRightInd w:val="0"/>
              <w:snapToGrid w:val="0"/>
              <w:spacing w:line="360" w:lineRule="auto"/>
              <w:ind w:firstLine="480" w:firstLineChars="200"/>
              <w:rPr>
                <w:color w:val="000000"/>
                <w:sz w:val="24"/>
              </w:rPr>
            </w:pPr>
            <w:r>
              <w:rPr>
                <w:rFonts w:hint="eastAsia"/>
                <w:color w:val="000000"/>
                <w:sz w:val="24"/>
              </w:rPr>
              <w:t>建设单位租</w:t>
            </w:r>
            <w:r>
              <w:rPr>
                <w:rFonts w:hint="eastAsia"/>
                <w:color w:val="000000"/>
                <w:kern w:val="0"/>
                <w:sz w:val="24"/>
                <w:szCs w:val="20"/>
              </w:rPr>
              <w:t>赁</w:t>
            </w:r>
            <w:r>
              <w:rPr>
                <w:rFonts w:hint="eastAsia"/>
                <w:color w:val="000000"/>
                <w:sz w:val="24"/>
              </w:rPr>
              <w:t>福清市友谊包装材料有限公司7号厂房一层西侧</w:t>
            </w:r>
            <w:r>
              <w:rPr>
                <w:rFonts w:hint="eastAsia"/>
                <w:color w:val="000000"/>
                <w:kern w:val="0"/>
                <w:sz w:val="24"/>
                <w:szCs w:val="20"/>
              </w:rPr>
              <w:t>进行</w:t>
            </w:r>
            <w:r>
              <w:rPr>
                <w:rFonts w:hint="eastAsia"/>
                <w:color w:val="000000"/>
                <w:sz w:val="24"/>
              </w:rPr>
              <w:t>项目建设，项目主要工程组成见表2.3-1。</w:t>
            </w:r>
          </w:p>
          <w:p>
            <w:pPr>
              <w:adjustRightInd w:val="0"/>
              <w:snapToGrid w:val="0"/>
              <w:jc w:val="center"/>
              <w:rPr>
                <w:b/>
                <w:color w:val="000000"/>
                <w:szCs w:val="21"/>
              </w:rPr>
            </w:pPr>
            <w:r>
              <w:rPr>
                <w:rFonts w:hint="eastAsia"/>
                <w:b/>
                <w:color w:val="000000"/>
                <w:szCs w:val="21"/>
              </w:rPr>
              <w:t>表2.3-1</w:t>
            </w:r>
            <w:r>
              <w:rPr>
                <w:b/>
                <w:color w:val="000000"/>
                <w:szCs w:val="21"/>
              </w:rPr>
              <w:t xml:space="preserve"> </w:t>
            </w:r>
            <w:r>
              <w:rPr>
                <w:rFonts w:hint="eastAsia"/>
                <w:b/>
                <w:color w:val="000000"/>
                <w:szCs w:val="21"/>
              </w:rPr>
              <w:t>项目主要工程组成一览表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33"/>
              <w:gridCol w:w="1199"/>
              <w:gridCol w:w="58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12" w:type="pct"/>
                  <w:gridSpan w:val="2"/>
                  <w:vAlign w:val="center"/>
                </w:tcPr>
                <w:p>
                  <w:pPr>
                    <w:adjustRightInd w:val="0"/>
                    <w:snapToGrid w:val="0"/>
                    <w:jc w:val="center"/>
                    <w:rPr>
                      <w:color w:val="000000"/>
                      <w:szCs w:val="21"/>
                    </w:rPr>
                  </w:pPr>
                  <w:r>
                    <w:rPr>
                      <w:rFonts w:hint="eastAsia"/>
                      <w:color w:val="000000"/>
                      <w:szCs w:val="21"/>
                    </w:rPr>
                    <w:t>项目组成</w:t>
                  </w:r>
                </w:p>
              </w:tc>
              <w:tc>
                <w:tcPr>
                  <w:tcW w:w="3488" w:type="pct"/>
                  <w:vAlign w:val="center"/>
                </w:tcPr>
                <w:p>
                  <w:pPr>
                    <w:adjustRightInd w:val="0"/>
                    <w:snapToGrid w:val="0"/>
                    <w:jc w:val="center"/>
                    <w:rPr>
                      <w:color w:val="000000"/>
                      <w:szCs w:val="21"/>
                    </w:rPr>
                  </w:pPr>
                  <w:r>
                    <w:rPr>
                      <w:rFonts w:hint="eastAsia"/>
                      <w:color w:val="000000"/>
                      <w:szCs w:val="21"/>
                    </w:rPr>
                    <w:t>主要建设内容及规模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Align w:val="center"/>
                </w:tcPr>
                <w:p>
                  <w:pPr>
                    <w:adjustRightInd w:val="0"/>
                    <w:snapToGrid w:val="0"/>
                    <w:jc w:val="center"/>
                    <w:rPr>
                      <w:color w:val="000000"/>
                      <w:szCs w:val="21"/>
                    </w:rPr>
                  </w:pPr>
                  <w:r>
                    <w:rPr>
                      <w:rFonts w:hint="eastAsia"/>
                      <w:color w:val="000000"/>
                      <w:szCs w:val="21"/>
                    </w:rPr>
                    <w:t>主体工程</w:t>
                  </w:r>
                </w:p>
              </w:tc>
              <w:tc>
                <w:tcPr>
                  <w:tcW w:w="716" w:type="pct"/>
                  <w:vAlign w:val="center"/>
                </w:tcPr>
                <w:p>
                  <w:pPr>
                    <w:adjustRightInd w:val="0"/>
                    <w:snapToGrid w:val="0"/>
                    <w:jc w:val="center"/>
                    <w:rPr>
                      <w:color w:val="000000"/>
                      <w:szCs w:val="21"/>
                    </w:rPr>
                  </w:pPr>
                  <w:r>
                    <w:rPr>
                      <w:rFonts w:hint="eastAsia"/>
                      <w:color w:val="000000"/>
                      <w:szCs w:val="21"/>
                    </w:rPr>
                    <w:t>生产车间</w:t>
                  </w:r>
                </w:p>
              </w:tc>
              <w:tc>
                <w:tcPr>
                  <w:tcW w:w="3488" w:type="pct"/>
                  <w:vAlign w:val="center"/>
                </w:tcPr>
                <w:p>
                  <w:pPr>
                    <w:adjustRightInd w:val="0"/>
                    <w:snapToGrid w:val="0"/>
                    <w:jc w:val="center"/>
                    <w:rPr>
                      <w:color w:val="000000"/>
                      <w:szCs w:val="21"/>
                    </w:rPr>
                  </w:pPr>
                  <w:r>
                    <w:rPr>
                      <w:rFonts w:hint="eastAsia"/>
                      <w:color w:val="000000"/>
                      <w:szCs w:val="21"/>
                    </w:rPr>
                    <w:t>租用福清市友谊包装材料有限公司7号厂房一层西侧，共计厂房面积1560m</w:t>
                  </w:r>
                  <w:r>
                    <w:rPr>
                      <w:rFonts w:hint="eastAsia"/>
                      <w:color w:val="000000"/>
                      <w:szCs w:val="21"/>
                      <w:vertAlign w:val="superscript"/>
                    </w:rPr>
                    <w:t>2</w:t>
                  </w:r>
                  <w:r>
                    <w:rPr>
                      <w:rFonts w:hint="eastAsia"/>
                      <w:color w:val="000000"/>
                      <w:szCs w:val="21"/>
                    </w:rPr>
                    <w:t>，主要设置造粒车间位于车间中部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restart"/>
                  <w:vAlign w:val="center"/>
                </w:tcPr>
                <w:p>
                  <w:pPr>
                    <w:adjustRightInd w:val="0"/>
                    <w:snapToGrid w:val="0"/>
                    <w:jc w:val="center"/>
                    <w:rPr>
                      <w:color w:val="000000"/>
                      <w:szCs w:val="21"/>
                    </w:rPr>
                  </w:pPr>
                  <w:r>
                    <w:rPr>
                      <w:rFonts w:hint="eastAsia"/>
                      <w:color w:val="000000"/>
                      <w:szCs w:val="21"/>
                    </w:rPr>
                    <w:t>辅助工程</w:t>
                  </w:r>
                </w:p>
              </w:tc>
              <w:tc>
                <w:tcPr>
                  <w:tcW w:w="716" w:type="pct"/>
                  <w:vAlign w:val="center"/>
                </w:tcPr>
                <w:p>
                  <w:pPr>
                    <w:adjustRightInd w:val="0"/>
                    <w:snapToGrid w:val="0"/>
                    <w:jc w:val="center"/>
                    <w:rPr>
                      <w:color w:val="000000"/>
                      <w:szCs w:val="21"/>
                    </w:rPr>
                  </w:pPr>
                  <w:r>
                    <w:rPr>
                      <w:rFonts w:hint="eastAsia"/>
                      <w:color w:val="000000"/>
                      <w:szCs w:val="21"/>
                    </w:rPr>
                    <w:t>成品仓库</w:t>
                  </w:r>
                </w:p>
              </w:tc>
              <w:tc>
                <w:tcPr>
                  <w:tcW w:w="3488" w:type="pct"/>
                  <w:vAlign w:val="center"/>
                </w:tcPr>
                <w:p>
                  <w:pPr>
                    <w:adjustRightInd w:val="0"/>
                    <w:snapToGrid w:val="0"/>
                    <w:jc w:val="center"/>
                    <w:rPr>
                      <w:color w:val="000000"/>
                      <w:szCs w:val="21"/>
                    </w:rPr>
                  </w:pPr>
                  <w:r>
                    <w:rPr>
                      <w:rFonts w:hint="eastAsia"/>
                      <w:color w:val="000000"/>
                      <w:szCs w:val="21"/>
                    </w:rPr>
                    <w:t>位于厂房南侧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pPr>
                    <w:adjustRightInd w:val="0"/>
                    <w:snapToGrid w:val="0"/>
                    <w:jc w:val="center"/>
                    <w:rPr>
                      <w:color w:val="000000"/>
                      <w:szCs w:val="21"/>
                    </w:rPr>
                  </w:pPr>
                </w:p>
              </w:tc>
              <w:tc>
                <w:tcPr>
                  <w:tcW w:w="716" w:type="pct"/>
                  <w:vAlign w:val="center"/>
                </w:tcPr>
                <w:p>
                  <w:pPr>
                    <w:adjustRightInd w:val="0"/>
                    <w:snapToGrid w:val="0"/>
                    <w:jc w:val="center"/>
                    <w:rPr>
                      <w:color w:val="000000"/>
                      <w:szCs w:val="21"/>
                    </w:rPr>
                  </w:pPr>
                  <w:r>
                    <w:rPr>
                      <w:rFonts w:hint="eastAsia"/>
                      <w:color w:val="000000"/>
                      <w:szCs w:val="21"/>
                    </w:rPr>
                    <w:t>原料仓库</w:t>
                  </w:r>
                </w:p>
              </w:tc>
              <w:tc>
                <w:tcPr>
                  <w:tcW w:w="3488" w:type="pct"/>
                  <w:vAlign w:val="center"/>
                </w:tcPr>
                <w:p>
                  <w:pPr>
                    <w:adjustRightInd w:val="0"/>
                    <w:snapToGrid w:val="0"/>
                    <w:jc w:val="center"/>
                    <w:rPr>
                      <w:color w:val="000000"/>
                      <w:szCs w:val="21"/>
                    </w:rPr>
                  </w:pPr>
                  <w:r>
                    <w:rPr>
                      <w:rFonts w:hint="eastAsia"/>
                      <w:color w:val="000000"/>
                      <w:szCs w:val="21"/>
                    </w:rPr>
                    <w:t>位于厂房北侧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restart"/>
                  <w:vAlign w:val="center"/>
                </w:tcPr>
                <w:p>
                  <w:pPr>
                    <w:adjustRightInd w:val="0"/>
                    <w:snapToGrid w:val="0"/>
                    <w:jc w:val="center"/>
                    <w:rPr>
                      <w:color w:val="000000"/>
                      <w:szCs w:val="21"/>
                    </w:rPr>
                  </w:pPr>
                  <w:r>
                    <w:rPr>
                      <w:rFonts w:hint="eastAsia"/>
                      <w:color w:val="000000"/>
                      <w:szCs w:val="21"/>
                    </w:rPr>
                    <w:t>公用工程</w:t>
                  </w:r>
                </w:p>
              </w:tc>
              <w:tc>
                <w:tcPr>
                  <w:tcW w:w="716" w:type="pct"/>
                  <w:vAlign w:val="center"/>
                </w:tcPr>
                <w:p>
                  <w:pPr>
                    <w:adjustRightInd w:val="0"/>
                    <w:snapToGrid w:val="0"/>
                    <w:jc w:val="center"/>
                    <w:rPr>
                      <w:color w:val="000000"/>
                      <w:szCs w:val="21"/>
                    </w:rPr>
                  </w:pPr>
                  <w:r>
                    <w:rPr>
                      <w:rFonts w:hint="eastAsia"/>
                      <w:color w:val="000000"/>
                      <w:szCs w:val="21"/>
                    </w:rPr>
                    <w:t>供水</w:t>
                  </w:r>
                </w:p>
              </w:tc>
              <w:tc>
                <w:tcPr>
                  <w:tcW w:w="3488" w:type="pct"/>
                  <w:vAlign w:val="center"/>
                </w:tcPr>
                <w:p>
                  <w:pPr>
                    <w:adjustRightInd w:val="0"/>
                    <w:snapToGrid w:val="0"/>
                    <w:jc w:val="center"/>
                    <w:rPr>
                      <w:color w:val="000000"/>
                      <w:szCs w:val="21"/>
                    </w:rPr>
                  </w:pPr>
                  <w:r>
                    <w:rPr>
                      <w:rFonts w:hint="eastAsia"/>
                      <w:color w:val="000000"/>
                      <w:szCs w:val="21"/>
                    </w:rPr>
                    <w:t>接市政污水管网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pPr>
                    <w:adjustRightInd w:val="0"/>
                    <w:snapToGrid w:val="0"/>
                    <w:jc w:val="center"/>
                    <w:rPr>
                      <w:color w:val="000000"/>
                      <w:szCs w:val="21"/>
                    </w:rPr>
                  </w:pPr>
                </w:p>
              </w:tc>
              <w:tc>
                <w:tcPr>
                  <w:tcW w:w="716" w:type="pct"/>
                  <w:vAlign w:val="center"/>
                </w:tcPr>
                <w:p>
                  <w:pPr>
                    <w:adjustRightInd w:val="0"/>
                    <w:snapToGrid w:val="0"/>
                    <w:jc w:val="center"/>
                    <w:rPr>
                      <w:color w:val="000000"/>
                      <w:szCs w:val="21"/>
                    </w:rPr>
                  </w:pPr>
                  <w:r>
                    <w:rPr>
                      <w:rFonts w:hint="eastAsia"/>
                      <w:color w:val="000000"/>
                      <w:szCs w:val="21"/>
                    </w:rPr>
                    <w:t>供电</w:t>
                  </w:r>
                </w:p>
              </w:tc>
              <w:tc>
                <w:tcPr>
                  <w:tcW w:w="3488" w:type="pct"/>
                  <w:vAlign w:val="center"/>
                </w:tcPr>
                <w:p>
                  <w:pPr>
                    <w:adjustRightInd w:val="0"/>
                    <w:snapToGrid w:val="0"/>
                    <w:jc w:val="center"/>
                    <w:rPr>
                      <w:color w:val="000000"/>
                      <w:szCs w:val="21"/>
                    </w:rPr>
                  </w:pPr>
                  <w:r>
                    <w:rPr>
                      <w:rFonts w:hint="eastAsia"/>
                      <w:color w:val="000000"/>
                      <w:szCs w:val="21"/>
                    </w:rPr>
                    <w:t>接市政供电系统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restart"/>
                  <w:vAlign w:val="center"/>
                </w:tcPr>
                <w:p>
                  <w:pPr>
                    <w:adjustRightInd w:val="0"/>
                    <w:snapToGrid w:val="0"/>
                    <w:jc w:val="center"/>
                    <w:rPr>
                      <w:color w:val="000000"/>
                      <w:szCs w:val="21"/>
                    </w:rPr>
                  </w:pPr>
                  <w:r>
                    <w:rPr>
                      <w:rFonts w:hint="eastAsia"/>
                      <w:color w:val="000000"/>
                      <w:szCs w:val="21"/>
                    </w:rPr>
                    <w:t>环保工程</w:t>
                  </w:r>
                </w:p>
              </w:tc>
              <w:tc>
                <w:tcPr>
                  <w:tcW w:w="716" w:type="pct"/>
                  <w:vAlign w:val="center"/>
                </w:tcPr>
                <w:p>
                  <w:pPr>
                    <w:adjustRightInd w:val="0"/>
                    <w:snapToGrid w:val="0"/>
                    <w:jc w:val="center"/>
                    <w:rPr>
                      <w:color w:val="000000"/>
                      <w:szCs w:val="21"/>
                    </w:rPr>
                  </w:pPr>
                  <w:r>
                    <w:rPr>
                      <w:rFonts w:hint="eastAsia"/>
                      <w:color w:val="000000"/>
                      <w:szCs w:val="21"/>
                    </w:rPr>
                    <w:t>废水处理</w:t>
                  </w:r>
                </w:p>
              </w:tc>
              <w:tc>
                <w:tcPr>
                  <w:tcW w:w="3488" w:type="pct"/>
                  <w:vAlign w:val="center"/>
                </w:tcPr>
                <w:p>
                  <w:pPr>
                    <w:adjustRightInd w:val="0"/>
                    <w:snapToGrid w:val="0"/>
                    <w:jc w:val="center"/>
                    <w:rPr>
                      <w:color w:val="000000"/>
                      <w:szCs w:val="21"/>
                    </w:rPr>
                  </w:pPr>
                  <w:r>
                    <w:rPr>
                      <w:color w:val="000000"/>
                      <w:szCs w:val="21"/>
                    </w:rPr>
                    <w:t>依托</w:t>
                  </w:r>
                  <w:r>
                    <w:rPr>
                      <w:rFonts w:hint="eastAsia"/>
                      <w:color w:val="000000"/>
                      <w:szCs w:val="21"/>
                    </w:rPr>
                    <w:t>福清市友谊包装材料有限公司</w:t>
                  </w:r>
                  <w:r>
                    <w:rPr>
                      <w:color w:val="000000"/>
                      <w:szCs w:val="21"/>
                    </w:rPr>
                    <w:t>现有化粪池</w:t>
                  </w:r>
                  <w:r>
                    <w:rPr>
                      <w:rFonts w:hint="eastAsia"/>
                      <w:color w:val="000000"/>
                      <w:szCs w:val="21"/>
                    </w:rPr>
                    <w:t>处理后排入市政污水管网进入融元污水处理厂。冷却水循环使用不外排。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pPr>
                    <w:adjustRightInd w:val="0"/>
                    <w:snapToGrid w:val="0"/>
                    <w:jc w:val="center"/>
                    <w:rPr>
                      <w:color w:val="000000"/>
                      <w:szCs w:val="21"/>
                    </w:rPr>
                  </w:pPr>
                </w:p>
              </w:tc>
              <w:tc>
                <w:tcPr>
                  <w:tcW w:w="716" w:type="pct"/>
                  <w:vAlign w:val="center"/>
                </w:tcPr>
                <w:p>
                  <w:pPr>
                    <w:adjustRightInd w:val="0"/>
                    <w:snapToGrid w:val="0"/>
                    <w:jc w:val="center"/>
                    <w:rPr>
                      <w:color w:val="000000"/>
                      <w:szCs w:val="21"/>
                    </w:rPr>
                  </w:pPr>
                  <w:r>
                    <w:rPr>
                      <w:rFonts w:hint="eastAsia"/>
                      <w:color w:val="000000"/>
                      <w:szCs w:val="21"/>
                    </w:rPr>
                    <w:t>废气处理</w:t>
                  </w:r>
                </w:p>
              </w:tc>
              <w:tc>
                <w:tcPr>
                  <w:tcW w:w="3488" w:type="pct"/>
                  <w:vAlign w:val="center"/>
                </w:tcPr>
                <w:p>
                  <w:pPr>
                    <w:adjustRightInd w:val="0"/>
                    <w:snapToGrid w:val="0"/>
                    <w:rPr>
                      <w:color w:val="000000"/>
                      <w:szCs w:val="21"/>
                    </w:rPr>
                  </w:pPr>
                  <w:r>
                    <w:rPr>
                      <w:rFonts w:hint="eastAsia"/>
                      <w:color w:val="000000"/>
                      <w:szCs w:val="21"/>
                    </w:rPr>
                    <w:t>造粒机、注塑机（打样机）上方设置集气罩收集后经1套“活性炭吸附”处理后通过一根15m高P1排气筒排放；投料粉尘经集气罩收集后通过“布袋除尘器”处理后通过15m高P2排气筒排放。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pPr>
                    <w:adjustRightInd w:val="0"/>
                    <w:snapToGrid w:val="0"/>
                    <w:jc w:val="center"/>
                    <w:rPr>
                      <w:color w:val="000000"/>
                      <w:szCs w:val="21"/>
                    </w:rPr>
                  </w:pPr>
                </w:p>
              </w:tc>
              <w:tc>
                <w:tcPr>
                  <w:tcW w:w="716" w:type="pct"/>
                  <w:vAlign w:val="center"/>
                </w:tcPr>
                <w:p>
                  <w:pPr>
                    <w:adjustRightInd w:val="0"/>
                    <w:snapToGrid w:val="0"/>
                    <w:jc w:val="center"/>
                    <w:rPr>
                      <w:color w:val="000000"/>
                      <w:szCs w:val="21"/>
                    </w:rPr>
                  </w:pPr>
                  <w:r>
                    <w:rPr>
                      <w:rFonts w:hint="eastAsia"/>
                      <w:color w:val="000000"/>
                      <w:szCs w:val="21"/>
                    </w:rPr>
                    <w:t>噪声处置</w:t>
                  </w:r>
                </w:p>
              </w:tc>
              <w:tc>
                <w:tcPr>
                  <w:tcW w:w="3488" w:type="pct"/>
                  <w:vAlign w:val="center"/>
                </w:tcPr>
                <w:p>
                  <w:pPr>
                    <w:adjustRightInd w:val="0"/>
                    <w:snapToGrid w:val="0"/>
                    <w:rPr>
                      <w:color w:val="000000"/>
                      <w:szCs w:val="21"/>
                    </w:rPr>
                  </w:pPr>
                  <w:r>
                    <w:rPr>
                      <w:rFonts w:hint="eastAsia"/>
                      <w:color w:val="000000"/>
                      <w:szCs w:val="21"/>
                    </w:rPr>
                    <w:t>选用低噪声设备，对高噪声设备采取减震、消声、隔声等降噪措施。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pPr>
                    <w:adjustRightInd w:val="0"/>
                    <w:snapToGrid w:val="0"/>
                    <w:jc w:val="center"/>
                    <w:rPr>
                      <w:color w:val="000000"/>
                      <w:szCs w:val="21"/>
                    </w:rPr>
                  </w:pPr>
                </w:p>
              </w:tc>
              <w:tc>
                <w:tcPr>
                  <w:tcW w:w="716" w:type="pct"/>
                  <w:vMerge w:val="restart"/>
                  <w:vAlign w:val="center"/>
                </w:tcPr>
                <w:p>
                  <w:pPr>
                    <w:adjustRightInd w:val="0"/>
                    <w:snapToGrid w:val="0"/>
                    <w:jc w:val="center"/>
                    <w:rPr>
                      <w:color w:val="000000"/>
                      <w:szCs w:val="21"/>
                    </w:rPr>
                  </w:pPr>
                  <w:r>
                    <w:rPr>
                      <w:rFonts w:hint="eastAsia"/>
                      <w:color w:val="000000"/>
                      <w:szCs w:val="21"/>
                    </w:rPr>
                    <w:t>固废处置</w:t>
                  </w:r>
                </w:p>
              </w:tc>
              <w:tc>
                <w:tcPr>
                  <w:tcW w:w="3488" w:type="pct"/>
                  <w:vAlign w:val="center"/>
                </w:tcPr>
                <w:p>
                  <w:pPr>
                    <w:adjustRightInd w:val="0"/>
                    <w:snapToGrid w:val="0"/>
                    <w:rPr>
                      <w:color w:val="000000"/>
                      <w:szCs w:val="21"/>
                    </w:rPr>
                  </w:pPr>
                  <w:r>
                    <w:rPr>
                      <w:rFonts w:hint="eastAsia"/>
                      <w:color w:val="000000"/>
                      <w:szCs w:val="21"/>
                    </w:rPr>
                    <w:t>设一处危险固废贮存库，面积20m</w:t>
                  </w:r>
                  <w:r>
                    <w:rPr>
                      <w:rFonts w:hint="eastAsia"/>
                      <w:color w:val="000000"/>
                      <w:szCs w:val="21"/>
                      <w:vertAlign w:val="superscript"/>
                    </w:rPr>
                    <w:t>2</w:t>
                  </w:r>
                  <w:r>
                    <w:rPr>
                      <w:rFonts w:hint="eastAsia"/>
                      <w:color w:val="000000"/>
                      <w:szCs w:val="21"/>
                    </w:rPr>
                    <w:t>，储存间贴明显警示标志并设好围堰和地面防渗，危险固废收集后委托有资质的单位处置。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pPr>
                    <w:adjustRightInd w:val="0"/>
                    <w:snapToGrid w:val="0"/>
                    <w:jc w:val="center"/>
                    <w:rPr>
                      <w:color w:val="000000"/>
                      <w:szCs w:val="21"/>
                    </w:rPr>
                  </w:pPr>
                </w:p>
              </w:tc>
              <w:tc>
                <w:tcPr>
                  <w:tcW w:w="716" w:type="pct"/>
                  <w:vMerge w:val="continue"/>
                  <w:vAlign w:val="center"/>
                </w:tcPr>
                <w:p>
                  <w:pPr>
                    <w:adjustRightInd w:val="0"/>
                    <w:snapToGrid w:val="0"/>
                    <w:jc w:val="center"/>
                    <w:rPr>
                      <w:color w:val="000000"/>
                      <w:szCs w:val="21"/>
                    </w:rPr>
                  </w:pPr>
                </w:p>
              </w:tc>
              <w:tc>
                <w:tcPr>
                  <w:tcW w:w="3488" w:type="pct"/>
                  <w:vAlign w:val="center"/>
                </w:tcPr>
                <w:p>
                  <w:pPr>
                    <w:adjustRightInd w:val="0"/>
                    <w:snapToGrid w:val="0"/>
                    <w:rPr>
                      <w:color w:val="000000"/>
                      <w:szCs w:val="21"/>
                    </w:rPr>
                  </w:pPr>
                  <w:r>
                    <w:rPr>
                      <w:rFonts w:hint="eastAsia"/>
                      <w:color w:val="000000"/>
                      <w:szCs w:val="21"/>
                    </w:rPr>
                    <w:t>设一般固废暂存，生产固废统一收分类收集后外售。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vMerge w:val="continue"/>
                  <w:vAlign w:val="center"/>
                </w:tcPr>
                <w:p>
                  <w:pPr>
                    <w:adjustRightInd w:val="0"/>
                    <w:snapToGrid w:val="0"/>
                    <w:jc w:val="center"/>
                    <w:rPr>
                      <w:color w:val="000000"/>
                      <w:szCs w:val="21"/>
                    </w:rPr>
                  </w:pPr>
                </w:p>
              </w:tc>
              <w:tc>
                <w:tcPr>
                  <w:tcW w:w="716" w:type="pct"/>
                  <w:vMerge w:val="continue"/>
                  <w:vAlign w:val="center"/>
                </w:tcPr>
                <w:p>
                  <w:pPr>
                    <w:adjustRightInd w:val="0"/>
                    <w:snapToGrid w:val="0"/>
                    <w:jc w:val="center"/>
                    <w:rPr>
                      <w:color w:val="000000"/>
                      <w:szCs w:val="21"/>
                    </w:rPr>
                  </w:pPr>
                </w:p>
              </w:tc>
              <w:tc>
                <w:tcPr>
                  <w:tcW w:w="3488" w:type="pct"/>
                  <w:vAlign w:val="center"/>
                </w:tcPr>
                <w:p>
                  <w:pPr>
                    <w:adjustRightInd w:val="0"/>
                    <w:snapToGrid w:val="0"/>
                    <w:rPr>
                      <w:color w:val="000000"/>
                      <w:szCs w:val="21"/>
                    </w:rPr>
                  </w:pPr>
                  <w:r>
                    <w:rPr>
                      <w:rFonts w:hint="eastAsia"/>
                      <w:color w:val="000000"/>
                      <w:szCs w:val="21"/>
                    </w:rPr>
                    <w:t>设置生活垃圾桶，生活垃圾收集后委托环卫工人清理处置。</w:t>
                  </w:r>
                </w:p>
              </w:tc>
            </w:tr>
          </w:tbl>
          <w:p>
            <w:pPr>
              <w:spacing w:before="120" w:beforeLines="50"/>
              <w:rPr>
                <w:b/>
                <w:bCs/>
                <w:color w:val="000000"/>
                <w:kern w:val="21"/>
                <w:szCs w:val="21"/>
              </w:rPr>
            </w:pPr>
            <w:r>
              <w:rPr>
                <w:rFonts w:hint="eastAsia"/>
                <w:b/>
                <w:bCs/>
                <w:color w:val="000000"/>
                <w:kern w:val="21"/>
                <w:szCs w:val="21"/>
              </w:rPr>
              <w:t>2.</w:t>
            </w:r>
            <w:r>
              <w:rPr>
                <w:b/>
                <w:bCs/>
                <w:color w:val="000000"/>
                <w:kern w:val="21"/>
                <w:szCs w:val="21"/>
              </w:rPr>
              <w:t>4</w:t>
            </w:r>
            <w:r>
              <w:rPr>
                <w:rFonts w:hint="eastAsia"/>
                <w:b/>
                <w:bCs/>
                <w:color w:val="000000"/>
                <w:kern w:val="21"/>
                <w:szCs w:val="21"/>
              </w:rPr>
              <w:t>主要产品与产能</w:t>
            </w:r>
          </w:p>
          <w:p>
            <w:pPr>
              <w:spacing w:before="120" w:beforeLines="50"/>
              <w:ind w:firstLine="480"/>
              <w:rPr>
                <w:color w:val="000000"/>
                <w:kern w:val="21"/>
                <w:sz w:val="24"/>
              </w:rPr>
            </w:pPr>
            <w:r>
              <w:rPr>
                <w:rFonts w:hint="eastAsia"/>
                <w:color w:val="000000"/>
                <w:kern w:val="21"/>
                <w:sz w:val="24"/>
              </w:rPr>
              <w:t>本项目产品方案见表2.4-1。</w:t>
            </w:r>
          </w:p>
          <w:p>
            <w:pPr>
              <w:adjustRightInd w:val="0"/>
              <w:snapToGrid w:val="0"/>
              <w:jc w:val="center"/>
              <w:rPr>
                <w:b/>
                <w:color w:val="000000"/>
              </w:rPr>
            </w:pPr>
            <w:r>
              <w:rPr>
                <w:rFonts w:hint="eastAsia"/>
                <w:b/>
                <w:color w:val="000000"/>
              </w:rPr>
              <w:t>表2.4-</w:t>
            </w:r>
            <w:r>
              <w:rPr>
                <w:b/>
                <w:color w:val="000000"/>
              </w:rPr>
              <w:t xml:space="preserve">1 </w:t>
            </w:r>
            <w:r>
              <w:rPr>
                <w:rFonts w:hint="eastAsia"/>
                <w:b/>
                <w:color w:val="000000"/>
              </w:rPr>
              <w:t>项目主要产品方案</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90"/>
              <w:gridCol w:w="3504"/>
              <w:gridCol w:w="318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9" w:type="pct"/>
                  <w:tcBorders>
                    <w:top w:val="single" w:color="auto" w:sz="12" w:space="0"/>
                    <w:bottom w:val="single" w:color="auto" w:sz="2" w:space="0"/>
                  </w:tcBorders>
                  <w:vAlign w:val="center"/>
                </w:tcPr>
                <w:p>
                  <w:pPr>
                    <w:adjustRightInd w:val="0"/>
                    <w:snapToGrid w:val="0"/>
                    <w:spacing w:line="340" w:lineRule="exact"/>
                    <w:jc w:val="center"/>
                    <w:rPr>
                      <w:b/>
                      <w:bCs/>
                      <w:color w:val="000000"/>
                      <w:szCs w:val="21"/>
                    </w:rPr>
                  </w:pPr>
                  <w:r>
                    <w:rPr>
                      <w:b/>
                      <w:bCs/>
                      <w:color w:val="000000"/>
                      <w:szCs w:val="21"/>
                    </w:rPr>
                    <w:t>序号</w:t>
                  </w:r>
                </w:p>
              </w:tc>
              <w:tc>
                <w:tcPr>
                  <w:tcW w:w="2092" w:type="pct"/>
                  <w:tcBorders>
                    <w:top w:val="single" w:color="auto" w:sz="12" w:space="0"/>
                    <w:bottom w:val="single" w:color="auto" w:sz="2" w:space="0"/>
                  </w:tcBorders>
                  <w:vAlign w:val="center"/>
                </w:tcPr>
                <w:p>
                  <w:pPr>
                    <w:adjustRightInd w:val="0"/>
                    <w:snapToGrid w:val="0"/>
                    <w:spacing w:line="340" w:lineRule="exact"/>
                    <w:jc w:val="center"/>
                    <w:rPr>
                      <w:b/>
                      <w:bCs/>
                      <w:color w:val="000000"/>
                      <w:szCs w:val="21"/>
                    </w:rPr>
                  </w:pPr>
                  <w:r>
                    <w:rPr>
                      <w:b/>
                      <w:bCs/>
                      <w:color w:val="000000"/>
                      <w:szCs w:val="21"/>
                    </w:rPr>
                    <w:t>产品名称</w:t>
                  </w:r>
                </w:p>
              </w:tc>
              <w:tc>
                <w:tcPr>
                  <w:tcW w:w="1899" w:type="pct"/>
                  <w:tcBorders>
                    <w:top w:val="single" w:color="auto" w:sz="12" w:space="0"/>
                    <w:bottom w:val="single" w:color="auto" w:sz="2" w:space="0"/>
                    <w:right w:val="single" w:color="auto" w:sz="4" w:space="0"/>
                  </w:tcBorders>
                  <w:vAlign w:val="center"/>
                </w:tcPr>
                <w:p>
                  <w:pPr>
                    <w:adjustRightInd w:val="0"/>
                    <w:snapToGrid w:val="0"/>
                    <w:spacing w:line="340" w:lineRule="exact"/>
                    <w:jc w:val="center"/>
                    <w:rPr>
                      <w:b/>
                      <w:bCs/>
                      <w:color w:val="000000"/>
                      <w:szCs w:val="21"/>
                    </w:rPr>
                  </w:pPr>
                  <w:r>
                    <w:rPr>
                      <w:b/>
                      <w:bCs/>
                      <w:color w:val="000000"/>
                      <w:szCs w:val="21"/>
                    </w:rPr>
                    <w:t>产品产量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09" w:type="pct"/>
                  <w:tcBorders>
                    <w:top w:val="single" w:color="auto" w:sz="2" w:space="0"/>
                    <w:bottom w:val="single" w:color="auto" w:sz="2" w:space="0"/>
                  </w:tcBorders>
                  <w:vAlign w:val="center"/>
                </w:tcPr>
                <w:p>
                  <w:pPr>
                    <w:adjustRightInd w:val="0"/>
                    <w:snapToGrid w:val="0"/>
                    <w:jc w:val="center"/>
                    <w:rPr>
                      <w:color w:val="000000"/>
                      <w:szCs w:val="21"/>
                    </w:rPr>
                  </w:pPr>
                  <w:r>
                    <w:rPr>
                      <w:color w:val="000000"/>
                      <w:szCs w:val="21"/>
                    </w:rPr>
                    <w:t>1</w:t>
                  </w:r>
                </w:p>
              </w:tc>
              <w:tc>
                <w:tcPr>
                  <w:tcW w:w="2092" w:type="pct"/>
                  <w:tcBorders>
                    <w:top w:val="single" w:color="auto" w:sz="2" w:space="0"/>
                    <w:bottom w:val="single" w:color="auto" w:sz="2" w:space="0"/>
                  </w:tcBorders>
                  <w:vAlign w:val="center"/>
                </w:tcPr>
                <w:p>
                  <w:pPr>
                    <w:adjustRightInd w:val="0"/>
                    <w:snapToGrid w:val="0"/>
                    <w:jc w:val="center"/>
                    <w:rPr>
                      <w:color w:val="000000"/>
                    </w:rPr>
                  </w:pPr>
                  <w:r>
                    <w:rPr>
                      <w:rFonts w:hint="eastAsia"/>
                      <w:color w:val="000000"/>
                    </w:rPr>
                    <w:t>EVA塑料颗粒</w:t>
                  </w:r>
                </w:p>
              </w:tc>
              <w:tc>
                <w:tcPr>
                  <w:tcW w:w="1899" w:type="pct"/>
                  <w:tcBorders>
                    <w:top w:val="single" w:color="auto" w:sz="2" w:space="0"/>
                    <w:bottom w:val="single" w:color="auto" w:sz="2" w:space="0"/>
                    <w:right w:val="single" w:color="auto" w:sz="4" w:space="0"/>
                  </w:tcBorders>
                  <w:vAlign w:val="center"/>
                </w:tcPr>
                <w:p>
                  <w:pPr>
                    <w:adjustRightInd w:val="0"/>
                    <w:snapToGrid w:val="0"/>
                    <w:jc w:val="center"/>
                    <w:rPr>
                      <w:color w:val="000000"/>
                    </w:rPr>
                  </w:pPr>
                  <w:r>
                    <w:rPr>
                      <w:rFonts w:hint="eastAsia"/>
                      <w:color w:val="000000"/>
                    </w:rPr>
                    <w:t>850吨/年</w:t>
                  </w:r>
                </w:p>
              </w:tc>
            </w:tr>
          </w:tbl>
          <w:p>
            <w:pPr>
              <w:spacing w:before="120" w:beforeLines="50"/>
              <w:rPr>
                <w:b/>
                <w:bCs/>
                <w:color w:val="000000"/>
                <w:kern w:val="21"/>
                <w:szCs w:val="21"/>
              </w:rPr>
            </w:pPr>
            <w:bookmarkStart w:id="17" w:name="_Toc7769_WPSOffice_Level2"/>
            <w:bookmarkStart w:id="18" w:name="_Toc23407_WPSOffice_Level3"/>
            <w:r>
              <w:rPr>
                <w:rFonts w:hint="eastAsia"/>
                <w:b/>
                <w:bCs/>
                <w:color w:val="000000"/>
                <w:kern w:val="21"/>
                <w:szCs w:val="21"/>
              </w:rPr>
              <w:t>2.</w:t>
            </w:r>
            <w:r>
              <w:rPr>
                <w:b/>
                <w:bCs/>
                <w:color w:val="000000"/>
                <w:kern w:val="21"/>
                <w:szCs w:val="21"/>
              </w:rPr>
              <w:t>5</w:t>
            </w:r>
            <w:r>
              <w:rPr>
                <w:rFonts w:hint="eastAsia"/>
                <w:b/>
                <w:bCs/>
                <w:color w:val="000000"/>
                <w:kern w:val="21"/>
                <w:szCs w:val="21"/>
              </w:rPr>
              <w:t>主要原辅材料</w:t>
            </w:r>
            <w:bookmarkEnd w:id="17"/>
            <w:bookmarkEnd w:id="18"/>
          </w:p>
          <w:p>
            <w:pPr>
              <w:spacing w:before="120" w:beforeLines="50"/>
              <w:ind w:firstLine="480"/>
              <w:rPr>
                <w:color w:val="000000"/>
                <w:kern w:val="21"/>
                <w:sz w:val="24"/>
              </w:rPr>
            </w:pPr>
            <w:r>
              <w:rPr>
                <w:rFonts w:hint="eastAsia"/>
                <w:color w:val="000000"/>
                <w:kern w:val="21"/>
                <w:sz w:val="24"/>
              </w:rPr>
              <w:t>（1）主要原辅材料消耗</w:t>
            </w:r>
          </w:p>
          <w:p>
            <w:pPr>
              <w:spacing w:before="120" w:beforeLines="50"/>
              <w:ind w:firstLine="480"/>
              <w:rPr>
                <w:color w:val="000000"/>
                <w:kern w:val="21"/>
                <w:sz w:val="24"/>
              </w:rPr>
            </w:pPr>
            <w:r>
              <w:rPr>
                <w:rFonts w:hint="eastAsia"/>
                <w:color w:val="000000"/>
                <w:kern w:val="21"/>
                <w:sz w:val="24"/>
              </w:rPr>
              <w:t>项目主要原辅材料见表2.</w:t>
            </w:r>
            <w:r>
              <w:rPr>
                <w:color w:val="000000"/>
                <w:kern w:val="21"/>
                <w:sz w:val="24"/>
              </w:rPr>
              <w:t>5</w:t>
            </w:r>
            <w:r>
              <w:rPr>
                <w:rFonts w:hint="eastAsia"/>
                <w:color w:val="000000"/>
                <w:kern w:val="21"/>
                <w:sz w:val="24"/>
              </w:rPr>
              <w:t>-1。</w:t>
            </w:r>
          </w:p>
          <w:p>
            <w:pPr>
              <w:adjustRightInd w:val="0"/>
              <w:snapToGrid w:val="0"/>
              <w:jc w:val="center"/>
              <w:rPr>
                <w:b/>
                <w:color w:val="000000"/>
              </w:rPr>
            </w:pPr>
            <w:bookmarkStart w:id="19" w:name="_Toc17000_WPSOffice_Level2"/>
            <w:r>
              <w:rPr>
                <w:b/>
                <w:color w:val="000000"/>
              </w:rPr>
              <w:t>表</w:t>
            </w:r>
            <w:r>
              <w:rPr>
                <w:rFonts w:hint="eastAsia"/>
                <w:b/>
                <w:color w:val="000000"/>
              </w:rPr>
              <w:t>2.</w:t>
            </w:r>
            <w:r>
              <w:rPr>
                <w:b/>
                <w:color w:val="000000"/>
              </w:rPr>
              <w:t>5</w:t>
            </w:r>
            <w:r>
              <w:rPr>
                <w:rFonts w:hint="eastAsia"/>
                <w:b/>
                <w:color w:val="000000"/>
              </w:rPr>
              <w:t>-1</w:t>
            </w:r>
            <w:r>
              <w:rPr>
                <w:b/>
                <w:color w:val="000000"/>
              </w:rPr>
              <w:t xml:space="preserve">  主要原辅材料情况</w:t>
            </w:r>
            <w:bookmarkEnd w:id="19"/>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183"/>
              <w:gridCol w:w="1982"/>
              <w:gridCol w:w="1814"/>
              <w:gridCol w:w="15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pPr>
                    <w:spacing w:line="340" w:lineRule="exact"/>
                    <w:jc w:val="center"/>
                    <w:rPr>
                      <w:b/>
                      <w:color w:val="000000"/>
                      <w:szCs w:val="21"/>
                    </w:rPr>
                  </w:pPr>
                  <w:r>
                    <w:rPr>
                      <w:b/>
                      <w:color w:val="000000"/>
                      <w:szCs w:val="21"/>
                    </w:rPr>
                    <w:t>序号</w:t>
                  </w:r>
                </w:p>
              </w:tc>
              <w:tc>
                <w:tcPr>
                  <w:tcW w:w="1303" w:type="pct"/>
                  <w:vAlign w:val="center"/>
                </w:tcPr>
                <w:p>
                  <w:pPr>
                    <w:spacing w:line="340" w:lineRule="exact"/>
                    <w:jc w:val="center"/>
                    <w:rPr>
                      <w:b/>
                      <w:color w:val="000000"/>
                      <w:szCs w:val="21"/>
                    </w:rPr>
                  </w:pPr>
                  <w:r>
                    <w:rPr>
                      <w:b/>
                      <w:color w:val="000000"/>
                      <w:szCs w:val="21"/>
                    </w:rPr>
                    <w:t>原辅材料名称</w:t>
                  </w:r>
                </w:p>
              </w:tc>
              <w:tc>
                <w:tcPr>
                  <w:tcW w:w="1183" w:type="pct"/>
                  <w:vAlign w:val="center"/>
                </w:tcPr>
                <w:p>
                  <w:pPr>
                    <w:spacing w:line="340" w:lineRule="exact"/>
                    <w:jc w:val="center"/>
                    <w:rPr>
                      <w:b/>
                      <w:color w:val="000000"/>
                      <w:szCs w:val="21"/>
                    </w:rPr>
                  </w:pPr>
                  <w:r>
                    <w:rPr>
                      <w:b/>
                      <w:color w:val="000000"/>
                      <w:szCs w:val="21"/>
                    </w:rPr>
                    <w:t>年用量</w:t>
                  </w:r>
                </w:p>
              </w:tc>
              <w:tc>
                <w:tcPr>
                  <w:tcW w:w="1083" w:type="pct"/>
                  <w:vAlign w:val="center"/>
                </w:tcPr>
                <w:p>
                  <w:pPr>
                    <w:spacing w:line="340" w:lineRule="exact"/>
                    <w:jc w:val="center"/>
                    <w:rPr>
                      <w:b/>
                      <w:color w:val="000000"/>
                      <w:szCs w:val="21"/>
                    </w:rPr>
                  </w:pPr>
                  <w:r>
                    <w:rPr>
                      <w:b/>
                      <w:color w:val="000000"/>
                      <w:szCs w:val="21"/>
                    </w:rPr>
                    <w:t>物理形态</w:t>
                  </w:r>
                </w:p>
              </w:tc>
              <w:tc>
                <w:tcPr>
                  <w:tcW w:w="899" w:type="pct"/>
                  <w:vAlign w:val="center"/>
                </w:tcPr>
                <w:p>
                  <w:pPr>
                    <w:spacing w:line="340" w:lineRule="exact"/>
                    <w:jc w:val="center"/>
                    <w:rPr>
                      <w:b/>
                      <w:color w:val="000000"/>
                      <w:szCs w:val="21"/>
                    </w:rPr>
                  </w:pPr>
                  <w:r>
                    <w:rPr>
                      <w:b/>
                      <w:color w:val="000000"/>
                      <w:szCs w:val="21"/>
                    </w:rPr>
                    <w:t>储存位置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pPr>
                    <w:jc w:val="center"/>
                    <w:rPr>
                      <w:bCs/>
                      <w:color w:val="000000"/>
                      <w:szCs w:val="21"/>
                    </w:rPr>
                  </w:pPr>
                  <w:r>
                    <w:rPr>
                      <w:bCs/>
                      <w:color w:val="000000"/>
                      <w:szCs w:val="21"/>
                    </w:rPr>
                    <w:t>1</w:t>
                  </w:r>
                </w:p>
              </w:tc>
              <w:tc>
                <w:tcPr>
                  <w:tcW w:w="1303" w:type="pct"/>
                  <w:vAlign w:val="center"/>
                </w:tcPr>
                <w:p>
                  <w:pPr>
                    <w:jc w:val="center"/>
                    <w:rPr>
                      <w:bCs/>
                      <w:color w:val="000000"/>
                      <w:szCs w:val="21"/>
                    </w:rPr>
                  </w:pPr>
                </w:p>
              </w:tc>
              <w:tc>
                <w:tcPr>
                  <w:tcW w:w="1183" w:type="pct"/>
                  <w:vAlign w:val="center"/>
                </w:tcPr>
                <w:p>
                  <w:pPr>
                    <w:jc w:val="center"/>
                    <w:rPr>
                      <w:bCs/>
                      <w:color w:val="000000"/>
                      <w:szCs w:val="21"/>
                    </w:rPr>
                  </w:pPr>
                </w:p>
              </w:tc>
              <w:tc>
                <w:tcPr>
                  <w:tcW w:w="1083" w:type="pct"/>
                  <w:vAlign w:val="center"/>
                </w:tcPr>
                <w:p>
                  <w:pPr>
                    <w:jc w:val="center"/>
                    <w:rPr>
                      <w:bCs/>
                      <w:color w:val="000000"/>
                      <w:szCs w:val="21"/>
                    </w:rPr>
                  </w:pPr>
                </w:p>
              </w:tc>
              <w:tc>
                <w:tcPr>
                  <w:tcW w:w="899" w:type="pct"/>
                  <w:vAlign w:val="center"/>
                </w:tcPr>
                <w:p>
                  <w:pPr>
                    <w:jc w:val="center"/>
                    <w:rPr>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pPr>
                    <w:jc w:val="center"/>
                    <w:rPr>
                      <w:bCs/>
                      <w:color w:val="000000"/>
                      <w:szCs w:val="21"/>
                    </w:rPr>
                  </w:pPr>
                  <w:r>
                    <w:rPr>
                      <w:rFonts w:hint="eastAsia"/>
                      <w:bCs/>
                      <w:color w:val="000000"/>
                      <w:szCs w:val="21"/>
                    </w:rPr>
                    <w:t>2</w:t>
                  </w:r>
                </w:p>
              </w:tc>
              <w:tc>
                <w:tcPr>
                  <w:tcW w:w="1303" w:type="pct"/>
                  <w:vAlign w:val="center"/>
                </w:tcPr>
                <w:p>
                  <w:pPr>
                    <w:jc w:val="center"/>
                    <w:rPr>
                      <w:bCs/>
                      <w:color w:val="000000"/>
                    </w:rPr>
                  </w:pPr>
                </w:p>
              </w:tc>
              <w:tc>
                <w:tcPr>
                  <w:tcW w:w="1183" w:type="pct"/>
                  <w:vAlign w:val="center"/>
                </w:tcPr>
                <w:p>
                  <w:pPr>
                    <w:jc w:val="center"/>
                    <w:rPr>
                      <w:bCs/>
                      <w:color w:val="000000"/>
                      <w:szCs w:val="21"/>
                    </w:rPr>
                  </w:pPr>
                </w:p>
              </w:tc>
              <w:tc>
                <w:tcPr>
                  <w:tcW w:w="1083" w:type="pct"/>
                  <w:vAlign w:val="center"/>
                </w:tcPr>
                <w:p>
                  <w:pPr>
                    <w:jc w:val="center"/>
                    <w:rPr>
                      <w:bCs/>
                      <w:color w:val="000000"/>
                      <w:szCs w:val="21"/>
                    </w:rPr>
                  </w:pPr>
                </w:p>
              </w:tc>
              <w:tc>
                <w:tcPr>
                  <w:tcW w:w="899" w:type="pct"/>
                  <w:vAlign w:val="center"/>
                </w:tcPr>
                <w:p>
                  <w:pPr>
                    <w:jc w:val="center"/>
                    <w:rPr>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pPr>
                    <w:jc w:val="center"/>
                    <w:rPr>
                      <w:bCs/>
                      <w:color w:val="000000"/>
                      <w:szCs w:val="21"/>
                    </w:rPr>
                  </w:pPr>
                  <w:r>
                    <w:rPr>
                      <w:rFonts w:hint="eastAsia"/>
                      <w:bCs/>
                      <w:color w:val="000000"/>
                      <w:szCs w:val="21"/>
                    </w:rPr>
                    <w:t>3</w:t>
                  </w:r>
                </w:p>
              </w:tc>
              <w:tc>
                <w:tcPr>
                  <w:tcW w:w="1303" w:type="pct"/>
                  <w:vAlign w:val="center"/>
                </w:tcPr>
                <w:p>
                  <w:pPr>
                    <w:jc w:val="center"/>
                    <w:rPr>
                      <w:bCs/>
                      <w:color w:val="000000"/>
                      <w:szCs w:val="21"/>
                    </w:rPr>
                  </w:pPr>
                </w:p>
              </w:tc>
              <w:tc>
                <w:tcPr>
                  <w:tcW w:w="1183" w:type="pct"/>
                  <w:vAlign w:val="center"/>
                </w:tcPr>
                <w:p>
                  <w:pPr>
                    <w:jc w:val="center"/>
                    <w:rPr>
                      <w:bCs/>
                      <w:color w:val="000000"/>
                      <w:szCs w:val="21"/>
                    </w:rPr>
                  </w:pPr>
                </w:p>
              </w:tc>
              <w:tc>
                <w:tcPr>
                  <w:tcW w:w="1083" w:type="pct"/>
                  <w:vAlign w:val="center"/>
                </w:tcPr>
                <w:p>
                  <w:pPr>
                    <w:jc w:val="center"/>
                    <w:rPr>
                      <w:bCs/>
                      <w:color w:val="000000"/>
                      <w:szCs w:val="21"/>
                    </w:rPr>
                  </w:pPr>
                </w:p>
              </w:tc>
              <w:tc>
                <w:tcPr>
                  <w:tcW w:w="899" w:type="pct"/>
                  <w:vAlign w:val="center"/>
                </w:tcPr>
                <w:p>
                  <w:pPr>
                    <w:jc w:val="center"/>
                    <w:rPr>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pPr>
                    <w:jc w:val="center"/>
                    <w:rPr>
                      <w:bCs/>
                      <w:color w:val="000000"/>
                      <w:szCs w:val="21"/>
                    </w:rPr>
                  </w:pPr>
                  <w:r>
                    <w:rPr>
                      <w:rFonts w:hint="eastAsia"/>
                      <w:bCs/>
                      <w:color w:val="000000"/>
                      <w:szCs w:val="21"/>
                    </w:rPr>
                    <w:t>4</w:t>
                  </w:r>
                </w:p>
              </w:tc>
              <w:tc>
                <w:tcPr>
                  <w:tcW w:w="1303" w:type="pct"/>
                  <w:vAlign w:val="center"/>
                </w:tcPr>
                <w:p>
                  <w:pPr>
                    <w:jc w:val="center"/>
                    <w:rPr>
                      <w:bCs/>
                      <w:color w:val="000000"/>
                    </w:rPr>
                  </w:pPr>
                </w:p>
              </w:tc>
              <w:tc>
                <w:tcPr>
                  <w:tcW w:w="1183" w:type="pct"/>
                  <w:vAlign w:val="center"/>
                </w:tcPr>
                <w:p>
                  <w:pPr>
                    <w:jc w:val="center"/>
                    <w:rPr>
                      <w:bCs/>
                      <w:color w:val="000000"/>
                      <w:szCs w:val="21"/>
                    </w:rPr>
                  </w:pPr>
                </w:p>
              </w:tc>
              <w:tc>
                <w:tcPr>
                  <w:tcW w:w="1083" w:type="pct"/>
                  <w:vAlign w:val="center"/>
                </w:tcPr>
                <w:p>
                  <w:pPr>
                    <w:jc w:val="center"/>
                    <w:rPr>
                      <w:bCs/>
                      <w:color w:val="000000"/>
                      <w:szCs w:val="21"/>
                    </w:rPr>
                  </w:pPr>
                </w:p>
              </w:tc>
              <w:tc>
                <w:tcPr>
                  <w:tcW w:w="899" w:type="pct"/>
                  <w:vAlign w:val="center"/>
                </w:tcPr>
                <w:p>
                  <w:pPr>
                    <w:jc w:val="center"/>
                    <w:rPr>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pPr>
                    <w:jc w:val="center"/>
                    <w:rPr>
                      <w:bCs/>
                      <w:color w:val="000000"/>
                      <w:szCs w:val="21"/>
                    </w:rPr>
                  </w:pPr>
                  <w:r>
                    <w:rPr>
                      <w:rFonts w:hint="eastAsia"/>
                      <w:bCs/>
                      <w:color w:val="000000"/>
                      <w:szCs w:val="21"/>
                    </w:rPr>
                    <w:t>5</w:t>
                  </w:r>
                </w:p>
              </w:tc>
              <w:tc>
                <w:tcPr>
                  <w:tcW w:w="1303" w:type="pct"/>
                  <w:vAlign w:val="center"/>
                </w:tcPr>
                <w:p>
                  <w:pPr>
                    <w:jc w:val="center"/>
                    <w:rPr>
                      <w:bCs/>
                      <w:color w:val="000000"/>
                      <w:szCs w:val="21"/>
                    </w:rPr>
                  </w:pPr>
                </w:p>
              </w:tc>
              <w:tc>
                <w:tcPr>
                  <w:tcW w:w="1183" w:type="pct"/>
                  <w:vAlign w:val="center"/>
                </w:tcPr>
                <w:p>
                  <w:pPr>
                    <w:jc w:val="center"/>
                    <w:rPr>
                      <w:bCs/>
                      <w:color w:val="000000"/>
                      <w:szCs w:val="21"/>
                    </w:rPr>
                  </w:pPr>
                </w:p>
              </w:tc>
              <w:tc>
                <w:tcPr>
                  <w:tcW w:w="1083" w:type="pct"/>
                  <w:vAlign w:val="center"/>
                </w:tcPr>
                <w:p>
                  <w:pPr>
                    <w:jc w:val="center"/>
                    <w:rPr>
                      <w:bCs/>
                      <w:color w:val="000000"/>
                      <w:szCs w:val="21"/>
                    </w:rPr>
                  </w:pPr>
                </w:p>
              </w:tc>
              <w:tc>
                <w:tcPr>
                  <w:tcW w:w="899" w:type="pct"/>
                  <w:vAlign w:val="center"/>
                </w:tcPr>
                <w:p>
                  <w:pPr>
                    <w:jc w:val="center"/>
                    <w:rPr>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1" w:type="pct"/>
                  <w:vAlign w:val="center"/>
                </w:tcPr>
                <w:p>
                  <w:pPr>
                    <w:jc w:val="center"/>
                    <w:rPr>
                      <w:bCs/>
                      <w:color w:val="000000"/>
                      <w:szCs w:val="21"/>
                    </w:rPr>
                  </w:pPr>
                  <w:r>
                    <w:rPr>
                      <w:rFonts w:hint="eastAsia"/>
                      <w:bCs/>
                      <w:color w:val="000000"/>
                      <w:szCs w:val="21"/>
                    </w:rPr>
                    <w:t>备注</w:t>
                  </w:r>
                </w:p>
              </w:tc>
              <w:tc>
                <w:tcPr>
                  <w:tcW w:w="4469" w:type="pct"/>
                  <w:gridSpan w:val="4"/>
                  <w:vAlign w:val="center"/>
                </w:tcPr>
                <w:p>
                  <w:pPr>
                    <w:jc w:val="center"/>
                    <w:rPr>
                      <w:bCs/>
                      <w:color w:val="000000"/>
                      <w:szCs w:val="21"/>
                    </w:rPr>
                  </w:pPr>
                  <w:r>
                    <w:rPr>
                      <w:bCs/>
                      <w:color w:val="000000"/>
                      <w:szCs w:val="21"/>
                    </w:rPr>
                    <w:t>本项目所使用的</w:t>
                  </w:r>
                  <w:r>
                    <w:rPr>
                      <w:rFonts w:hint="eastAsia"/>
                      <w:bCs/>
                      <w:color w:val="000000"/>
                      <w:szCs w:val="21"/>
                    </w:rPr>
                    <w:t>树脂颗粒均为原生</w:t>
                  </w:r>
                  <w:r>
                    <w:rPr>
                      <w:bCs/>
                      <w:color w:val="000000"/>
                      <w:szCs w:val="21"/>
                    </w:rPr>
                    <w:t>纯料</w:t>
                  </w:r>
                  <w:r>
                    <w:rPr>
                      <w:rFonts w:hint="eastAsia"/>
                      <w:bCs/>
                      <w:color w:val="000000"/>
                      <w:szCs w:val="21"/>
                    </w:rPr>
                    <w:t>树脂</w:t>
                  </w:r>
                  <w:r>
                    <w:rPr>
                      <w:bCs/>
                      <w:color w:val="000000"/>
                      <w:szCs w:val="21"/>
                    </w:rPr>
                    <w:t>粒，非再生塑胶粒。</w:t>
                  </w:r>
                </w:p>
              </w:tc>
            </w:tr>
          </w:tbl>
          <w:p>
            <w:pPr>
              <w:numPr>
                <w:ilvl w:val="0"/>
                <w:numId w:val="3"/>
              </w:numPr>
              <w:adjustRightInd w:val="0"/>
              <w:snapToGrid w:val="0"/>
              <w:spacing w:line="360" w:lineRule="auto"/>
              <w:ind w:firstLine="480" w:firstLineChars="200"/>
              <w:rPr>
                <w:color w:val="000000"/>
                <w:kern w:val="21"/>
                <w:sz w:val="24"/>
              </w:rPr>
            </w:pPr>
            <w:bookmarkStart w:id="20" w:name="_Toc13619_WPSOffice_Level3"/>
            <w:bookmarkStart w:id="21" w:name="_Toc31618_WPSOffice_Level2"/>
            <w:r>
              <w:rPr>
                <w:rFonts w:hint="eastAsia"/>
                <w:color w:val="000000"/>
                <w:kern w:val="21"/>
                <w:sz w:val="24"/>
              </w:rPr>
              <w:t>主要原辅材料特性：</w:t>
            </w:r>
          </w:p>
          <w:p>
            <w:pPr>
              <w:adjustRightInd w:val="0"/>
              <w:snapToGrid w:val="0"/>
              <w:ind w:firstLine="420"/>
              <w:jc w:val="center"/>
              <w:rPr>
                <w:b/>
                <w:color w:val="000000"/>
              </w:rPr>
            </w:pPr>
            <w:r>
              <w:rPr>
                <w:b/>
                <w:color w:val="000000"/>
              </w:rPr>
              <w:t>表</w:t>
            </w:r>
            <w:r>
              <w:rPr>
                <w:rFonts w:hint="eastAsia"/>
                <w:b/>
                <w:color w:val="000000"/>
              </w:rPr>
              <w:t>2.</w:t>
            </w:r>
            <w:r>
              <w:rPr>
                <w:b/>
                <w:color w:val="000000"/>
              </w:rPr>
              <w:t>5</w:t>
            </w:r>
            <w:r>
              <w:rPr>
                <w:rFonts w:hint="eastAsia"/>
                <w:b/>
                <w:color w:val="000000"/>
              </w:rPr>
              <w:t>-2</w:t>
            </w:r>
            <w:r>
              <w:rPr>
                <w:b/>
                <w:color w:val="000000"/>
              </w:rPr>
              <w:t xml:space="preserve">  主要原辅材料</w:t>
            </w:r>
            <w:r>
              <w:rPr>
                <w:rFonts w:hint="eastAsia"/>
                <w:b/>
                <w:color w:val="000000"/>
              </w:rPr>
              <w:t>性质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424"/>
              <w:gridCol w:w="983"/>
              <w:gridCol w:w="6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spacing w:line="340" w:lineRule="exact"/>
                    <w:jc w:val="center"/>
                    <w:rPr>
                      <w:b/>
                      <w:color w:val="000000"/>
                      <w:szCs w:val="21"/>
                    </w:rPr>
                  </w:pPr>
                  <w:r>
                    <w:rPr>
                      <w:b/>
                      <w:color w:val="000000"/>
                      <w:szCs w:val="21"/>
                    </w:rPr>
                    <w:t>序号</w:t>
                  </w:r>
                </w:p>
              </w:tc>
              <w:tc>
                <w:tcPr>
                  <w:tcW w:w="840" w:type="pct"/>
                  <w:gridSpan w:val="2"/>
                  <w:vAlign w:val="center"/>
                </w:tcPr>
                <w:p>
                  <w:pPr>
                    <w:spacing w:line="340" w:lineRule="exact"/>
                    <w:jc w:val="center"/>
                    <w:rPr>
                      <w:b/>
                      <w:color w:val="000000"/>
                      <w:szCs w:val="21"/>
                    </w:rPr>
                  </w:pPr>
                  <w:r>
                    <w:rPr>
                      <w:b/>
                      <w:color w:val="000000"/>
                      <w:szCs w:val="21"/>
                    </w:rPr>
                    <w:t>原料名称</w:t>
                  </w:r>
                </w:p>
              </w:tc>
              <w:tc>
                <w:tcPr>
                  <w:tcW w:w="3718" w:type="pct"/>
                  <w:vAlign w:val="center"/>
                </w:tcPr>
                <w:p>
                  <w:pPr>
                    <w:spacing w:line="340" w:lineRule="exact"/>
                    <w:jc w:val="center"/>
                    <w:rPr>
                      <w:b/>
                      <w:color w:val="000000"/>
                      <w:szCs w:val="21"/>
                    </w:rPr>
                  </w:pPr>
                  <w:r>
                    <w:rPr>
                      <w:b/>
                      <w:color w:val="000000"/>
                      <w:szCs w:val="21"/>
                    </w:rPr>
                    <w:t>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spacing w:line="340" w:lineRule="exact"/>
                    <w:jc w:val="center"/>
                    <w:rPr>
                      <w:bCs/>
                      <w:color w:val="000000"/>
                      <w:szCs w:val="21"/>
                    </w:rPr>
                  </w:pPr>
                  <w:r>
                    <w:rPr>
                      <w:bCs/>
                      <w:color w:val="000000"/>
                      <w:szCs w:val="21"/>
                    </w:rPr>
                    <w:t>1</w:t>
                  </w:r>
                </w:p>
              </w:tc>
              <w:tc>
                <w:tcPr>
                  <w:tcW w:w="840" w:type="pct"/>
                  <w:gridSpan w:val="2"/>
                  <w:vAlign w:val="center"/>
                </w:tcPr>
                <w:p>
                  <w:pPr>
                    <w:pStyle w:val="11"/>
                    <w:adjustRightInd/>
                    <w:snapToGrid/>
                    <w:spacing w:line="340" w:lineRule="exact"/>
                    <w:rPr>
                      <w:rFonts w:ascii="Times New Roman" w:hAnsi="Times New Roman"/>
                      <w:bCs/>
                      <w:color w:val="000000"/>
                      <w:szCs w:val="21"/>
                      <w:lang w:eastAsia="zh-CN"/>
                    </w:rPr>
                  </w:pPr>
                </w:p>
              </w:tc>
              <w:tc>
                <w:tcPr>
                  <w:tcW w:w="3718" w:type="pct"/>
                  <w:vAlign w:val="center"/>
                </w:tcPr>
                <w:p>
                  <w:pPr>
                    <w:spacing w:line="340" w:lineRule="exact"/>
                    <w:jc w:val="left"/>
                    <w:rPr>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spacing w:line="340" w:lineRule="exact"/>
                    <w:jc w:val="center"/>
                    <w:rPr>
                      <w:bCs/>
                      <w:color w:val="000000"/>
                      <w:szCs w:val="21"/>
                    </w:rPr>
                  </w:pPr>
                  <w:r>
                    <w:rPr>
                      <w:rFonts w:hint="eastAsia"/>
                      <w:bCs/>
                      <w:color w:val="000000"/>
                      <w:szCs w:val="21"/>
                    </w:rPr>
                    <w:t>2</w:t>
                  </w:r>
                </w:p>
              </w:tc>
              <w:tc>
                <w:tcPr>
                  <w:tcW w:w="840" w:type="pct"/>
                  <w:gridSpan w:val="2"/>
                  <w:vAlign w:val="center"/>
                </w:tcPr>
                <w:p>
                  <w:pPr>
                    <w:pStyle w:val="11"/>
                    <w:adjustRightInd/>
                    <w:snapToGrid/>
                    <w:spacing w:line="340" w:lineRule="exact"/>
                    <w:rPr>
                      <w:rFonts w:ascii="Times New Roman" w:hAnsi="Times New Roman"/>
                      <w:bCs/>
                      <w:color w:val="000000"/>
                      <w:szCs w:val="21"/>
                    </w:rPr>
                  </w:pPr>
                </w:p>
              </w:tc>
              <w:tc>
                <w:tcPr>
                  <w:tcW w:w="3718" w:type="pct"/>
                  <w:vAlign w:val="center"/>
                </w:tcPr>
                <w:p>
                  <w:pPr>
                    <w:spacing w:line="340" w:lineRule="exact"/>
                    <w:jc w:val="left"/>
                    <w:rPr>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jc w:val="center"/>
                    <w:rPr>
                      <w:bCs/>
                      <w:color w:val="000000"/>
                      <w:szCs w:val="21"/>
                    </w:rPr>
                  </w:pPr>
                  <w:r>
                    <w:rPr>
                      <w:rFonts w:hint="eastAsia"/>
                      <w:bCs/>
                      <w:color w:val="000000"/>
                      <w:szCs w:val="21"/>
                    </w:rPr>
                    <w:t>3</w:t>
                  </w:r>
                </w:p>
              </w:tc>
              <w:tc>
                <w:tcPr>
                  <w:tcW w:w="840" w:type="pct"/>
                  <w:gridSpan w:val="2"/>
                  <w:vAlign w:val="center"/>
                </w:tcPr>
                <w:p>
                  <w:pPr>
                    <w:pStyle w:val="11"/>
                    <w:adjustRightInd/>
                    <w:snapToGrid/>
                    <w:spacing w:line="240" w:lineRule="auto"/>
                    <w:rPr>
                      <w:rFonts w:ascii="Times New Roman" w:hAnsi="Times New Roman"/>
                      <w:color w:val="000000"/>
                      <w:lang w:eastAsia="zh-CN"/>
                    </w:rPr>
                  </w:pPr>
                </w:p>
              </w:tc>
              <w:tc>
                <w:tcPr>
                  <w:tcW w:w="3718" w:type="pct"/>
                </w:tcPr>
                <w:p>
                  <w:pPr>
                    <w:spacing w:line="340" w:lineRule="exact"/>
                    <w:jc w:val="left"/>
                    <w:rPr>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jc w:val="center"/>
                    <w:rPr>
                      <w:bCs/>
                      <w:color w:val="000000"/>
                      <w:szCs w:val="21"/>
                    </w:rPr>
                  </w:pPr>
                  <w:r>
                    <w:rPr>
                      <w:rFonts w:hint="eastAsia"/>
                      <w:bCs/>
                      <w:color w:val="000000"/>
                      <w:szCs w:val="21"/>
                    </w:rPr>
                    <w:t>4</w:t>
                  </w:r>
                </w:p>
              </w:tc>
              <w:tc>
                <w:tcPr>
                  <w:tcW w:w="840" w:type="pct"/>
                  <w:gridSpan w:val="2"/>
                  <w:vAlign w:val="center"/>
                </w:tcPr>
                <w:p>
                  <w:pPr>
                    <w:pStyle w:val="11"/>
                    <w:adjustRightInd/>
                    <w:snapToGrid/>
                    <w:spacing w:line="240" w:lineRule="auto"/>
                    <w:rPr>
                      <w:color w:val="000000"/>
                      <w:lang w:eastAsia="zh-CN"/>
                    </w:rPr>
                  </w:pPr>
                </w:p>
              </w:tc>
              <w:tc>
                <w:tcPr>
                  <w:tcW w:w="3718" w:type="pct"/>
                </w:tcPr>
                <w:p>
                  <w:pPr>
                    <w:spacing w:line="340" w:lineRule="exact"/>
                    <w:jc w:val="left"/>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spacing w:line="340" w:lineRule="exact"/>
                    <w:jc w:val="center"/>
                    <w:rPr>
                      <w:bCs/>
                      <w:color w:val="000000"/>
                      <w:szCs w:val="21"/>
                    </w:rPr>
                  </w:pPr>
                  <w:r>
                    <w:rPr>
                      <w:rFonts w:hint="eastAsia"/>
                      <w:bCs/>
                      <w:color w:val="000000"/>
                      <w:szCs w:val="21"/>
                    </w:rPr>
                    <w:t>4</w:t>
                  </w:r>
                </w:p>
              </w:tc>
              <w:tc>
                <w:tcPr>
                  <w:tcW w:w="840" w:type="pct"/>
                  <w:gridSpan w:val="2"/>
                  <w:vAlign w:val="center"/>
                </w:tcPr>
                <w:p>
                  <w:pPr>
                    <w:pStyle w:val="11"/>
                    <w:adjustRightInd/>
                    <w:snapToGrid/>
                    <w:spacing w:line="340" w:lineRule="exact"/>
                    <w:rPr>
                      <w:rFonts w:ascii="Times New Roman" w:hAnsi="Times New Roman"/>
                      <w:color w:val="000000"/>
                      <w:lang w:eastAsia="zh-CN"/>
                    </w:rPr>
                  </w:pPr>
                </w:p>
              </w:tc>
              <w:tc>
                <w:tcPr>
                  <w:tcW w:w="3718" w:type="pct"/>
                  <w:vAlign w:val="center"/>
                </w:tcPr>
                <w:p>
                  <w:pPr>
                    <w:spacing w:line="340" w:lineRule="exact"/>
                    <w:jc w:val="left"/>
                    <w:rPr>
                      <w:color w:val="000000"/>
                      <w:shd w:val="clear" w:color="auto" w:fill="FFFFFF"/>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spacing w:line="340" w:lineRule="exact"/>
                    <w:jc w:val="center"/>
                    <w:rPr>
                      <w:bCs/>
                      <w:color w:val="000000"/>
                      <w:szCs w:val="21"/>
                    </w:rPr>
                  </w:pPr>
                  <w:r>
                    <w:rPr>
                      <w:rFonts w:hint="eastAsia"/>
                      <w:bCs/>
                      <w:color w:val="000000"/>
                      <w:szCs w:val="21"/>
                    </w:rPr>
                    <w:t>4</w:t>
                  </w:r>
                </w:p>
              </w:tc>
              <w:tc>
                <w:tcPr>
                  <w:tcW w:w="840" w:type="pct"/>
                  <w:gridSpan w:val="2"/>
                  <w:vAlign w:val="center"/>
                </w:tcPr>
                <w:p>
                  <w:pPr>
                    <w:pStyle w:val="11"/>
                    <w:adjustRightInd/>
                    <w:snapToGrid/>
                    <w:spacing w:line="340" w:lineRule="exact"/>
                    <w:rPr>
                      <w:rFonts w:ascii="Times New Roman" w:hAnsi="Times New Roman"/>
                      <w:color w:val="000000"/>
                      <w:lang w:eastAsia="zh-CN"/>
                    </w:rPr>
                  </w:pPr>
                </w:p>
              </w:tc>
              <w:tc>
                <w:tcPr>
                  <w:tcW w:w="3718" w:type="pct"/>
                </w:tcPr>
                <w:p>
                  <w:pPr>
                    <w:spacing w:line="340" w:lineRule="exact"/>
                    <w:jc w:val="left"/>
                    <w:rPr>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spacing w:line="340" w:lineRule="exact"/>
                    <w:jc w:val="center"/>
                    <w:rPr>
                      <w:bCs/>
                      <w:color w:val="000000"/>
                      <w:szCs w:val="21"/>
                    </w:rPr>
                  </w:pPr>
                  <w:r>
                    <w:rPr>
                      <w:rFonts w:hint="eastAsia"/>
                      <w:bCs/>
                      <w:color w:val="000000"/>
                      <w:szCs w:val="21"/>
                    </w:rPr>
                    <w:t>5</w:t>
                  </w:r>
                </w:p>
              </w:tc>
              <w:tc>
                <w:tcPr>
                  <w:tcW w:w="840" w:type="pct"/>
                  <w:gridSpan w:val="2"/>
                  <w:vAlign w:val="center"/>
                </w:tcPr>
                <w:p>
                  <w:pPr>
                    <w:pStyle w:val="11"/>
                    <w:adjustRightInd/>
                    <w:snapToGrid/>
                    <w:spacing w:line="340" w:lineRule="exact"/>
                    <w:rPr>
                      <w:rFonts w:ascii="Times New Roman" w:hAnsi="Times New Roman"/>
                      <w:color w:val="000000"/>
                      <w:lang w:eastAsia="zh-CN"/>
                    </w:rPr>
                  </w:pPr>
                </w:p>
              </w:tc>
              <w:tc>
                <w:tcPr>
                  <w:tcW w:w="3718" w:type="pct"/>
                </w:tcPr>
                <w:p>
                  <w:pPr>
                    <w:spacing w:line="340" w:lineRule="exact"/>
                    <w:jc w:val="left"/>
                    <w:rPr>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spacing w:line="340" w:lineRule="exact"/>
                    <w:jc w:val="center"/>
                    <w:rPr>
                      <w:bCs/>
                      <w:color w:val="000000"/>
                      <w:szCs w:val="21"/>
                    </w:rPr>
                  </w:pPr>
                  <w:r>
                    <w:rPr>
                      <w:rFonts w:hint="eastAsia"/>
                      <w:bCs/>
                      <w:color w:val="000000"/>
                      <w:szCs w:val="21"/>
                    </w:rPr>
                    <w:t>6</w:t>
                  </w:r>
                </w:p>
              </w:tc>
              <w:tc>
                <w:tcPr>
                  <w:tcW w:w="253" w:type="pct"/>
                  <w:vMerge w:val="restart"/>
                  <w:vAlign w:val="center"/>
                </w:tcPr>
                <w:p>
                  <w:pPr>
                    <w:pStyle w:val="11"/>
                    <w:adjustRightInd/>
                    <w:snapToGrid/>
                    <w:spacing w:line="340" w:lineRule="exact"/>
                    <w:rPr>
                      <w:rFonts w:ascii="Times New Roman" w:hAnsi="Times New Roman"/>
                      <w:color w:val="000000"/>
                      <w:lang w:eastAsia="zh-CN"/>
                    </w:rPr>
                  </w:pPr>
                </w:p>
              </w:tc>
              <w:tc>
                <w:tcPr>
                  <w:tcW w:w="587" w:type="pct"/>
                  <w:vAlign w:val="center"/>
                </w:tcPr>
                <w:p>
                  <w:pPr>
                    <w:pStyle w:val="11"/>
                    <w:adjustRightInd/>
                    <w:snapToGrid/>
                    <w:spacing w:line="340" w:lineRule="exact"/>
                    <w:rPr>
                      <w:rFonts w:ascii="Times New Roman" w:hAnsi="Times New Roman"/>
                      <w:color w:val="000000"/>
                      <w:lang w:eastAsia="zh-CN"/>
                    </w:rPr>
                  </w:pPr>
                </w:p>
              </w:tc>
              <w:tc>
                <w:tcPr>
                  <w:tcW w:w="3718" w:type="pct"/>
                  <w:vAlign w:val="center"/>
                </w:tcPr>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Align w:val="center"/>
                </w:tcPr>
                <w:p>
                  <w:pPr>
                    <w:spacing w:line="340" w:lineRule="exact"/>
                    <w:jc w:val="center"/>
                    <w:rPr>
                      <w:bCs/>
                      <w:color w:val="000000"/>
                      <w:szCs w:val="21"/>
                    </w:rPr>
                  </w:pPr>
                  <w:r>
                    <w:rPr>
                      <w:rFonts w:hint="eastAsia"/>
                      <w:bCs/>
                      <w:color w:val="000000"/>
                      <w:szCs w:val="21"/>
                    </w:rPr>
                    <w:t>7</w:t>
                  </w:r>
                </w:p>
              </w:tc>
              <w:tc>
                <w:tcPr>
                  <w:tcW w:w="253" w:type="pct"/>
                  <w:vMerge w:val="continue"/>
                  <w:vAlign w:val="center"/>
                </w:tcPr>
                <w:p>
                  <w:pPr>
                    <w:pStyle w:val="11"/>
                    <w:adjustRightInd/>
                    <w:snapToGrid/>
                    <w:spacing w:line="340" w:lineRule="exact"/>
                    <w:rPr>
                      <w:rFonts w:ascii="Times New Roman" w:hAnsi="Times New Roman"/>
                      <w:color w:val="000000"/>
                      <w:lang w:eastAsia="zh-CN"/>
                    </w:rPr>
                  </w:pPr>
                </w:p>
              </w:tc>
              <w:tc>
                <w:tcPr>
                  <w:tcW w:w="587" w:type="pct"/>
                  <w:vAlign w:val="center"/>
                </w:tcPr>
                <w:p>
                  <w:pPr>
                    <w:pStyle w:val="11"/>
                    <w:spacing w:line="340" w:lineRule="exact"/>
                    <w:rPr>
                      <w:rFonts w:ascii="Times New Roman" w:hAnsi="Times New Roman"/>
                      <w:color w:val="000000"/>
                      <w:lang w:eastAsia="zh-CN"/>
                    </w:rPr>
                  </w:pPr>
                </w:p>
              </w:tc>
              <w:tc>
                <w:tcPr>
                  <w:tcW w:w="3718" w:type="pct"/>
                  <w:vAlign w:val="center"/>
                </w:tcPr>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2" w:type="pct"/>
                  <w:gridSpan w:val="3"/>
                  <w:vAlign w:val="center"/>
                </w:tcPr>
                <w:p>
                  <w:pPr>
                    <w:pStyle w:val="11"/>
                    <w:spacing w:line="340" w:lineRule="exact"/>
                    <w:rPr>
                      <w:rFonts w:ascii="Times New Roman" w:hAnsi="Times New Roman"/>
                      <w:color w:val="000000"/>
                      <w:lang w:eastAsia="zh-CN"/>
                    </w:rPr>
                  </w:pPr>
                </w:p>
              </w:tc>
              <w:tc>
                <w:tcPr>
                  <w:tcW w:w="3718" w:type="pct"/>
                  <w:vAlign w:val="center"/>
                </w:tcPr>
                <w:p>
                  <w:pPr>
                    <w:jc w:val="center"/>
                    <w:rPr>
                      <w:color w:val="000000"/>
                      <w:szCs w:val="21"/>
                    </w:rPr>
                  </w:pPr>
                </w:p>
              </w:tc>
            </w:tr>
          </w:tbl>
          <w:p>
            <w:pPr>
              <w:adjustRightInd w:val="0"/>
              <w:snapToGrid w:val="0"/>
              <w:spacing w:line="360" w:lineRule="auto"/>
              <w:rPr>
                <w:b/>
                <w:bCs/>
                <w:color w:val="000000"/>
              </w:rPr>
            </w:pPr>
            <w:r>
              <w:rPr>
                <w:rFonts w:hint="eastAsia"/>
                <w:b/>
                <w:bCs/>
                <w:color w:val="000000"/>
              </w:rPr>
              <w:t>2.</w:t>
            </w:r>
            <w:r>
              <w:rPr>
                <w:b/>
                <w:bCs/>
                <w:color w:val="000000"/>
              </w:rPr>
              <w:t>6主要生产设备</w:t>
            </w:r>
            <w:bookmarkEnd w:id="20"/>
            <w:bookmarkEnd w:id="21"/>
          </w:p>
          <w:p>
            <w:pPr>
              <w:adjustRightInd w:val="0"/>
              <w:snapToGrid w:val="0"/>
              <w:spacing w:line="360" w:lineRule="auto"/>
              <w:ind w:firstLine="480" w:firstLineChars="200"/>
              <w:rPr>
                <w:color w:val="000000"/>
                <w:sz w:val="24"/>
              </w:rPr>
            </w:pPr>
            <w:r>
              <w:rPr>
                <w:color w:val="000000"/>
                <w:sz w:val="24"/>
              </w:rPr>
              <w:t>项目主要生产设备属一般常规设备，不属于国家明令淘汰设备，详见表</w:t>
            </w:r>
            <w:r>
              <w:rPr>
                <w:rFonts w:hint="eastAsia"/>
                <w:color w:val="000000"/>
                <w:sz w:val="24"/>
              </w:rPr>
              <w:t>2.</w:t>
            </w:r>
            <w:r>
              <w:rPr>
                <w:color w:val="000000"/>
                <w:sz w:val="24"/>
              </w:rPr>
              <w:t>6</w:t>
            </w:r>
            <w:r>
              <w:rPr>
                <w:rFonts w:hint="eastAsia"/>
                <w:color w:val="000000"/>
                <w:sz w:val="24"/>
              </w:rPr>
              <w:t>.1</w:t>
            </w:r>
            <w:r>
              <w:rPr>
                <w:color w:val="000000"/>
                <w:sz w:val="24"/>
              </w:rPr>
              <w:t>。</w:t>
            </w:r>
          </w:p>
          <w:p>
            <w:pPr>
              <w:adjustRightInd w:val="0"/>
              <w:snapToGrid w:val="0"/>
              <w:jc w:val="center"/>
              <w:rPr>
                <w:b/>
                <w:color w:val="000000"/>
              </w:rPr>
            </w:pPr>
            <w:bookmarkStart w:id="22" w:name="_Toc6740_WPSOffice_Level2"/>
            <w:r>
              <w:rPr>
                <w:b/>
                <w:color w:val="000000"/>
              </w:rPr>
              <w:t>表</w:t>
            </w:r>
            <w:r>
              <w:rPr>
                <w:rFonts w:hint="eastAsia"/>
                <w:b/>
                <w:color w:val="000000"/>
              </w:rPr>
              <w:t>2.</w:t>
            </w:r>
            <w:r>
              <w:rPr>
                <w:b/>
                <w:color w:val="000000"/>
              </w:rPr>
              <w:t>6</w:t>
            </w:r>
            <w:r>
              <w:rPr>
                <w:rFonts w:hint="eastAsia"/>
                <w:b/>
                <w:color w:val="000000"/>
              </w:rPr>
              <w:t>.1</w:t>
            </w:r>
            <w:r>
              <w:rPr>
                <w:b/>
                <w:color w:val="000000"/>
              </w:rPr>
              <w:t xml:space="preserve"> 主要生产设备一览表</w:t>
            </w:r>
            <w:bookmarkEnd w:id="22"/>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1980"/>
              <w:gridCol w:w="2256"/>
              <w:gridCol w:w="14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pPr>
                    <w:adjustRightInd w:val="0"/>
                    <w:snapToGrid w:val="0"/>
                    <w:jc w:val="center"/>
                    <w:rPr>
                      <w:color w:val="000000"/>
                      <w:szCs w:val="21"/>
                    </w:rPr>
                  </w:pPr>
                  <w:bookmarkStart w:id="23" w:name="_Hlk117194778"/>
                  <w:bookmarkStart w:id="24" w:name="_Toc9394_WPSOffice_Level2"/>
                  <w:bookmarkStart w:id="25" w:name="_Toc29427_WPSOffice_Level3"/>
                  <w:r>
                    <w:rPr>
                      <w:rFonts w:hAnsi="宋体"/>
                      <w:color w:val="000000"/>
                      <w:szCs w:val="21"/>
                    </w:rPr>
                    <w:t>设备</w:t>
                  </w:r>
                </w:p>
              </w:tc>
              <w:tc>
                <w:tcPr>
                  <w:tcW w:w="1182" w:type="pct"/>
                  <w:vAlign w:val="center"/>
                </w:tcPr>
                <w:p>
                  <w:pPr>
                    <w:adjustRightInd w:val="0"/>
                    <w:snapToGrid w:val="0"/>
                    <w:jc w:val="center"/>
                    <w:rPr>
                      <w:color w:val="000000"/>
                      <w:szCs w:val="21"/>
                    </w:rPr>
                  </w:pPr>
                  <w:r>
                    <w:rPr>
                      <w:rFonts w:hAnsi="宋体"/>
                      <w:color w:val="000000"/>
                      <w:szCs w:val="21"/>
                    </w:rPr>
                    <w:t>设备型号</w:t>
                  </w:r>
                </w:p>
              </w:tc>
              <w:tc>
                <w:tcPr>
                  <w:tcW w:w="1347" w:type="pct"/>
                  <w:vAlign w:val="center"/>
                </w:tcPr>
                <w:p>
                  <w:pPr>
                    <w:adjustRightInd w:val="0"/>
                    <w:snapToGrid w:val="0"/>
                    <w:jc w:val="center"/>
                    <w:rPr>
                      <w:color w:val="000000"/>
                      <w:szCs w:val="21"/>
                    </w:rPr>
                  </w:pPr>
                  <w:r>
                    <w:rPr>
                      <w:rFonts w:hAnsi="宋体"/>
                      <w:color w:val="000000"/>
                      <w:szCs w:val="21"/>
                    </w:rPr>
                    <w:t>数量（台）</w:t>
                  </w:r>
                </w:p>
              </w:tc>
              <w:tc>
                <w:tcPr>
                  <w:tcW w:w="871" w:type="pct"/>
                  <w:vAlign w:val="center"/>
                </w:tcPr>
                <w:p>
                  <w:pPr>
                    <w:adjustRightInd w:val="0"/>
                    <w:snapToGrid w:val="0"/>
                    <w:jc w:val="center"/>
                    <w:rPr>
                      <w:color w:val="000000"/>
                      <w:szCs w:val="21"/>
                    </w:rPr>
                  </w:pPr>
                  <w:r>
                    <w:rPr>
                      <w:rFonts w:hint="eastAsia"/>
                      <w:color w:val="000000"/>
                      <w:szCs w:val="21"/>
                    </w:rPr>
                    <w:t>所在区域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pPr>
                    <w:adjustRightInd w:val="0"/>
                    <w:snapToGrid w:val="0"/>
                    <w:jc w:val="center"/>
                    <w:rPr>
                      <w:color w:val="000000"/>
                      <w:szCs w:val="21"/>
                    </w:rPr>
                  </w:pPr>
                </w:p>
              </w:tc>
              <w:tc>
                <w:tcPr>
                  <w:tcW w:w="1182" w:type="pct"/>
                  <w:vAlign w:val="center"/>
                </w:tcPr>
                <w:p>
                  <w:pPr>
                    <w:jc w:val="center"/>
                    <w:textAlignment w:val="baseline"/>
                    <w:rPr>
                      <w:color w:val="000000"/>
                      <w:szCs w:val="21"/>
                    </w:rPr>
                  </w:pPr>
                </w:p>
              </w:tc>
              <w:tc>
                <w:tcPr>
                  <w:tcW w:w="1347" w:type="pct"/>
                  <w:vAlign w:val="center"/>
                </w:tcPr>
                <w:p>
                  <w:pPr>
                    <w:adjustRightInd w:val="0"/>
                    <w:snapToGrid w:val="0"/>
                    <w:jc w:val="center"/>
                    <w:rPr>
                      <w:color w:val="000000"/>
                      <w:szCs w:val="21"/>
                    </w:rPr>
                  </w:pPr>
                </w:p>
              </w:tc>
              <w:tc>
                <w:tcPr>
                  <w:tcW w:w="871" w:type="pct"/>
                  <w:vMerge w:val="restart"/>
                  <w:vAlign w:val="center"/>
                </w:tcPr>
                <w:p>
                  <w:pPr>
                    <w:adjustRightInd w:val="0"/>
                    <w:snapToGrid w:val="0"/>
                    <w:jc w:val="center"/>
                    <w:rPr>
                      <w:color w:val="000000"/>
                      <w:szCs w:val="21"/>
                    </w:rPr>
                  </w:pPr>
                  <w:r>
                    <w:rPr>
                      <w:rFonts w:hint="eastAsia"/>
                      <w:color w:val="000000"/>
                      <w:szCs w:val="21"/>
                    </w:rPr>
                    <w:t>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pPr>
                    <w:adjustRightInd w:val="0"/>
                    <w:snapToGrid w:val="0"/>
                    <w:jc w:val="center"/>
                    <w:rPr>
                      <w:color w:val="000000"/>
                    </w:rPr>
                  </w:pPr>
                </w:p>
              </w:tc>
              <w:tc>
                <w:tcPr>
                  <w:tcW w:w="1182" w:type="pct"/>
                  <w:vAlign w:val="center"/>
                </w:tcPr>
                <w:p>
                  <w:pPr>
                    <w:adjustRightInd w:val="0"/>
                    <w:snapToGrid w:val="0"/>
                    <w:jc w:val="center"/>
                    <w:rPr>
                      <w:color w:val="000000"/>
                      <w:szCs w:val="21"/>
                    </w:rPr>
                  </w:pPr>
                </w:p>
              </w:tc>
              <w:tc>
                <w:tcPr>
                  <w:tcW w:w="1347" w:type="pct"/>
                  <w:vAlign w:val="center"/>
                </w:tcPr>
                <w:p>
                  <w:pPr>
                    <w:adjustRightInd w:val="0"/>
                    <w:snapToGrid w:val="0"/>
                    <w:jc w:val="center"/>
                    <w:rPr>
                      <w:color w:val="000000"/>
                      <w:szCs w:val="21"/>
                    </w:rPr>
                  </w:pPr>
                </w:p>
              </w:tc>
              <w:tc>
                <w:tcPr>
                  <w:tcW w:w="871" w:type="pct"/>
                  <w:vMerge w:val="continue"/>
                  <w:vAlign w:val="center"/>
                </w:tcPr>
                <w:p>
                  <w:pPr>
                    <w:adjustRightInd w:val="0"/>
                    <w:snapToGrid w:val="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pPr>
                    <w:adjustRightInd w:val="0"/>
                    <w:snapToGrid w:val="0"/>
                    <w:jc w:val="center"/>
                    <w:rPr>
                      <w:color w:val="000000"/>
                      <w:szCs w:val="21"/>
                    </w:rPr>
                  </w:pPr>
                </w:p>
              </w:tc>
              <w:tc>
                <w:tcPr>
                  <w:tcW w:w="1182" w:type="pct"/>
                  <w:vAlign w:val="center"/>
                </w:tcPr>
                <w:p>
                  <w:pPr>
                    <w:adjustRightInd w:val="0"/>
                    <w:snapToGrid w:val="0"/>
                    <w:jc w:val="center"/>
                    <w:rPr>
                      <w:color w:val="000000"/>
                      <w:szCs w:val="21"/>
                    </w:rPr>
                  </w:pPr>
                </w:p>
              </w:tc>
              <w:tc>
                <w:tcPr>
                  <w:tcW w:w="1347" w:type="pct"/>
                  <w:vAlign w:val="center"/>
                </w:tcPr>
                <w:p>
                  <w:pPr>
                    <w:adjustRightInd w:val="0"/>
                    <w:snapToGrid w:val="0"/>
                    <w:jc w:val="center"/>
                    <w:rPr>
                      <w:color w:val="000000"/>
                      <w:szCs w:val="21"/>
                    </w:rPr>
                  </w:pPr>
                </w:p>
              </w:tc>
              <w:tc>
                <w:tcPr>
                  <w:tcW w:w="871" w:type="pct"/>
                  <w:vMerge w:val="continue"/>
                  <w:vAlign w:val="center"/>
                </w:tcPr>
                <w:p>
                  <w:pPr>
                    <w:adjustRightInd w:val="0"/>
                    <w:snapToGrid w:val="0"/>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0" w:type="pct"/>
                  <w:vAlign w:val="center"/>
                </w:tcPr>
                <w:p>
                  <w:pPr>
                    <w:adjustRightInd w:val="0"/>
                    <w:snapToGrid w:val="0"/>
                    <w:jc w:val="center"/>
                    <w:rPr>
                      <w:color w:val="000000"/>
                      <w:szCs w:val="21"/>
                    </w:rPr>
                  </w:pPr>
                </w:p>
              </w:tc>
              <w:tc>
                <w:tcPr>
                  <w:tcW w:w="1182" w:type="pct"/>
                  <w:vAlign w:val="center"/>
                </w:tcPr>
                <w:p>
                  <w:pPr>
                    <w:adjustRightInd w:val="0"/>
                    <w:snapToGrid w:val="0"/>
                    <w:jc w:val="center"/>
                    <w:rPr>
                      <w:color w:val="000000"/>
                      <w:szCs w:val="21"/>
                    </w:rPr>
                  </w:pPr>
                </w:p>
              </w:tc>
              <w:tc>
                <w:tcPr>
                  <w:tcW w:w="1347" w:type="pct"/>
                  <w:vAlign w:val="center"/>
                </w:tcPr>
                <w:p>
                  <w:pPr>
                    <w:adjustRightInd w:val="0"/>
                    <w:snapToGrid w:val="0"/>
                    <w:jc w:val="center"/>
                    <w:rPr>
                      <w:color w:val="000000"/>
                      <w:szCs w:val="21"/>
                    </w:rPr>
                  </w:pPr>
                </w:p>
              </w:tc>
              <w:tc>
                <w:tcPr>
                  <w:tcW w:w="871" w:type="pct"/>
                  <w:vMerge w:val="continue"/>
                  <w:vAlign w:val="center"/>
                </w:tcPr>
                <w:p>
                  <w:pPr>
                    <w:adjustRightInd w:val="0"/>
                    <w:snapToGrid w:val="0"/>
                    <w:jc w:val="center"/>
                    <w:rPr>
                      <w:color w:val="000000"/>
                      <w:szCs w:val="21"/>
                    </w:rPr>
                  </w:pPr>
                </w:p>
              </w:tc>
            </w:tr>
            <w:bookmarkEnd w:id="23"/>
          </w:tbl>
          <w:p>
            <w:pPr>
              <w:adjustRightInd w:val="0"/>
              <w:snapToGrid w:val="0"/>
              <w:spacing w:line="360" w:lineRule="auto"/>
              <w:rPr>
                <w:b/>
                <w:bCs/>
                <w:color w:val="000000"/>
              </w:rPr>
            </w:pPr>
            <w:r>
              <w:rPr>
                <w:rFonts w:hint="eastAsia"/>
                <w:b/>
                <w:bCs/>
                <w:color w:val="000000"/>
              </w:rPr>
              <w:t>2.</w:t>
            </w:r>
            <w:r>
              <w:rPr>
                <w:b/>
                <w:bCs/>
                <w:color w:val="000000"/>
              </w:rPr>
              <w:t>7水平衡</w:t>
            </w:r>
            <w:bookmarkEnd w:id="24"/>
            <w:bookmarkEnd w:id="25"/>
          </w:p>
          <w:p>
            <w:pPr>
              <w:adjustRightInd w:val="0"/>
              <w:snapToGrid w:val="0"/>
              <w:spacing w:line="360" w:lineRule="auto"/>
              <w:ind w:firstLine="480" w:firstLineChars="200"/>
              <w:rPr>
                <w:color w:val="000000"/>
                <w:sz w:val="24"/>
              </w:rPr>
            </w:pPr>
            <w:r>
              <w:rPr>
                <w:color w:val="000000"/>
                <w:sz w:val="24"/>
              </w:rPr>
              <w:t>（1）用水分析</w:t>
            </w:r>
          </w:p>
          <w:p>
            <w:pPr>
              <w:adjustRightInd w:val="0"/>
              <w:snapToGrid w:val="0"/>
              <w:spacing w:line="360" w:lineRule="auto"/>
              <w:ind w:firstLine="480" w:firstLineChars="200"/>
              <w:rPr>
                <w:color w:val="000000"/>
                <w:sz w:val="24"/>
              </w:rPr>
            </w:pPr>
            <w:r>
              <w:rPr>
                <w:rFonts w:hint="eastAsia"/>
                <w:color w:val="000000"/>
                <w:sz w:val="24"/>
              </w:rPr>
              <w:t>根据建设单位提供的资料，项目用水为员工生活用水和循环冷却用水。本项目职工人数1</w:t>
            </w:r>
            <w:r>
              <w:rPr>
                <w:color w:val="000000"/>
                <w:sz w:val="24"/>
              </w:rPr>
              <w:t>5</w:t>
            </w:r>
            <w:r>
              <w:rPr>
                <w:rFonts w:hint="eastAsia"/>
                <w:color w:val="000000"/>
                <w:sz w:val="24"/>
              </w:rPr>
              <w:t>人(包括生产人员、管理人员等)，均不住在厂内，根据《建筑给水排水设计规范》(GB50015-2010)车间工人的生活用水定额应根据车间性质确定，不住厂住厂员工生活用水一般宜采用30～50L/人·班，不住厂生活用水定额按50L/人·班计，年工作日按全年营业300天计，则本项目职工生活用水量约为0.</w:t>
            </w:r>
            <w:r>
              <w:rPr>
                <w:color w:val="000000"/>
                <w:sz w:val="24"/>
              </w:rPr>
              <w:t>75</w:t>
            </w:r>
            <w:r>
              <w:rPr>
                <w:rFonts w:hint="eastAsia"/>
                <w:color w:val="000000"/>
                <w:sz w:val="24"/>
              </w:rPr>
              <w:t>t/d(</w:t>
            </w:r>
            <w:r>
              <w:rPr>
                <w:color w:val="000000"/>
                <w:sz w:val="24"/>
              </w:rPr>
              <w:t>225</w:t>
            </w:r>
            <w:r>
              <w:rPr>
                <w:rFonts w:hint="eastAsia"/>
                <w:color w:val="000000"/>
                <w:sz w:val="24"/>
              </w:rPr>
              <w:t>t/a)；项目冷却塔需要定期补充新鲜水量，根据设计文件冷却塔用水量分析项目冷却塔补充用水量约为200</w:t>
            </w:r>
            <w:r>
              <w:rPr>
                <w:color w:val="000000"/>
                <w:sz w:val="24"/>
              </w:rPr>
              <w:t>L</w:t>
            </w:r>
            <w:r>
              <w:rPr>
                <w:rFonts w:hint="eastAsia"/>
                <w:color w:val="000000"/>
                <w:sz w:val="24"/>
              </w:rPr>
              <w:t>/</w:t>
            </w:r>
            <w:r>
              <w:rPr>
                <w:color w:val="000000"/>
                <w:sz w:val="24"/>
              </w:rPr>
              <w:t>d</w:t>
            </w:r>
            <w:r>
              <w:rPr>
                <w:rFonts w:hint="eastAsia"/>
                <w:color w:val="000000"/>
                <w:sz w:val="24"/>
              </w:rPr>
              <w:t>（60</w:t>
            </w:r>
            <w:r>
              <w:rPr>
                <w:color w:val="000000"/>
                <w:sz w:val="24"/>
              </w:rPr>
              <w:t>t/a</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（2）排水分析</w:t>
            </w:r>
          </w:p>
          <w:p>
            <w:pPr>
              <w:adjustRightInd w:val="0"/>
              <w:snapToGrid w:val="0"/>
              <w:spacing w:line="360" w:lineRule="auto"/>
              <w:ind w:firstLine="480" w:firstLineChars="200"/>
              <w:rPr>
                <w:color w:val="000000"/>
                <w:sz w:val="24"/>
              </w:rPr>
            </w:pPr>
            <w:r>
              <w:rPr>
                <w:rFonts w:hint="eastAsia"/>
                <w:color w:val="000000"/>
                <w:sz w:val="24"/>
              </w:rPr>
              <w:t>项目冷却用水循环使用不外排；生活废水根据《室外排水设计规范》(GB 50014-2006)(2016年版)，居民生活污水定额可按用水定额的80%计算(其余20%蒸发损耗等)，则生活污水量为0.</w:t>
            </w:r>
            <w:r>
              <w:rPr>
                <w:color w:val="000000"/>
                <w:sz w:val="24"/>
              </w:rPr>
              <w:t>6</w:t>
            </w:r>
            <w:r>
              <w:rPr>
                <w:rFonts w:hint="eastAsia"/>
                <w:color w:val="000000"/>
                <w:sz w:val="24"/>
              </w:rPr>
              <w:t>t/d(</w:t>
            </w:r>
            <w:r>
              <w:rPr>
                <w:color w:val="000000"/>
                <w:sz w:val="24"/>
              </w:rPr>
              <w:t>180</w:t>
            </w:r>
            <w:r>
              <w:rPr>
                <w:rFonts w:hint="eastAsia"/>
                <w:color w:val="000000"/>
                <w:sz w:val="24"/>
              </w:rPr>
              <w:t>t/a)。</w:t>
            </w:r>
          </w:p>
          <w:p>
            <w:pPr>
              <w:adjustRightInd w:val="0"/>
              <w:snapToGrid w:val="0"/>
              <w:spacing w:line="360" w:lineRule="auto"/>
              <w:ind w:firstLine="420" w:firstLineChars="200"/>
              <w:jc w:val="center"/>
              <w:rPr>
                <w:color w:val="000000"/>
              </w:rPr>
            </w:pPr>
          </w:p>
          <w:p>
            <w:pPr>
              <w:adjustRightInd w:val="0"/>
              <w:snapToGrid w:val="0"/>
              <w:jc w:val="center"/>
              <w:rPr>
                <w:b/>
                <w:color w:val="000000"/>
              </w:rPr>
            </w:pPr>
            <w:bookmarkStart w:id="26" w:name="_Toc2275_WPSOffice_Level2"/>
            <w:r>
              <w:rPr>
                <w:b/>
                <w:color w:val="000000"/>
              </w:rPr>
              <w:t>图</w:t>
            </w:r>
            <w:r>
              <w:rPr>
                <w:rFonts w:hint="eastAsia"/>
                <w:b/>
                <w:color w:val="000000"/>
              </w:rPr>
              <w:t>2.</w:t>
            </w:r>
            <w:r>
              <w:rPr>
                <w:b/>
                <w:color w:val="000000"/>
              </w:rPr>
              <w:t>7</w:t>
            </w:r>
            <w:r>
              <w:rPr>
                <w:rFonts w:hint="eastAsia"/>
                <w:b/>
                <w:color w:val="000000"/>
              </w:rPr>
              <w:t>.1</w:t>
            </w:r>
            <w:r>
              <w:rPr>
                <w:b/>
                <w:color w:val="000000"/>
              </w:rPr>
              <w:t xml:space="preserve">  项目水平衡图</w:t>
            </w:r>
            <w:bookmarkEnd w:id="26"/>
            <w:r>
              <w:rPr>
                <w:rFonts w:hint="eastAsia"/>
                <w:b/>
                <w:color w:val="000000"/>
              </w:rPr>
              <w:t>（t/a）</w:t>
            </w:r>
          </w:p>
          <w:p>
            <w:pPr>
              <w:adjustRightInd w:val="0"/>
              <w:snapToGrid w:val="0"/>
              <w:spacing w:line="360" w:lineRule="auto"/>
              <w:rPr>
                <w:b/>
                <w:bCs/>
                <w:color w:val="000000"/>
              </w:rPr>
            </w:pPr>
            <w:bookmarkStart w:id="27" w:name="_Toc14867_WPSOffice_Level2"/>
            <w:bookmarkStart w:id="28" w:name="_Toc22956_WPSOffice_Level2"/>
            <w:bookmarkStart w:id="29" w:name="_Toc20319_WPSOffice_Level1"/>
            <w:bookmarkStart w:id="30" w:name="_Toc2415"/>
            <w:r>
              <w:rPr>
                <w:rFonts w:hint="eastAsia"/>
                <w:b/>
                <w:bCs/>
                <w:color w:val="000000"/>
              </w:rPr>
              <w:t>2.</w:t>
            </w:r>
            <w:r>
              <w:rPr>
                <w:b/>
                <w:bCs/>
                <w:color w:val="000000"/>
              </w:rPr>
              <w:t>8平面布置</w:t>
            </w:r>
            <w:bookmarkEnd w:id="27"/>
            <w:bookmarkEnd w:id="28"/>
            <w:bookmarkEnd w:id="29"/>
            <w:bookmarkEnd w:id="30"/>
          </w:p>
          <w:p>
            <w:pPr>
              <w:autoSpaceDE w:val="0"/>
              <w:autoSpaceDN w:val="0"/>
              <w:adjustRightInd w:val="0"/>
              <w:snapToGrid w:val="0"/>
              <w:spacing w:line="360" w:lineRule="auto"/>
              <w:ind w:firstLine="480" w:firstLineChars="200"/>
              <w:rPr>
                <w:rFonts w:hint="eastAsia" w:ascii="宋体" w:hAnsi="宋体" w:cs="宋体"/>
                <w:bCs/>
                <w:color w:val="000000"/>
                <w:kern w:val="21"/>
                <w:sz w:val="24"/>
              </w:rPr>
            </w:pPr>
            <w:r>
              <w:rPr>
                <w:color w:val="000000"/>
                <w:kern w:val="0"/>
                <w:sz w:val="24"/>
              </w:rPr>
              <w:t>本项目位于</w:t>
            </w:r>
            <w:r>
              <w:rPr>
                <w:color w:val="000000"/>
                <w:sz w:val="24"/>
              </w:rPr>
              <w:t>福清融侨经济技术开发区</w:t>
            </w:r>
            <w:r>
              <w:rPr>
                <w:color w:val="000000"/>
                <w:kern w:val="0"/>
                <w:sz w:val="24"/>
              </w:rPr>
              <w:t>，租赁</w:t>
            </w:r>
            <w:r>
              <w:rPr>
                <w:rFonts w:hint="eastAsia"/>
                <w:color w:val="000000"/>
                <w:sz w:val="24"/>
              </w:rPr>
              <w:t>福清市友谊包装材料有限公司7号厂房一层</w:t>
            </w:r>
            <w:r>
              <w:rPr>
                <w:color w:val="000000"/>
                <w:kern w:val="0"/>
                <w:sz w:val="24"/>
              </w:rPr>
              <w:t>，从事</w:t>
            </w:r>
            <w:r>
              <w:rPr>
                <w:rFonts w:hint="eastAsia"/>
                <w:color w:val="000000"/>
                <w:kern w:val="0"/>
                <w:sz w:val="24"/>
              </w:rPr>
              <w:t>EVA塑料颗粒</w:t>
            </w:r>
            <w:r>
              <w:rPr>
                <w:color w:val="000000"/>
                <w:kern w:val="0"/>
                <w:sz w:val="24"/>
              </w:rPr>
              <w:t>生产。生产厂房内</w:t>
            </w:r>
            <w:r>
              <w:rPr>
                <w:rFonts w:hint="eastAsia"/>
                <w:color w:val="000000"/>
                <w:kern w:val="0"/>
                <w:sz w:val="24"/>
              </w:rPr>
              <w:t>造粒</w:t>
            </w:r>
            <w:r>
              <w:rPr>
                <w:color w:val="000000"/>
                <w:kern w:val="0"/>
                <w:sz w:val="24"/>
              </w:rPr>
              <w:t>位于</w:t>
            </w:r>
            <w:r>
              <w:rPr>
                <w:rFonts w:hint="eastAsia"/>
                <w:color w:val="000000"/>
                <w:kern w:val="0"/>
                <w:sz w:val="24"/>
              </w:rPr>
              <w:t>厂房中间生产区，</w:t>
            </w:r>
            <w:r>
              <w:rPr>
                <w:color w:val="000000"/>
                <w:kern w:val="0"/>
                <w:sz w:val="24"/>
              </w:rPr>
              <w:t>项目生产区按照生产流程设置，能较好的保证项目生产工艺的连贯性。综上，项目总平面布置基本能够满足生产需求和环保要求。项目总平面布置图详见附图</w:t>
            </w:r>
            <w:r>
              <w:rPr>
                <w:rFonts w:hint="eastAsia"/>
                <w:color w:val="000000"/>
                <w:kern w:val="0"/>
                <w:sz w:val="24"/>
              </w:rPr>
              <w:t>三</w:t>
            </w:r>
            <w:r>
              <w:rPr>
                <w:color w:val="000000"/>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pPr>
              <w:widowControl/>
              <w:adjustRightInd w:val="0"/>
              <w:snapToGrid w:val="0"/>
              <w:jc w:val="center"/>
              <w:rPr>
                <w:rFonts w:hint="eastAsia" w:ascii="宋体" w:hAnsi="宋体" w:cs="宋体"/>
                <w:color w:val="000000"/>
                <w:kern w:val="21"/>
                <w:szCs w:val="21"/>
              </w:rPr>
            </w:pPr>
            <w:r>
              <w:rPr>
                <w:rFonts w:hint="eastAsia" w:ascii="宋体" w:hAnsi="宋体" w:cs="宋体"/>
                <w:color w:val="000000"/>
                <w:kern w:val="21"/>
                <w:szCs w:val="21"/>
              </w:rPr>
              <w:t>工艺流程和产排污环节</w:t>
            </w:r>
          </w:p>
        </w:tc>
        <w:tc>
          <w:tcPr>
            <w:tcW w:w="8591" w:type="dxa"/>
            <w:vAlign w:val="center"/>
          </w:tcPr>
          <w:p>
            <w:pPr>
              <w:adjustRightInd w:val="0"/>
              <w:snapToGrid w:val="0"/>
              <w:spacing w:line="360" w:lineRule="auto"/>
              <w:rPr>
                <w:b/>
                <w:bCs/>
                <w:color w:val="000000"/>
              </w:rPr>
            </w:pPr>
            <w:r>
              <w:rPr>
                <w:rFonts w:hint="eastAsia"/>
                <w:b/>
                <w:bCs/>
                <w:color w:val="000000"/>
              </w:rPr>
              <w:t>2.</w:t>
            </w:r>
            <w:r>
              <w:rPr>
                <w:b/>
                <w:bCs/>
                <w:color w:val="000000"/>
              </w:rPr>
              <w:t>9</w:t>
            </w:r>
            <w:r>
              <w:rPr>
                <w:rFonts w:hint="eastAsia"/>
                <w:b/>
                <w:bCs/>
                <w:color w:val="000000"/>
              </w:rPr>
              <w:t>项目生产工艺流程及产污环节</w:t>
            </w:r>
          </w:p>
          <w:p>
            <w:pPr>
              <w:adjustRightInd w:val="0"/>
              <w:snapToGrid w:val="0"/>
              <w:spacing w:line="360" w:lineRule="auto"/>
              <w:ind w:firstLine="480" w:firstLineChars="200"/>
              <w:rPr>
                <w:b/>
                <w:bCs/>
                <w:color w:val="000000"/>
              </w:rPr>
            </w:pPr>
            <w:r>
              <w:rPr>
                <w:rFonts w:hint="eastAsia"/>
                <w:color w:val="000000"/>
                <w:sz w:val="24"/>
              </w:rPr>
              <w:t>本项目主要从事EVA</w:t>
            </w:r>
            <w:r>
              <w:rPr>
                <w:rFonts w:hint="eastAsia"/>
                <w:color w:val="000000"/>
                <w:kern w:val="0"/>
                <w:sz w:val="24"/>
              </w:rPr>
              <w:t>塑料颗粒</w:t>
            </w:r>
            <w:r>
              <w:rPr>
                <w:rFonts w:hint="eastAsia"/>
                <w:color w:val="000000"/>
                <w:sz w:val="24"/>
              </w:rPr>
              <w:t>生产活动，其具体工艺流程及产污环节详见图2.</w:t>
            </w:r>
            <w:r>
              <w:rPr>
                <w:color w:val="000000"/>
                <w:sz w:val="24"/>
              </w:rPr>
              <w:t>9</w:t>
            </w:r>
            <w:r>
              <w:rPr>
                <w:rFonts w:hint="eastAsia"/>
                <w:color w:val="000000"/>
                <w:sz w:val="24"/>
              </w:rPr>
              <w:t>-1。</w:t>
            </w:r>
          </w:p>
          <w:p>
            <w:pPr>
              <w:adjustRightInd w:val="0"/>
              <w:snapToGrid w:val="0"/>
              <w:spacing w:line="360" w:lineRule="auto"/>
              <w:ind w:firstLine="400" w:firstLineChars="200"/>
              <w:jc w:val="center"/>
              <w:rPr>
                <w:color w:val="000000"/>
                <w:sz w:val="24"/>
              </w:rPr>
            </w:pPr>
            <w:r>
              <w:rPr>
                <w:color w:val="000000"/>
                <w:kern w:val="0"/>
                <w:sz w:val="20"/>
                <w:szCs w:val="20"/>
              </w:rPr>
              <w:object>
                <v:shape id="_x0000_i1025" o:spt="75" type="#_x0000_t75" style="height:346.5pt;width:373.5pt;" o:ole="t" filled="f" coordsize="21600,21600">
                  <v:path/>
                  <v:fill on="f" focussize="0,0"/>
                  <v:stroke/>
                  <v:imagedata r:id="rId10" o:title=""/>
                  <o:lock v:ext="edit" aspectratio="t"/>
                  <w10:wrap type="none"/>
                  <w10:anchorlock/>
                </v:shape>
                <o:OLEObject Type="Embed" ProgID="SmartDraw.2" ShapeID="_x0000_i1025" DrawAspect="Content" ObjectID="_1468075725" r:id="rId9">
                  <o:LockedField>false</o:LockedField>
                </o:OLEObject>
              </w:object>
            </w:r>
          </w:p>
          <w:p>
            <w:pPr>
              <w:adjustRightInd w:val="0"/>
              <w:snapToGrid w:val="0"/>
              <w:spacing w:line="360" w:lineRule="auto"/>
              <w:ind w:firstLine="402" w:firstLineChars="200"/>
              <w:jc w:val="center"/>
              <w:rPr>
                <w:b/>
                <w:color w:val="000000"/>
                <w:kern w:val="0"/>
                <w:sz w:val="20"/>
                <w:szCs w:val="20"/>
              </w:rPr>
            </w:pPr>
            <w:bookmarkStart w:id="31" w:name="_Toc31683_WPSOffice_Level2"/>
            <w:r>
              <w:rPr>
                <w:b/>
                <w:color w:val="000000"/>
                <w:kern w:val="0"/>
                <w:sz w:val="20"/>
                <w:szCs w:val="20"/>
              </w:rPr>
              <w:t>图</w:t>
            </w:r>
            <w:r>
              <w:rPr>
                <w:rFonts w:hint="eastAsia"/>
                <w:b/>
                <w:color w:val="000000"/>
                <w:kern w:val="0"/>
                <w:sz w:val="20"/>
                <w:szCs w:val="20"/>
              </w:rPr>
              <w:t>2.</w:t>
            </w:r>
            <w:r>
              <w:rPr>
                <w:b/>
                <w:color w:val="000000"/>
                <w:kern w:val="0"/>
                <w:sz w:val="20"/>
                <w:szCs w:val="20"/>
              </w:rPr>
              <w:t>9</w:t>
            </w:r>
            <w:r>
              <w:rPr>
                <w:rFonts w:hint="eastAsia"/>
                <w:b/>
                <w:color w:val="000000"/>
                <w:kern w:val="0"/>
                <w:sz w:val="20"/>
                <w:szCs w:val="20"/>
              </w:rPr>
              <w:t>-1</w:t>
            </w:r>
            <w:r>
              <w:rPr>
                <w:b/>
                <w:color w:val="000000"/>
                <w:kern w:val="0"/>
                <w:sz w:val="20"/>
                <w:szCs w:val="20"/>
              </w:rPr>
              <w:t xml:space="preserve"> 项目</w:t>
            </w:r>
            <w:r>
              <w:rPr>
                <w:rFonts w:hint="eastAsia"/>
                <w:b/>
                <w:color w:val="000000"/>
                <w:kern w:val="0"/>
                <w:sz w:val="20"/>
                <w:szCs w:val="20"/>
              </w:rPr>
              <w:t>工艺及产污流程图</w:t>
            </w:r>
            <w:bookmarkEnd w:id="31"/>
          </w:p>
          <w:p>
            <w:pPr>
              <w:adjustRightInd w:val="0"/>
              <w:snapToGrid w:val="0"/>
              <w:spacing w:line="360" w:lineRule="auto"/>
              <w:ind w:firstLine="420" w:firstLineChars="200"/>
              <w:rPr>
                <w:color w:val="000000"/>
              </w:rPr>
            </w:pPr>
            <w:r>
              <w:rPr>
                <w:rFonts w:hint="eastAsia"/>
                <w:color w:val="000000"/>
              </w:rPr>
              <w:t>工艺流程及产污环节说明：</w:t>
            </w:r>
          </w:p>
          <w:p>
            <w:pPr>
              <w:adjustRightInd w:val="0"/>
              <w:snapToGrid w:val="0"/>
              <w:spacing w:line="360" w:lineRule="auto"/>
              <w:ind w:firstLine="420" w:firstLineChars="200"/>
              <w:rPr>
                <w:color w:val="000000"/>
              </w:rPr>
            </w:pPr>
            <w:r>
              <w:rPr>
                <w:rFonts w:hint="eastAsia"/>
                <w:color w:val="000000"/>
              </w:rPr>
              <w:t>（1）工艺流程</w:t>
            </w:r>
          </w:p>
          <w:p>
            <w:pPr>
              <w:adjustRightInd w:val="0"/>
              <w:snapToGrid w:val="0"/>
              <w:spacing w:line="360" w:lineRule="auto"/>
              <w:ind w:firstLine="480" w:firstLineChars="200"/>
              <w:rPr>
                <w:bCs/>
                <w:color w:val="000000"/>
                <w:sz w:val="24"/>
              </w:rPr>
            </w:pPr>
            <w:r>
              <w:rPr>
                <w:rFonts w:hint="eastAsia"/>
                <w:bCs/>
                <w:color w:val="000000"/>
                <w:sz w:val="24"/>
              </w:rPr>
              <w:t>本产品工艺流程较为简单；</w:t>
            </w:r>
          </w:p>
          <w:p>
            <w:pPr>
              <w:adjustRightInd w:val="0"/>
              <w:snapToGrid w:val="0"/>
              <w:spacing w:line="360" w:lineRule="auto"/>
              <w:ind w:firstLine="480" w:firstLineChars="200"/>
              <w:rPr>
                <w:color w:val="000000"/>
                <w:sz w:val="24"/>
              </w:rPr>
            </w:pPr>
            <w:r>
              <w:rPr>
                <w:rFonts w:hint="eastAsia"/>
                <w:color w:val="000000"/>
                <w:sz w:val="24"/>
              </w:rPr>
              <w:t>①投料：将外购的各种原料按要求比例投放到混合搅拌机中，该过程会产生少量投料粉尘。</w:t>
            </w:r>
          </w:p>
          <w:p>
            <w:pPr>
              <w:adjustRightInd w:val="0"/>
              <w:snapToGrid w:val="0"/>
              <w:spacing w:line="360" w:lineRule="auto"/>
              <w:ind w:firstLine="480" w:firstLineChars="200"/>
              <w:rPr>
                <w:color w:val="000000"/>
                <w:sz w:val="24"/>
              </w:rPr>
            </w:pPr>
            <w:r>
              <w:rPr>
                <w:rFonts w:hint="eastAsia"/>
                <w:color w:val="000000"/>
                <w:sz w:val="24"/>
              </w:rPr>
              <w:t>②拌料：对搅拌机中的各种原材料进行密闭搅拌，该工序会产生少量拌料粉尘。</w:t>
            </w:r>
          </w:p>
          <w:p>
            <w:pPr>
              <w:adjustRightInd w:val="0"/>
              <w:snapToGrid w:val="0"/>
              <w:spacing w:line="360" w:lineRule="auto"/>
              <w:ind w:firstLine="480" w:firstLineChars="200"/>
              <w:rPr>
                <w:color w:val="000000"/>
                <w:sz w:val="24"/>
              </w:rPr>
            </w:pPr>
            <w:r>
              <w:rPr>
                <w:rFonts w:hint="eastAsia"/>
                <w:color w:val="000000"/>
                <w:sz w:val="24"/>
              </w:rPr>
              <w:t>③造粒：原材料经提升机送至造粒机</w:t>
            </w:r>
            <w:r>
              <w:rPr>
                <w:color w:val="000000"/>
                <w:sz w:val="24"/>
              </w:rPr>
              <w:t>进行</w:t>
            </w:r>
            <w:r>
              <w:rPr>
                <w:rFonts w:hint="eastAsia"/>
                <w:color w:val="000000"/>
                <w:sz w:val="24"/>
              </w:rPr>
              <w:t>造粒</w:t>
            </w:r>
            <w:r>
              <w:rPr>
                <w:color w:val="000000"/>
                <w:sz w:val="24"/>
              </w:rPr>
              <w:t>，</w:t>
            </w:r>
            <w:r>
              <w:rPr>
                <w:rFonts w:hint="eastAsia"/>
                <w:color w:val="000000"/>
                <w:sz w:val="24"/>
              </w:rPr>
              <w:t>再用输送带送至切造粒系统</w:t>
            </w:r>
            <w:r>
              <w:rPr>
                <w:color w:val="000000"/>
                <w:sz w:val="24"/>
              </w:rPr>
              <w:t>。</w:t>
            </w:r>
            <w:r>
              <w:rPr>
                <w:rFonts w:hint="eastAsia"/>
                <w:color w:val="000000"/>
                <w:sz w:val="24"/>
              </w:rPr>
              <w:t>造粒是造粒机热熔造粒后的高温料条连续切粒罩内，罩内注满冷却水且切刀高速甩动，料条被切成无数改性塑料小粒，甩刀扰动冷却水，塑料粒子在扰流作用下彼此分散、冷却固化。该工序会产生因造粒而挥发的少量单体（以非甲烷总烃计）及噪声。</w:t>
            </w:r>
          </w:p>
          <w:p>
            <w:pPr>
              <w:adjustRightInd w:val="0"/>
              <w:snapToGrid w:val="0"/>
              <w:spacing w:line="360" w:lineRule="auto"/>
              <w:ind w:firstLine="480" w:firstLineChars="200"/>
              <w:rPr>
                <w:color w:val="000000"/>
                <w:sz w:val="24"/>
              </w:rPr>
            </w:pPr>
            <w:r>
              <w:rPr>
                <w:rFonts w:hint="eastAsia"/>
                <w:color w:val="000000"/>
                <w:sz w:val="24"/>
              </w:rPr>
              <w:t>④打样：对项目每次批生产的产品进行打样测试看下是否符合产品要求，符合后继续生产，不符合重新调配生产。</w:t>
            </w:r>
          </w:p>
          <w:p>
            <w:pPr>
              <w:adjustRightInd w:val="0"/>
              <w:snapToGrid w:val="0"/>
              <w:spacing w:line="360" w:lineRule="auto"/>
              <w:ind w:firstLine="480" w:firstLineChars="200"/>
              <w:rPr>
                <w:color w:val="000000"/>
                <w:kern w:val="0"/>
                <w:sz w:val="20"/>
                <w:szCs w:val="20"/>
              </w:rPr>
            </w:pPr>
            <w:r>
              <w:rPr>
                <w:rFonts w:hint="eastAsia"/>
                <w:color w:val="000000"/>
                <w:sz w:val="24"/>
              </w:rPr>
              <w:t>⑤检验包装：对项目产品进行检验、包装即为成品。</w:t>
            </w:r>
          </w:p>
          <w:p>
            <w:pPr>
              <w:adjustRightInd w:val="0"/>
              <w:snapToGrid w:val="0"/>
              <w:spacing w:line="360" w:lineRule="auto"/>
              <w:ind w:firstLine="480" w:firstLineChars="200"/>
              <w:rPr>
                <w:color w:val="000000"/>
                <w:sz w:val="24"/>
              </w:rPr>
            </w:pPr>
            <w:r>
              <w:rPr>
                <w:rFonts w:hint="eastAsia"/>
                <w:color w:val="000000"/>
                <w:sz w:val="24"/>
              </w:rPr>
              <w:t>（2）产污环节</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858"/>
              <w:gridCol w:w="1394"/>
              <w:gridCol w:w="1621"/>
              <w:gridCol w:w="3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0" w:hRule="atLeast"/>
                <w:jc w:val="center"/>
              </w:trPr>
              <w:tc>
                <w:tcPr>
                  <w:tcW w:w="640" w:type="dxa"/>
                  <w:tcMar>
                    <w:top w:w="0" w:type="dxa"/>
                    <w:left w:w="51" w:type="dxa"/>
                    <w:bottom w:w="0" w:type="dxa"/>
                    <w:right w:w="51" w:type="dxa"/>
                  </w:tcMar>
                  <w:vAlign w:val="center"/>
                </w:tcPr>
                <w:p>
                  <w:pPr>
                    <w:widowControl/>
                    <w:spacing w:line="360" w:lineRule="atLeast"/>
                    <w:jc w:val="center"/>
                    <w:rPr>
                      <w:b/>
                      <w:bCs/>
                      <w:color w:val="000000"/>
                      <w:kern w:val="0"/>
                      <w:szCs w:val="21"/>
                    </w:rPr>
                  </w:pPr>
                  <w:r>
                    <w:rPr>
                      <w:b/>
                      <w:bCs/>
                      <w:color w:val="000000"/>
                      <w:kern w:val="0"/>
                      <w:szCs w:val="21"/>
                    </w:rPr>
                    <w:t>序号</w:t>
                  </w:r>
                </w:p>
              </w:tc>
              <w:tc>
                <w:tcPr>
                  <w:tcW w:w="858" w:type="dxa"/>
                  <w:tcMar>
                    <w:top w:w="0" w:type="dxa"/>
                    <w:left w:w="51" w:type="dxa"/>
                    <w:bottom w:w="0" w:type="dxa"/>
                    <w:right w:w="51" w:type="dxa"/>
                  </w:tcMar>
                  <w:vAlign w:val="center"/>
                </w:tcPr>
                <w:p>
                  <w:pPr>
                    <w:widowControl/>
                    <w:spacing w:line="360" w:lineRule="atLeast"/>
                    <w:jc w:val="center"/>
                    <w:rPr>
                      <w:b/>
                      <w:bCs/>
                      <w:color w:val="000000"/>
                      <w:kern w:val="0"/>
                      <w:szCs w:val="21"/>
                    </w:rPr>
                  </w:pPr>
                  <w:r>
                    <w:rPr>
                      <w:b/>
                      <w:bCs/>
                      <w:color w:val="000000"/>
                      <w:kern w:val="0"/>
                      <w:szCs w:val="21"/>
                    </w:rPr>
                    <w:t>污染源</w:t>
                  </w:r>
                </w:p>
              </w:tc>
              <w:tc>
                <w:tcPr>
                  <w:tcW w:w="1394"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b/>
                      <w:bCs/>
                      <w:color w:val="000000"/>
                      <w:kern w:val="0"/>
                      <w:szCs w:val="21"/>
                    </w:rPr>
                  </w:pPr>
                  <w:r>
                    <w:rPr>
                      <w:b/>
                      <w:bCs/>
                      <w:color w:val="000000"/>
                      <w:kern w:val="0"/>
                      <w:szCs w:val="21"/>
                    </w:rPr>
                    <w:t>污染源</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b/>
                      <w:bCs/>
                      <w:color w:val="000000"/>
                      <w:kern w:val="0"/>
                      <w:szCs w:val="21"/>
                    </w:rPr>
                  </w:pPr>
                  <w:r>
                    <w:rPr>
                      <w:b/>
                      <w:bCs/>
                      <w:color w:val="000000"/>
                      <w:kern w:val="0"/>
                      <w:szCs w:val="21"/>
                    </w:rPr>
                    <w:t>污染物名称</w:t>
                  </w:r>
                </w:p>
              </w:tc>
              <w:tc>
                <w:tcPr>
                  <w:tcW w:w="3795" w:type="dxa"/>
                  <w:tcBorders>
                    <w:left w:val="single" w:color="000000" w:sz="4" w:space="0"/>
                  </w:tcBorders>
                  <w:tcMar>
                    <w:top w:w="0" w:type="dxa"/>
                    <w:left w:w="51" w:type="dxa"/>
                    <w:bottom w:w="0" w:type="dxa"/>
                    <w:right w:w="51" w:type="dxa"/>
                  </w:tcMar>
                  <w:vAlign w:val="center"/>
                </w:tcPr>
                <w:p>
                  <w:pPr>
                    <w:widowControl/>
                    <w:spacing w:line="360" w:lineRule="atLeast"/>
                    <w:jc w:val="center"/>
                    <w:rPr>
                      <w:b/>
                      <w:bCs/>
                      <w:color w:val="000000"/>
                      <w:kern w:val="0"/>
                      <w:szCs w:val="21"/>
                    </w:rPr>
                  </w:pPr>
                  <w:r>
                    <w:rPr>
                      <w:b/>
                      <w:bCs/>
                      <w:color w:val="000000"/>
                      <w:szCs w:val="21"/>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vMerge w:val="restart"/>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1</w:t>
                  </w:r>
                </w:p>
              </w:tc>
              <w:tc>
                <w:tcPr>
                  <w:tcW w:w="858" w:type="dxa"/>
                  <w:vMerge w:val="restart"/>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废水</w:t>
                  </w:r>
                </w:p>
              </w:tc>
              <w:tc>
                <w:tcPr>
                  <w:tcW w:w="1394"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职工生活过程中产生的</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pH、COD、SS、BOD</w:t>
                  </w:r>
                  <w:r>
                    <w:rPr>
                      <w:color w:val="000000"/>
                      <w:kern w:val="0"/>
                      <w:szCs w:val="21"/>
                      <w:vertAlign w:val="subscript"/>
                    </w:rPr>
                    <w:t>5</w:t>
                  </w:r>
                  <w:r>
                    <w:rPr>
                      <w:color w:val="000000"/>
                      <w:kern w:val="0"/>
                      <w:szCs w:val="21"/>
                    </w:rPr>
                    <w:t>、氨氮</w:t>
                  </w:r>
                </w:p>
              </w:tc>
              <w:tc>
                <w:tcPr>
                  <w:tcW w:w="3795" w:type="dxa"/>
                  <w:tcBorders>
                    <w:lef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color w:val="000000"/>
                    </w:rPr>
                    <w:t>生活污水经化粪池处理后</w:t>
                  </w:r>
                  <w:r>
                    <w:rPr>
                      <w:rFonts w:hint="eastAsia"/>
                      <w:color w:val="000000"/>
                    </w:rPr>
                    <w:t>排入市政管网进入融元污水处理厂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1394"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rFonts w:hint="eastAsia"/>
                      <w:color w:val="000000"/>
                      <w:kern w:val="0"/>
                      <w:szCs w:val="21"/>
                    </w:rPr>
                    <w:t>造粒工序冷却水</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rFonts w:hint="eastAsia"/>
                      <w:color w:val="000000"/>
                      <w:kern w:val="0"/>
                      <w:szCs w:val="21"/>
                    </w:rPr>
                    <w:t>SS</w:t>
                  </w:r>
                </w:p>
              </w:tc>
              <w:tc>
                <w:tcPr>
                  <w:tcW w:w="3795" w:type="dxa"/>
                  <w:tcBorders>
                    <w:left w:val="single" w:color="000000" w:sz="4" w:space="0"/>
                  </w:tcBorders>
                  <w:tcMar>
                    <w:top w:w="0" w:type="dxa"/>
                    <w:left w:w="51" w:type="dxa"/>
                    <w:bottom w:w="0" w:type="dxa"/>
                    <w:right w:w="51" w:type="dxa"/>
                  </w:tcMar>
                  <w:vAlign w:val="center"/>
                </w:tcPr>
                <w:p>
                  <w:pPr>
                    <w:widowControl/>
                    <w:spacing w:line="360" w:lineRule="atLeast"/>
                    <w:jc w:val="center"/>
                    <w:rPr>
                      <w:color w:val="000000"/>
                      <w:szCs w:val="21"/>
                    </w:rPr>
                  </w:pPr>
                  <w:r>
                    <w:rPr>
                      <w:rFonts w:hint="eastAsia"/>
                      <w:color w:val="000000"/>
                      <w:szCs w:val="21"/>
                    </w:rPr>
                    <w:t>冷却水循环使用不外排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40" w:type="dxa"/>
                  <w:vMerge w:val="restart"/>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2</w:t>
                  </w:r>
                </w:p>
              </w:tc>
              <w:tc>
                <w:tcPr>
                  <w:tcW w:w="858" w:type="dxa"/>
                  <w:vMerge w:val="restart"/>
                  <w:tcMar>
                    <w:top w:w="0" w:type="dxa"/>
                    <w:left w:w="51" w:type="dxa"/>
                    <w:bottom w:w="0" w:type="dxa"/>
                    <w:right w:w="51" w:type="dxa"/>
                  </w:tcMar>
                  <w:vAlign w:val="center"/>
                </w:tcPr>
                <w:p>
                  <w:pPr>
                    <w:widowControl/>
                    <w:spacing w:line="360" w:lineRule="atLeast"/>
                    <w:jc w:val="center"/>
                    <w:rPr>
                      <w:color w:val="000000"/>
                      <w:kern w:val="0"/>
                      <w:szCs w:val="21"/>
                    </w:rPr>
                  </w:pPr>
                  <w:r>
                    <w:rPr>
                      <w:rFonts w:hint="eastAsia"/>
                      <w:color w:val="000000"/>
                      <w:kern w:val="0"/>
                      <w:szCs w:val="21"/>
                    </w:rPr>
                    <w:t>废气</w:t>
                  </w:r>
                </w:p>
              </w:tc>
              <w:tc>
                <w:tcPr>
                  <w:tcW w:w="1394"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pPr>
                    <w:adjustRightInd w:val="0"/>
                    <w:snapToGrid w:val="0"/>
                    <w:jc w:val="center"/>
                    <w:rPr>
                      <w:color w:val="000000"/>
                      <w:szCs w:val="21"/>
                    </w:rPr>
                  </w:pPr>
                  <w:r>
                    <w:rPr>
                      <w:color w:val="000000"/>
                      <w:szCs w:val="21"/>
                    </w:rPr>
                    <w:t>造粒废气</w:t>
                  </w:r>
                  <w:r>
                    <w:rPr>
                      <w:rFonts w:hint="eastAsia"/>
                      <w:color w:val="000000"/>
                      <w:szCs w:val="21"/>
                    </w:rPr>
                    <w:t>、打样废气</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adjustRightInd w:val="0"/>
                    <w:snapToGrid w:val="0"/>
                    <w:jc w:val="center"/>
                    <w:rPr>
                      <w:color w:val="000000"/>
                      <w:szCs w:val="21"/>
                    </w:rPr>
                  </w:pPr>
                  <w:r>
                    <w:rPr>
                      <w:color w:val="000000"/>
                      <w:szCs w:val="21"/>
                    </w:rPr>
                    <w:t>非甲烷总烃</w:t>
                  </w:r>
                  <w:r>
                    <w:rPr>
                      <w:rFonts w:hint="eastAsia"/>
                      <w:color w:val="000000"/>
                      <w:szCs w:val="21"/>
                    </w:rPr>
                    <w:t>、臭气浓度</w:t>
                  </w:r>
                </w:p>
              </w:tc>
              <w:tc>
                <w:tcPr>
                  <w:tcW w:w="3795" w:type="dxa"/>
                  <w:tcBorders>
                    <w:left w:val="single" w:color="000000" w:sz="4" w:space="0"/>
                  </w:tcBorders>
                  <w:tcMar>
                    <w:top w:w="0" w:type="dxa"/>
                    <w:left w:w="51" w:type="dxa"/>
                    <w:bottom w:w="0" w:type="dxa"/>
                    <w:right w:w="51" w:type="dxa"/>
                  </w:tcMar>
                  <w:vAlign w:val="center"/>
                </w:tcPr>
                <w:p>
                  <w:pPr>
                    <w:adjustRightInd w:val="0"/>
                    <w:snapToGrid w:val="0"/>
                    <w:jc w:val="center"/>
                    <w:rPr>
                      <w:color w:val="000000"/>
                      <w:szCs w:val="21"/>
                    </w:rPr>
                  </w:pPr>
                  <w:r>
                    <w:rPr>
                      <w:color w:val="000000"/>
                      <w:szCs w:val="21"/>
                    </w:rPr>
                    <w:t>经</w:t>
                  </w:r>
                  <w:r>
                    <w:rPr>
                      <w:rFonts w:hint="eastAsia"/>
                      <w:color w:val="000000"/>
                      <w:szCs w:val="21"/>
                    </w:rPr>
                    <w:t>集气罩收集后经1套“活性炭吸附”处理后通过一根15m高排气筒P1排放；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40"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1394"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pPr>
                    <w:adjustRightInd w:val="0"/>
                    <w:snapToGrid w:val="0"/>
                    <w:jc w:val="center"/>
                    <w:rPr>
                      <w:color w:val="000000"/>
                      <w:szCs w:val="21"/>
                    </w:rPr>
                  </w:pPr>
                  <w:r>
                    <w:rPr>
                      <w:color w:val="000000"/>
                      <w:szCs w:val="21"/>
                    </w:rPr>
                    <w:t>投料粉尘</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adjustRightInd w:val="0"/>
                    <w:snapToGrid w:val="0"/>
                    <w:jc w:val="center"/>
                    <w:rPr>
                      <w:color w:val="000000"/>
                      <w:szCs w:val="21"/>
                    </w:rPr>
                  </w:pPr>
                  <w:r>
                    <w:rPr>
                      <w:color w:val="000000"/>
                      <w:szCs w:val="21"/>
                    </w:rPr>
                    <w:t>颗粒物</w:t>
                  </w:r>
                </w:p>
              </w:tc>
              <w:tc>
                <w:tcPr>
                  <w:tcW w:w="3795" w:type="dxa"/>
                  <w:tcBorders>
                    <w:left w:val="single" w:color="000000" w:sz="4" w:space="0"/>
                  </w:tcBorders>
                  <w:tcMar>
                    <w:top w:w="0" w:type="dxa"/>
                    <w:left w:w="51" w:type="dxa"/>
                    <w:bottom w:w="0" w:type="dxa"/>
                    <w:right w:w="51" w:type="dxa"/>
                  </w:tcMar>
                  <w:vAlign w:val="center"/>
                </w:tcPr>
                <w:p>
                  <w:pPr>
                    <w:adjustRightInd w:val="0"/>
                    <w:snapToGrid w:val="0"/>
                    <w:jc w:val="center"/>
                    <w:rPr>
                      <w:color w:val="000000"/>
                      <w:szCs w:val="21"/>
                    </w:rPr>
                  </w:pPr>
                  <w:r>
                    <w:rPr>
                      <w:rFonts w:hint="eastAsia"/>
                      <w:color w:val="000000"/>
                      <w:szCs w:val="21"/>
                    </w:rPr>
                    <w:t>投料粉尘经集气罩收集后通过“布袋除尘器”处理后汇集至P2排放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6" w:hRule="atLeast"/>
                <w:jc w:val="center"/>
              </w:trPr>
              <w:tc>
                <w:tcPr>
                  <w:tcW w:w="640"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1394" w:type="dxa"/>
                  <w:tcBorders>
                    <w:left w:val="single" w:color="000000" w:sz="4" w:space="0"/>
                    <w:bottom w:val="single" w:color="auto" w:sz="4" w:space="0"/>
                    <w:right w:val="single" w:color="000000" w:sz="4" w:space="0"/>
                  </w:tcBorders>
                  <w:tcMar>
                    <w:top w:w="0" w:type="dxa"/>
                    <w:left w:w="51" w:type="dxa"/>
                    <w:bottom w:w="0" w:type="dxa"/>
                    <w:right w:w="51" w:type="dxa"/>
                  </w:tcMar>
                  <w:vAlign w:val="center"/>
                </w:tcPr>
                <w:p>
                  <w:pPr>
                    <w:adjustRightInd w:val="0"/>
                    <w:snapToGrid w:val="0"/>
                    <w:jc w:val="center"/>
                    <w:rPr>
                      <w:color w:val="000000"/>
                      <w:szCs w:val="21"/>
                    </w:rPr>
                  </w:pPr>
                  <w:r>
                    <w:rPr>
                      <w:rFonts w:hint="eastAsia"/>
                      <w:color w:val="000000"/>
                      <w:szCs w:val="21"/>
                    </w:rPr>
                    <w:t>拌料粉尘</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adjustRightInd w:val="0"/>
                    <w:snapToGrid w:val="0"/>
                    <w:jc w:val="center"/>
                    <w:rPr>
                      <w:color w:val="000000"/>
                      <w:szCs w:val="21"/>
                    </w:rPr>
                  </w:pPr>
                  <w:r>
                    <w:rPr>
                      <w:rFonts w:hint="eastAsia"/>
                      <w:color w:val="000000"/>
                      <w:szCs w:val="21"/>
                    </w:rPr>
                    <w:t>颗粒物</w:t>
                  </w:r>
                </w:p>
              </w:tc>
              <w:tc>
                <w:tcPr>
                  <w:tcW w:w="3795" w:type="dxa"/>
                  <w:tcBorders>
                    <w:left w:val="single" w:color="000000" w:sz="4" w:space="0"/>
                  </w:tcBorders>
                  <w:tcMar>
                    <w:top w:w="0" w:type="dxa"/>
                    <w:left w:w="51" w:type="dxa"/>
                    <w:bottom w:w="0" w:type="dxa"/>
                    <w:right w:w="51" w:type="dxa"/>
                  </w:tcMar>
                  <w:vAlign w:val="center"/>
                </w:tcPr>
                <w:p>
                  <w:pPr>
                    <w:adjustRightInd w:val="0"/>
                    <w:snapToGrid w:val="0"/>
                    <w:jc w:val="center"/>
                    <w:rPr>
                      <w:color w:val="000000"/>
                      <w:szCs w:val="21"/>
                    </w:rPr>
                  </w:pPr>
                  <w:r>
                    <w:rPr>
                      <w:rFonts w:hint="eastAsia"/>
                      <w:color w:val="000000"/>
                      <w:szCs w:val="21"/>
                    </w:rPr>
                    <w:t>密闭搅拌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40" w:type="dxa"/>
                  <w:vMerge w:val="restart"/>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3</w:t>
                  </w:r>
                </w:p>
              </w:tc>
              <w:tc>
                <w:tcPr>
                  <w:tcW w:w="858" w:type="dxa"/>
                  <w:vMerge w:val="restart"/>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固废</w:t>
                  </w:r>
                </w:p>
              </w:tc>
              <w:tc>
                <w:tcPr>
                  <w:tcW w:w="1394"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rFonts w:hint="eastAsia"/>
                      <w:color w:val="000000"/>
                      <w:kern w:val="0"/>
                      <w:szCs w:val="21"/>
                    </w:rPr>
                    <w:t>检验</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spacing w:line="340" w:lineRule="exact"/>
                    <w:jc w:val="center"/>
                    <w:rPr>
                      <w:bCs/>
                      <w:color w:val="000000"/>
                      <w:kern w:val="0"/>
                      <w:szCs w:val="21"/>
                    </w:rPr>
                  </w:pPr>
                  <w:r>
                    <w:rPr>
                      <w:rFonts w:hint="eastAsia"/>
                      <w:bCs/>
                      <w:color w:val="000000"/>
                      <w:kern w:val="0"/>
                      <w:szCs w:val="21"/>
                    </w:rPr>
                    <w:t>不合格产品</w:t>
                  </w:r>
                </w:p>
              </w:tc>
              <w:tc>
                <w:tcPr>
                  <w:tcW w:w="3795" w:type="dxa"/>
                  <w:vMerge w:val="restart"/>
                  <w:tcBorders>
                    <w:left w:val="single" w:color="000000" w:sz="4" w:space="0"/>
                  </w:tcBorders>
                  <w:tcMar>
                    <w:top w:w="0" w:type="dxa"/>
                    <w:left w:w="51" w:type="dxa"/>
                    <w:bottom w:w="0" w:type="dxa"/>
                    <w:right w:w="51" w:type="dxa"/>
                  </w:tcMar>
                  <w:vAlign w:val="center"/>
                </w:tcPr>
                <w:p>
                  <w:pPr>
                    <w:spacing w:line="340" w:lineRule="exact"/>
                    <w:jc w:val="center"/>
                    <w:rPr>
                      <w:bCs/>
                      <w:color w:val="000000"/>
                      <w:kern w:val="0"/>
                      <w:szCs w:val="21"/>
                    </w:rPr>
                  </w:pPr>
                  <w:r>
                    <w:rPr>
                      <w:bCs/>
                      <w:color w:val="000000"/>
                      <w:kern w:val="0"/>
                      <w:szCs w:val="21"/>
                    </w:rPr>
                    <w:t>属于一般工业固废，外售给企业综合利用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40"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1394"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color w:val="000000"/>
                      <w:szCs w:val="21"/>
                    </w:rPr>
                    <w:t>废气处理设施</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spacing w:line="340" w:lineRule="exact"/>
                    <w:jc w:val="center"/>
                    <w:rPr>
                      <w:bCs/>
                      <w:color w:val="000000"/>
                      <w:kern w:val="0"/>
                      <w:szCs w:val="21"/>
                    </w:rPr>
                  </w:pPr>
                  <w:r>
                    <w:rPr>
                      <w:rFonts w:hint="eastAsia"/>
                      <w:bCs/>
                      <w:color w:val="000000"/>
                      <w:kern w:val="0"/>
                      <w:szCs w:val="21"/>
                    </w:rPr>
                    <w:t>布袋除尘粉尘</w:t>
                  </w:r>
                </w:p>
              </w:tc>
              <w:tc>
                <w:tcPr>
                  <w:tcW w:w="3795" w:type="dxa"/>
                  <w:vMerge w:val="continue"/>
                  <w:tcBorders>
                    <w:left w:val="single" w:color="000000" w:sz="4" w:space="0"/>
                  </w:tcBorders>
                  <w:tcMar>
                    <w:top w:w="0" w:type="dxa"/>
                    <w:left w:w="51" w:type="dxa"/>
                    <w:bottom w:w="0" w:type="dxa"/>
                    <w:right w:w="51" w:type="dxa"/>
                  </w:tcMar>
                  <w:vAlign w:val="center"/>
                </w:tcPr>
                <w:p>
                  <w:pPr>
                    <w:spacing w:line="340" w:lineRule="exact"/>
                    <w:jc w:val="center"/>
                    <w:rPr>
                      <w:bCs/>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40"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1394"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rFonts w:hint="eastAsia"/>
                      <w:color w:val="000000"/>
                      <w:kern w:val="0"/>
                      <w:szCs w:val="21"/>
                    </w:rPr>
                    <w:t>包装</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spacing w:line="340" w:lineRule="exact"/>
                    <w:jc w:val="center"/>
                    <w:rPr>
                      <w:bCs/>
                      <w:color w:val="000000"/>
                      <w:kern w:val="0"/>
                      <w:szCs w:val="21"/>
                    </w:rPr>
                  </w:pPr>
                  <w:r>
                    <w:rPr>
                      <w:rFonts w:hint="eastAsia"/>
                      <w:bCs/>
                      <w:color w:val="000000"/>
                      <w:kern w:val="0"/>
                      <w:szCs w:val="21"/>
                    </w:rPr>
                    <w:t>废包装物</w:t>
                  </w:r>
                </w:p>
              </w:tc>
              <w:tc>
                <w:tcPr>
                  <w:tcW w:w="3795" w:type="dxa"/>
                  <w:vMerge w:val="continue"/>
                  <w:tcBorders>
                    <w:left w:val="single" w:color="000000" w:sz="4" w:space="0"/>
                  </w:tcBorders>
                  <w:tcMar>
                    <w:top w:w="0" w:type="dxa"/>
                    <w:left w:w="51" w:type="dxa"/>
                    <w:bottom w:w="0" w:type="dxa"/>
                    <w:right w:w="51" w:type="dxa"/>
                  </w:tcMar>
                  <w:vAlign w:val="center"/>
                </w:tcPr>
                <w:p>
                  <w:pPr>
                    <w:spacing w:line="340" w:lineRule="exact"/>
                    <w:jc w:val="center"/>
                    <w:rPr>
                      <w:bCs/>
                      <w:color w:val="00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0"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858"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1394" w:type="dxa"/>
                  <w:tcBorders>
                    <w:left w:val="single" w:color="000000" w:sz="4" w:space="0"/>
                    <w:right w:val="single" w:color="000000" w:sz="4" w:space="0"/>
                  </w:tcBorders>
                  <w:tcMar>
                    <w:top w:w="0" w:type="dxa"/>
                    <w:left w:w="51" w:type="dxa"/>
                    <w:bottom w:w="0" w:type="dxa"/>
                    <w:right w:w="51" w:type="dxa"/>
                  </w:tcMar>
                  <w:vAlign w:val="center"/>
                </w:tcPr>
                <w:p>
                  <w:pPr>
                    <w:autoSpaceDE w:val="0"/>
                    <w:autoSpaceDN w:val="0"/>
                    <w:spacing w:line="360" w:lineRule="atLeast"/>
                    <w:jc w:val="center"/>
                    <w:textAlignment w:val="bottom"/>
                    <w:rPr>
                      <w:color w:val="000000"/>
                      <w:kern w:val="0"/>
                      <w:szCs w:val="21"/>
                    </w:rPr>
                  </w:pPr>
                  <w:r>
                    <w:rPr>
                      <w:color w:val="000000"/>
                      <w:kern w:val="0"/>
                      <w:szCs w:val="21"/>
                    </w:rPr>
                    <w:t>职工生活垃圾</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autoSpaceDE w:val="0"/>
                    <w:autoSpaceDN w:val="0"/>
                    <w:spacing w:line="360" w:lineRule="atLeast"/>
                    <w:jc w:val="center"/>
                    <w:textAlignment w:val="bottom"/>
                    <w:rPr>
                      <w:color w:val="000000"/>
                      <w:kern w:val="0"/>
                      <w:szCs w:val="21"/>
                    </w:rPr>
                  </w:pPr>
                  <w:r>
                    <w:rPr>
                      <w:color w:val="000000"/>
                      <w:kern w:val="0"/>
                      <w:szCs w:val="21"/>
                    </w:rPr>
                    <w:t>/</w:t>
                  </w:r>
                </w:p>
              </w:tc>
              <w:tc>
                <w:tcPr>
                  <w:tcW w:w="3795" w:type="dxa"/>
                  <w:tcBorders>
                    <w:lef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由环卫部门定期清运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40" w:type="dxa"/>
                  <w:vMerge w:val="continue"/>
                  <w:tcMar>
                    <w:top w:w="0" w:type="dxa"/>
                    <w:left w:w="51" w:type="dxa"/>
                    <w:bottom w:w="0" w:type="dxa"/>
                    <w:right w:w="51" w:type="dxa"/>
                  </w:tcMar>
                  <w:vAlign w:val="center"/>
                </w:tcPr>
                <w:p>
                  <w:pPr>
                    <w:widowControl/>
                    <w:spacing w:line="360" w:lineRule="atLeast"/>
                    <w:jc w:val="center"/>
                    <w:rPr>
                      <w:color w:val="000000"/>
                      <w:kern w:val="0"/>
                      <w:szCs w:val="21"/>
                    </w:rPr>
                  </w:pPr>
                </w:p>
              </w:tc>
              <w:tc>
                <w:tcPr>
                  <w:tcW w:w="858" w:type="dxa"/>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危险废物</w:t>
                  </w:r>
                </w:p>
              </w:tc>
              <w:tc>
                <w:tcPr>
                  <w:tcW w:w="1394" w:type="dxa"/>
                  <w:tcBorders>
                    <w:left w:val="single" w:color="000000" w:sz="4" w:space="0"/>
                    <w:right w:val="single" w:color="000000" w:sz="4" w:space="0"/>
                  </w:tcBorders>
                  <w:tcMar>
                    <w:top w:w="0" w:type="dxa"/>
                    <w:left w:w="51" w:type="dxa"/>
                    <w:bottom w:w="0" w:type="dxa"/>
                    <w:right w:w="51" w:type="dxa"/>
                  </w:tcMar>
                  <w:vAlign w:val="center"/>
                </w:tcPr>
                <w:p>
                  <w:pPr>
                    <w:autoSpaceDE w:val="0"/>
                    <w:autoSpaceDN w:val="0"/>
                    <w:adjustRightInd w:val="0"/>
                    <w:snapToGrid w:val="0"/>
                    <w:spacing w:line="360" w:lineRule="atLeast"/>
                    <w:jc w:val="center"/>
                    <w:textAlignment w:val="bottom"/>
                    <w:rPr>
                      <w:color w:val="000000"/>
                      <w:kern w:val="0"/>
                      <w:szCs w:val="21"/>
                    </w:rPr>
                  </w:pPr>
                  <w:r>
                    <w:rPr>
                      <w:color w:val="000000"/>
                      <w:szCs w:val="21"/>
                    </w:rPr>
                    <w:t>活性炭吸附装置</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autoSpaceDE w:val="0"/>
                    <w:autoSpaceDN w:val="0"/>
                    <w:spacing w:line="360" w:lineRule="atLeast"/>
                    <w:jc w:val="center"/>
                    <w:textAlignment w:val="bottom"/>
                    <w:rPr>
                      <w:color w:val="000000"/>
                      <w:kern w:val="0"/>
                      <w:szCs w:val="21"/>
                    </w:rPr>
                  </w:pPr>
                  <w:r>
                    <w:rPr>
                      <w:color w:val="000000"/>
                      <w:kern w:val="0"/>
                      <w:szCs w:val="21"/>
                    </w:rPr>
                    <w:t>废活性炭</w:t>
                  </w:r>
                </w:p>
              </w:tc>
              <w:tc>
                <w:tcPr>
                  <w:tcW w:w="3795" w:type="dxa"/>
                  <w:tcBorders>
                    <w:left w:val="single" w:color="000000" w:sz="4" w:space="0"/>
                  </w:tcBorders>
                  <w:tcMar>
                    <w:top w:w="0" w:type="dxa"/>
                    <w:left w:w="51" w:type="dxa"/>
                    <w:bottom w:w="0" w:type="dxa"/>
                    <w:right w:w="51" w:type="dxa"/>
                  </w:tcMar>
                  <w:vAlign w:val="center"/>
                </w:tcPr>
                <w:p>
                  <w:pPr>
                    <w:spacing w:line="340" w:lineRule="exact"/>
                    <w:jc w:val="center"/>
                    <w:rPr>
                      <w:color w:val="000000"/>
                      <w:kern w:val="0"/>
                      <w:szCs w:val="21"/>
                    </w:rPr>
                  </w:pPr>
                  <w:r>
                    <w:rPr>
                      <w:bCs/>
                      <w:color w:val="000000"/>
                      <w:kern w:val="0"/>
                      <w:szCs w:val="21"/>
                    </w:rPr>
                    <w:t>属于危险废物，委托有资质</w:t>
                  </w:r>
                  <w:r>
                    <w:rPr>
                      <w:bCs/>
                      <w:color w:val="000000"/>
                      <w:szCs w:val="21"/>
                    </w:rPr>
                    <w:t>单位统一处理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4</w:t>
                  </w:r>
                </w:p>
              </w:tc>
              <w:tc>
                <w:tcPr>
                  <w:tcW w:w="858" w:type="dxa"/>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噪声</w:t>
                  </w:r>
                </w:p>
              </w:tc>
              <w:tc>
                <w:tcPr>
                  <w:tcW w:w="1394"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highlight w:val="yellow"/>
                    </w:rPr>
                  </w:pPr>
                  <w:r>
                    <w:rPr>
                      <w:color w:val="000000"/>
                      <w:kern w:val="0"/>
                      <w:szCs w:val="21"/>
                    </w:rPr>
                    <w:t>生产设备</w:t>
                  </w:r>
                </w:p>
              </w:tc>
              <w:tc>
                <w:tcPr>
                  <w:tcW w:w="1621" w:type="dxa"/>
                  <w:tcBorders>
                    <w:left w:val="single" w:color="000000" w:sz="4" w:space="0"/>
                    <w:righ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color w:val="000000"/>
                      <w:kern w:val="0"/>
                      <w:szCs w:val="21"/>
                    </w:rPr>
                    <w:t>/</w:t>
                  </w:r>
                </w:p>
              </w:tc>
              <w:tc>
                <w:tcPr>
                  <w:tcW w:w="3795" w:type="dxa"/>
                  <w:tcBorders>
                    <w:left w:val="single" w:color="000000" w:sz="4" w:space="0"/>
                  </w:tcBorders>
                  <w:tcMar>
                    <w:top w:w="0" w:type="dxa"/>
                    <w:left w:w="51" w:type="dxa"/>
                    <w:bottom w:w="0" w:type="dxa"/>
                    <w:right w:w="51" w:type="dxa"/>
                  </w:tcMar>
                  <w:vAlign w:val="center"/>
                </w:tcPr>
                <w:p>
                  <w:pPr>
                    <w:widowControl/>
                    <w:spacing w:line="360" w:lineRule="atLeast"/>
                    <w:jc w:val="center"/>
                    <w:rPr>
                      <w:color w:val="000000"/>
                      <w:kern w:val="0"/>
                      <w:szCs w:val="21"/>
                    </w:rPr>
                  </w:pPr>
                  <w:r>
                    <w:rPr>
                      <w:bCs/>
                      <w:color w:val="000000"/>
                      <w:szCs w:val="21"/>
                    </w:rPr>
                    <w:t>厂房隔声、设备基础减振等综合降噪措施</w:t>
                  </w:r>
                </w:p>
              </w:tc>
            </w:tr>
          </w:tbl>
          <w:p>
            <w:pPr>
              <w:adjustRightInd w:val="0"/>
              <w:snapToGrid w:val="0"/>
              <w:spacing w:line="360" w:lineRule="auto"/>
              <w:ind w:firstLine="422" w:firstLineChars="200"/>
              <w:jc w:val="left"/>
              <w:rPr>
                <w:b/>
                <w:color w:val="000000"/>
              </w:rPr>
            </w:pPr>
          </w:p>
        </w:tc>
      </w:tr>
    </w:tbl>
    <w:p>
      <w:pPr>
        <w:widowControl/>
        <w:adjustRightInd w:val="0"/>
        <w:snapToGrid w:val="0"/>
        <w:spacing w:before="100" w:beforeAutospacing="1" w:after="100" w:afterAutospacing="1"/>
        <w:jc w:val="center"/>
        <w:rPr>
          <w:rFonts w:hint="eastAsia" w:ascii="黑体" w:hAnsi="黑体" w:eastAsia="黑体"/>
          <w:snapToGrid w:val="0"/>
          <w:color w:val="000000"/>
          <w:kern w:val="21"/>
          <w:sz w:val="36"/>
          <w:szCs w:val="36"/>
        </w:rPr>
        <w:sectPr>
          <w:footerReference r:id="rId5" w:type="default"/>
          <w:pgSz w:w="11906" w:h="16838"/>
          <w:pgMar w:top="1701" w:right="1531" w:bottom="1701" w:left="1531" w:header="851" w:footer="851" w:gutter="0"/>
          <w:cols w:space="720" w:num="1"/>
          <w:docGrid w:linePitch="312" w:charSpace="0"/>
        </w:sectPr>
      </w:pPr>
    </w:p>
    <w:p>
      <w:pPr>
        <w:pStyle w:val="17"/>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23" w:type="dxa"/>
            <w:vAlign w:val="center"/>
          </w:tcPr>
          <w:p>
            <w:pPr>
              <w:adjustRightInd w:val="0"/>
              <w:snapToGrid w:val="0"/>
              <w:jc w:val="center"/>
              <w:rPr>
                <w:color w:val="000000"/>
                <w:kern w:val="0"/>
                <w:szCs w:val="21"/>
              </w:rPr>
            </w:pPr>
            <w:r>
              <w:rPr>
                <w:color w:val="000000"/>
                <w:kern w:val="0"/>
                <w:szCs w:val="21"/>
              </w:rPr>
              <w:t>区域</w:t>
            </w:r>
          </w:p>
          <w:p>
            <w:pPr>
              <w:adjustRightInd w:val="0"/>
              <w:snapToGrid w:val="0"/>
              <w:jc w:val="center"/>
              <w:rPr>
                <w:color w:val="000000"/>
                <w:kern w:val="0"/>
                <w:szCs w:val="21"/>
              </w:rPr>
            </w:pPr>
            <w:r>
              <w:rPr>
                <w:color w:val="000000"/>
                <w:kern w:val="0"/>
                <w:szCs w:val="21"/>
              </w:rPr>
              <w:t>环境</w:t>
            </w:r>
          </w:p>
          <w:p>
            <w:pPr>
              <w:adjustRightInd w:val="0"/>
              <w:snapToGrid w:val="0"/>
              <w:jc w:val="center"/>
              <w:rPr>
                <w:color w:val="000000"/>
                <w:kern w:val="0"/>
                <w:szCs w:val="21"/>
              </w:rPr>
            </w:pPr>
            <w:r>
              <w:rPr>
                <w:color w:val="000000"/>
                <w:kern w:val="0"/>
                <w:szCs w:val="21"/>
              </w:rPr>
              <w:t>质量</w:t>
            </w:r>
          </w:p>
          <w:p>
            <w:pPr>
              <w:adjustRightInd w:val="0"/>
              <w:snapToGrid w:val="0"/>
              <w:jc w:val="center"/>
              <w:rPr>
                <w:color w:val="000000"/>
                <w:kern w:val="0"/>
                <w:szCs w:val="21"/>
              </w:rPr>
            </w:pPr>
            <w:r>
              <w:rPr>
                <w:color w:val="000000"/>
                <w:kern w:val="0"/>
                <w:szCs w:val="21"/>
              </w:rPr>
              <w:t>现状</w:t>
            </w:r>
          </w:p>
        </w:tc>
        <w:tc>
          <w:tcPr>
            <w:tcW w:w="8638" w:type="dxa"/>
            <w:vAlign w:val="center"/>
          </w:tcPr>
          <w:p>
            <w:pPr>
              <w:widowControl/>
              <w:adjustRightInd w:val="0"/>
              <w:snapToGrid w:val="0"/>
              <w:spacing w:line="360" w:lineRule="auto"/>
              <w:jc w:val="left"/>
              <w:outlineLvl w:val="1"/>
              <w:rPr>
                <w:b/>
                <w:color w:val="000000"/>
                <w:kern w:val="0"/>
                <w:sz w:val="28"/>
                <w:szCs w:val="28"/>
              </w:rPr>
            </w:pPr>
            <w:r>
              <w:rPr>
                <w:b/>
                <w:color w:val="000000"/>
                <w:kern w:val="0"/>
                <w:sz w:val="28"/>
                <w:szCs w:val="28"/>
              </w:rPr>
              <w:t>3.1 环境质量现状</w:t>
            </w:r>
          </w:p>
          <w:p>
            <w:pPr>
              <w:adjustRightInd w:val="0"/>
              <w:spacing w:line="360" w:lineRule="auto"/>
              <w:ind w:firstLine="480" w:firstLineChars="200"/>
              <w:contextualSpacing/>
              <w:rPr>
                <w:color w:val="000000"/>
                <w:sz w:val="24"/>
              </w:rPr>
            </w:pPr>
            <w:r>
              <w:rPr>
                <w:color w:val="000000"/>
                <w:sz w:val="24"/>
              </w:rPr>
              <w:t>（1）大气环境质量现状</w:t>
            </w:r>
          </w:p>
          <w:p>
            <w:pPr>
              <w:adjustRightInd w:val="0"/>
              <w:spacing w:line="360" w:lineRule="auto"/>
              <w:ind w:firstLine="480" w:firstLineChars="200"/>
              <w:contextualSpacing/>
              <w:rPr>
                <w:color w:val="000000"/>
                <w:sz w:val="24"/>
              </w:rPr>
            </w:pPr>
            <w:r>
              <w:rPr>
                <w:rFonts w:hint="eastAsia"/>
                <w:color w:val="000000"/>
                <w:sz w:val="24"/>
              </w:rPr>
              <w:t>1）基本因子</w:t>
            </w:r>
          </w:p>
          <w:p>
            <w:pPr>
              <w:adjustRightInd w:val="0"/>
              <w:snapToGrid w:val="0"/>
              <w:spacing w:line="360" w:lineRule="auto"/>
              <w:ind w:firstLine="480" w:firstLineChars="200"/>
              <w:rPr>
                <w:color w:val="000000"/>
                <w:sz w:val="24"/>
              </w:rPr>
            </w:pPr>
            <w:r>
              <w:rPr>
                <w:rFonts w:hint="eastAsia"/>
                <w:color w:val="000000"/>
                <w:sz w:val="24"/>
              </w:rPr>
              <w:t>本次评价收集福清市人民政府发布的2023年1月至2023年12月空气质量月报数据（http://www.fuqing.gov.cn/xjwz/ztzl/sdgjz/dhwrfzgjz/hjzl/），从数据上看福清市区2022年空气环境中SO</w:t>
            </w:r>
            <w:r>
              <w:rPr>
                <w:rFonts w:hint="eastAsia"/>
                <w:color w:val="000000"/>
                <w:sz w:val="24"/>
                <w:vertAlign w:val="subscript"/>
              </w:rPr>
              <w:t>2</w:t>
            </w:r>
            <w:r>
              <w:rPr>
                <w:rFonts w:hint="eastAsia"/>
                <w:color w:val="000000"/>
                <w:sz w:val="24"/>
              </w:rPr>
              <w:t>、NO</w:t>
            </w:r>
            <w:r>
              <w:rPr>
                <w:rFonts w:hint="eastAsia"/>
                <w:color w:val="000000"/>
                <w:sz w:val="24"/>
                <w:vertAlign w:val="subscript"/>
              </w:rPr>
              <w:t>2</w:t>
            </w:r>
            <w:r>
              <w:rPr>
                <w:rFonts w:hint="eastAsia"/>
                <w:color w:val="000000"/>
                <w:sz w:val="24"/>
              </w:rPr>
              <w:t>、PM</w:t>
            </w:r>
            <w:r>
              <w:rPr>
                <w:rFonts w:hint="eastAsia"/>
                <w:color w:val="000000"/>
                <w:sz w:val="24"/>
                <w:vertAlign w:val="subscript"/>
              </w:rPr>
              <w:t>10</w:t>
            </w:r>
            <w:r>
              <w:rPr>
                <w:rFonts w:hint="eastAsia"/>
                <w:color w:val="000000"/>
                <w:sz w:val="24"/>
              </w:rPr>
              <w:t>和PM</w:t>
            </w:r>
            <w:r>
              <w:rPr>
                <w:rFonts w:hint="eastAsia"/>
                <w:color w:val="000000"/>
                <w:sz w:val="24"/>
                <w:vertAlign w:val="subscript"/>
              </w:rPr>
              <w:t>2.5</w:t>
            </w:r>
            <w:r>
              <w:rPr>
                <w:rFonts w:hint="eastAsia"/>
                <w:color w:val="000000"/>
                <w:sz w:val="24"/>
              </w:rPr>
              <w:t>均未超过国家二级标准，CO日均值第95百分位数和O</w:t>
            </w:r>
            <w:r>
              <w:rPr>
                <w:rFonts w:hint="eastAsia"/>
                <w:color w:val="000000"/>
                <w:sz w:val="24"/>
                <w:vertAlign w:val="subscript"/>
              </w:rPr>
              <w:t>3</w:t>
            </w:r>
            <w:r>
              <w:rPr>
                <w:rFonts w:hint="eastAsia"/>
                <w:color w:val="000000"/>
                <w:sz w:val="24"/>
              </w:rPr>
              <w:t>日最大8h值第90百分位数未超过国家二级标准，福清市属于达标区。本次新建项目位于福清市，因此，项目所在区域为大气达标。</w:t>
            </w:r>
          </w:p>
          <w:p>
            <w:pPr>
              <w:adjustRightInd w:val="0"/>
              <w:snapToGrid w:val="0"/>
              <w:spacing w:line="240" w:lineRule="atLeast"/>
              <w:jc w:val="center"/>
              <w:rPr>
                <w:b/>
                <w:color w:val="000000"/>
              </w:rPr>
            </w:pPr>
            <w:r>
              <w:rPr>
                <w:b/>
                <w:color w:val="000000"/>
              </w:rPr>
              <w:t>表</w:t>
            </w:r>
            <w:r>
              <w:rPr>
                <w:rFonts w:hint="eastAsia"/>
                <w:b/>
                <w:color w:val="000000"/>
              </w:rPr>
              <w:t>3.1-1</w:t>
            </w:r>
            <w:r>
              <w:rPr>
                <w:b/>
                <w:color w:val="000000"/>
              </w:rPr>
              <w:t xml:space="preserve">  202</w:t>
            </w:r>
            <w:r>
              <w:rPr>
                <w:rFonts w:hint="eastAsia"/>
                <w:b/>
                <w:color w:val="000000"/>
              </w:rPr>
              <w:t>3</w:t>
            </w:r>
            <w:r>
              <w:rPr>
                <w:b/>
                <w:color w:val="000000"/>
              </w:rPr>
              <w:t>年福清市空气质量月报数据</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1165"/>
              <w:gridCol w:w="1165"/>
              <w:gridCol w:w="1165"/>
              <w:gridCol w:w="1167"/>
              <w:gridCol w:w="987"/>
              <w:gridCol w:w="11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5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时间</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SO</w:t>
                  </w:r>
                  <w:r>
                    <w:rPr>
                      <w:rFonts w:hint="eastAsia"/>
                      <w:color w:val="000000"/>
                      <w:kern w:val="0"/>
                      <w:szCs w:val="20"/>
                      <w:vertAlign w:val="subscript"/>
                    </w:rPr>
                    <w:t>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NO</w:t>
                  </w:r>
                  <w:r>
                    <w:rPr>
                      <w:rFonts w:hint="eastAsia"/>
                      <w:color w:val="000000"/>
                      <w:kern w:val="0"/>
                      <w:szCs w:val="20"/>
                      <w:vertAlign w:val="subscript"/>
                    </w:rPr>
                    <w:t>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PM</w:t>
                  </w:r>
                  <w:r>
                    <w:rPr>
                      <w:rFonts w:hint="eastAsia"/>
                      <w:color w:val="000000"/>
                      <w:kern w:val="0"/>
                      <w:szCs w:val="20"/>
                      <w:vertAlign w:val="subscript"/>
                    </w:rPr>
                    <w:t>10</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PM</w:t>
                  </w:r>
                  <w:r>
                    <w:rPr>
                      <w:rFonts w:hint="eastAsia"/>
                      <w:color w:val="000000"/>
                      <w:kern w:val="0"/>
                      <w:szCs w:val="20"/>
                      <w:vertAlign w:val="subscript"/>
                    </w:rPr>
                    <w:t>2.5</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CO</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O</w:t>
                  </w:r>
                  <w:r>
                    <w:rPr>
                      <w:rFonts w:hint="eastAsia"/>
                      <w:color w:val="000000"/>
                      <w:kern w:val="0"/>
                      <w:szCs w:val="20"/>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5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2023年1月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0.003</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0.016</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0.032</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0.017</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2023年2月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0.005</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0.033</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0.018</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0.80</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2023年3月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0.005</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0.024</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0.042</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0.020</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0.8</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2023年4月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0.003</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0.019</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0.047</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0.020</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0.9</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2023年5月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0.013</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0.037</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0.017</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0.9</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2023年6月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0.011</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0.026</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0.012</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2023年7月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0.008</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0.027</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0.010</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2023年8月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0.011</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0.027</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0.012</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2023年9月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0.004</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0.022</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0.011</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2023年10月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0.008</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0.028</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0.014</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2023年11月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0.002</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0.009</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0.030</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0.015</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0.6</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2023年12月</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0.003</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0.019</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0.030</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0.018</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0.9</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52" w:type="pct"/>
                  <w:vAlign w:val="center"/>
                </w:tcPr>
                <w:p>
                  <w:pPr>
                    <w:jc w:val="center"/>
                    <w:rPr>
                      <w:color w:val="000000"/>
                    </w:rPr>
                  </w:pPr>
                  <w:r>
                    <w:rPr>
                      <w:rFonts w:hint="eastAsia"/>
                      <w:color w:val="000000"/>
                    </w:rPr>
                    <w:t>国家二级标准</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0.06</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0.04</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0.07</w:t>
                  </w:r>
                </w:p>
              </w:tc>
              <w:tc>
                <w:tcPr>
                  <w:tcW w:w="693"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0.035</w:t>
                  </w:r>
                </w:p>
              </w:tc>
              <w:tc>
                <w:tcPr>
                  <w:tcW w:w="586"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4</w:t>
                  </w:r>
                </w:p>
              </w:tc>
              <w:tc>
                <w:tcPr>
                  <w:tcW w:w="69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5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达标情况</w:t>
                  </w:r>
                </w:p>
              </w:tc>
              <w:tc>
                <w:tcPr>
                  <w:tcW w:w="4048" w:type="pct"/>
                  <w:gridSpan w:val="6"/>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52" w:type="pct"/>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备注</w:t>
                  </w:r>
                </w:p>
              </w:tc>
              <w:tc>
                <w:tcPr>
                  <w:tcW w:w="4048" w:type="pct"/>
                  <w:gridSpan w:val="6"/>
                  <w:vAlign w:val="center"/>
                </w:tcPr>
                <w:p>
                  <w:pPr>
                    <w:adjustRightInd w:val="0"/>
                    <w:snapToGrid w:val="0"/>
                    <w:spacing w:before="24" w:beforeLines="10" w:after="24" w:afterLines="10"/>
                    <w:jc w:val="center"/>
                    <w:rPr>
                      <w:color w:val="000000"/>
                      <w:kern w:val="0"/>
                      <w:szCs w:val="20"/>
                    </w:rPr>
                  </w:pPr>
                  <w:r>
                    <w:rPr>
                      <w:rFonts w:hint="eastAsia"/>
                      <w:color w:val="000000"/>
                      <w:kern w:val="0"/>
                      <w:szCs w:val="20"/>
                    </w:rPr>
                    <w:t>CO为日均值第95百分位数，O</w:t>
                  </w:r>
                  <w:r>
                    <w:rPr>
                      <w:rFonts w:hint="eastAsia"/>
                      <w:color w:val="000000"/>
                      <w:kern w:val="0"/>
                      <w:szCs w:val="20"/>
                      <w:vertAlign w:val="subscript"/>
                    </w:rPr>
                    <w:t>3</w:t>
                  </w:r>
                  <w:r>
                    <w:rPr>
                      <w:rFonts w:hint="eastAsia"/>
                      <w:color w:val="000000"/>
                      <w:kern w:val="0"/>
                      <w:szCs w:val="20"/>
                    </w:rPr>
                    <w:t>为日最大8小时值第90百分位数</w:t>
                  </w:r>
                </w:p>
              </w:tc>
            </w:tr>
          </w:tbl>
          <w:p>
            <w:pPr>
              <w:adjustRightInd w:val="0"/>
              <w:spacing w:line="360" w:lineRule="auto"/>
              <w:ind w:firstLine="480" w:firstLineChars="200"/>
              <w:contextualSpacing/>
              <w:rPr>
                <w:color w:val="000000"/>
                <w:sz w:val="24"/>
              </w:rPr>
            </w:pPr>
            <w:r>
              <w:rPr>
                <w:rFonts w:hint="eastAsia"/>
                <w:color w:val="000000"/>
                <w:sz w:val="24"/>
              </w:rPr>
              <w:t>②</w:t>
            </w:r>
            <w:r>
              <w:rPr>
                <w:color w:val="000000"/>
                <w:sz w:val="24"/>
              </w:rPr>
              <w:t xml:space="preserve">引用资料的可行性分析 </w:t>
            </w:r>
          </w:p>
          <w:p>
            <w:pPr>
              <w:adjustRightInd w:val="0"/>
              <w:spacing w:line="360" w:lineRule="auto"/>
              <w:ind w:firstLine="480" w:firstLineChars="200"/>
              <w:contextualSpacing/>
              <w:rPr>
                <w:color w:val="000000"/>
                <w:sz w:val="24"/>
              </w:rPr>
            </w:pPr>
            <w:r>
              <w:rPr>
                <w:color w:val="000000"/>
                <w:sz w:val="24"/>
              </w:rPr>
              <w:t>根据《环境影响评价技术导则 大气环境》(HJ2.2-2018)的 6.2.1.2 要求：“大气环境质量现状调查可采用评价范围内国家或地方环境空气质量监测网中评价基准年连续1年的监测数据，或采用生态环境主管部门发布的环境空气质量现状数据”，</w:t>
            </w:r>
            <w:r>
              <w:rPr>
                <w:rFonts w:hint="eastAsia"/>
                <w:color w:val="000000"/>
                <w:sz w:val="24"/>
                <w:lang w:eastAsia="zh-CN"/>
              </w:rPr>
              <w:t>本次</w:t>
            </w:r>
            <w:r>
              <w:rPr>
                <w:color w:val="000000"/>
                <w:sz w:val="24"/>
              </w:rPr>
              <w:t>评价选取福州</w:t>
            </w:r>
            <w:r>
              <w:rPr>
                <w:rFonts w:hint="eastAsia"/>
                <w:color w:val="000000"/>
                <w:sz w:val="24"/>
              </w:rPr>
              <w:t>福清市</w:t>
            </w:r>
            <w:r>
              <w:rPr>
                <w:color w:val="000000"/>
                <w:sz w:val="24"/>
              </w:rPr>
              <w:t>人民政府网址发布环境空气质量环境状况信息，符合《环境影响评价技术导则 大气环境》(HJ2.2-2018)的要求，环境现状监测数据可行。</w:t>
            </w:r>
          </w:p>
          <w:p>
            <w:pPr>
              <w:adjustRightInd w:val="0"/>
              <w:spacing w:line="360" w:lineRule="auto"/>
              <w:ind w:firstLine="480" w:firstLineChars="200"/>
              <w:contextualSpacing/>
              <w:rPr>
                <w:color w:val="000000"/>
                <w:sz w:val="24"/>
              </w:rPr>
            </w:pPr>
            <w:r>
              <w:rPr>
                <w:rFonts w:hint="eastAsia"/>
                <w:color w:val="000000"/>
                <w:sz w:val="24"/>
              </w:rPr>
              <w:t>2）特征污染因子</w:t>
            </w:r>
          </w:p>
          <w:p>
            <w:pPr>
              <w:adjustRightInd w:val="0"/>
              <w:spacing w:line="360" w:lineRule="auto"/>
              <w:ind w:firstLine="480" w:firstLineChars="200"/>
              <w:contextualSpacing/>
              <w:rPr>
                <w:color w:val="000000"/>
                <w:sz w:val="24"/>
              </w:rPr>
            </w:pPr>
            <w:r>
              <w:rPr>
                <w:bCs/>
                <w:color w:val="000000"/>
                <w:sz w:val="24"/>
              </w:rPr>
              <w:t>根据《关于&lt;建设项目环境影响报告表&gt;内容、格式及编制技术指南常见问题解答》（生态环境部环境工程评估中心）</w:t>
            </w:r>
            <w:r>
              <w:rPr>
                <w:rFonts w:hint="eastAsia"/>
                <w:bCs/>
                <w:color w:val="000000"/>
                <w:sz w:val="24"/>
              </w:rPr>
              <w:t>：</w:t>
            </w:r>
            <w:r>
              <w:rPr>
                <w:rFonts w:hint="eastAsia"/>
                <w:color w:val="000000"/>
                <w:sz w:val="24"/>
              </w:rPr>
              <w:t>“</w:t>
            </w:r>
            <w:r>
              <w:rPr>
                <w:color w:val="000000"/>
                <w:sz w:val="24"/>
              </w:rPr>
              <w:t>技术指南中提到</w:t>
            </w:r>
            <w:r>
              <w:rPr>
                <w:rFonts w:hint="eastAsia"/>
                <w:color w:val="000000"/>
                <w:sz w:val="24"/>
              </w:rPr>
              <w:t>‘</w:t>
            </w:r>
            <w:r>
              <w:rPr>
                <w:color w:val="000000"/>
                <w:sz w:val="24"/>
              </w:rPr>
              <w:t>排放国家、地方环境空气质量标准中有标准限值要求的特征污染物</w:t>
            </w:r>
            <w:r>
              <w:rPr>
                <w:rFonts w:hint="eastAsia"/>
                <w:color w:val="000000"/>
                <w:sz w:val="24"/>
              </w:rPr>
              <w:t>’</w:t>
            </w:r>
            <w:r>
              <w:rPr>
                <w:color w:val="000000"/>
                <w:sz w:val="24"/>
              </w:rPr>
              <w:t>，其中环境空气质量标准指《环境空气质量标准》(GB3095)和地方的环境空气质量标准，不包括《环境影响评价技术导则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w:t>
            </w:r>
            <w:r>
              <w:rPr>
                <w:rFonts w:hint="eastAsia"/>
                <w:color w:val="000000"/>
                <w:sz w:val="24"/>
                <w:lang w:eastAsia="zh-CN"/>
              </w:rPr>
              <w:t>且</w:t>
            </w:r>
            <w:r>
              <w:rPr>
                <w:color w:val="000000"/>
                <w:sz w:val="24"/>
              </w:rPr>
              <w:t>优先引用现有监测数据</w:t>
            </w:r>
            <w:r>
              <w:rPr>
                <w:rFonts w:hint="eastAsia"/>
                <w:color w:val="000000"/>
                <w:sz w:val="24"/>
              </w:rPr>
              <w:t>”</w:t>
            </w:r>
            <w:r>
              <w:rPr>
                <w:color w:val="000000"/>
                <w:sz w:val="24"/>
              </w:rPr>
              <w:t>。</w:t>
            </w:r>
          </w:p>
          <w:p>
            <w:pPr>
              <w:adjustRightInd w:val="0"/>
              <w:spacing w:line="360" w:lineRule="auto"/>
              <w:ind w:firstLine="480" w:firstLineChars="200"/>
              <w:contextualSpacing/>
              <w:rPr>
                <w:color w:val="000000"/>
                <w:sz w:val="24"/>
                <w:szCs w:val="22"/>
              </w:rPr>
            </w:pPr>
            <w:r>
              <w:rPr>
                <w:rFonts w:hint="eastAsia"/>
                <w:bCs/>
                <w:color w:val="000000"/>
                <w:sz w:val="24"/>
              </w:rPr>
              <w:t>本项目</w:t>
            </w:r>
            <w:r>
              <w:rPr>
                <w:bCs/>
                <w:color w:val="000000"/>
                <w:sz w:val="24"/>
              </w:rPr>
              <w:t>排放的其他污染物物为非甲烷总烃，不属于《环境空气质量标准》(GB3095</w:t>
            </w:r>
            <w:r>
              <w:rPr>
                <w:rFonts w:hint="eastAsia"/>
                <w:bCs/>
                <w:color w:val="000000"/>
                <w:sz w:val="24"/>
              </w:rPr>
              <w:t>-2012</w:t>
            </w:r>
            <w:r>
              <w:rPr>
                <w:bCs/>
                <w:color w:val="000000"/>
                <w:sz w:val="24"/>
              </w:rPr>
              <w:t>)和地方的环境空气质量中有标准限值要求的污染物，因此不进行</w:t>
            </w:r>
            <w:r>
              <w:rPr>
                <w:rFonts w:hint="eastAsia"/>
                <w:bCs/>
                <w:color w:val="000000"/>
                <w:sz w:val="24"/>
              </w:rPr>
              <w:t>特征污染物</w:t>
            </w:r>
            <w:r>
              <w:rPr>
                <w:bCs/>
                <w:color w:val="000000"/>
                <w:sz w:val="24"/>
              </w:rPr>
              <w:t>现状检测评价。</w:t>
            </w:r>
          </w:p>
          <w:p>
            <w:pPr>
              <w:adjustRightInd w:val="0"/>
              <w:spacing w:line="360" w:lineRule="auto"/>
              <w:ind w:firstLine="480" w:firstLineChars="200"/>
              <w:contextualSpacing/>
              <w:rPr>
                <w:color w:val="000000"/>
                <w:sz w:val="24"/>
              </w:rPr>
            </w:pPr>
            <w:r>
              <w:rPr>
                <w:color w:val="000000"/>
                <w:sz w:val="24"/>
              </w:rPr>
              <w:t>（2）地表水质量环境</w:t>
            </w:r>
          </w:p>
          <w:p>
            <w:pPr>
              <w:adjustRightInd w:val="0"/>
              <w:spacing w:line="360" w:lineRule="auto"/>
              <w:ind w:firstLine="480" w:firstLineChars="200"/>
              <w:contextualSpacing/>
              <w:rPr>
                <w:color w:val="000000"/>
                <w:sz w:val="24"/>
              </w:rPr>
            </w:pPr>
            <w:r>
              <w:rPr>
                <w:rFonts w:hint="eastAsia"/>
                <w:color w:val="000000"/>
                <w:sz w:val="24"/>
              </w:rPr>
              <w:t>1）</w:t>
            </w:r>
            <w:r>
              <w:rPr>
                <w:color w:val="000000"/>
                <w:sz w:val="24"/>
              </w:rPr>
              <w:t>地表水水质现状调查</w:t>
            </w:r>
          </w:p>
          <w:p>
            <w:pPr>
              <w:adjustRightInd w:val="0"/>
              <w:spacing w:line="360" w:lineRule="auto"/>
              <w:ind w:firstLine="480" w:firstLineChars="200"/>
              <w:contextualSpacing/>
              <w:rPr>
                <w:bCs/>
                <w:color w:val="000000"/>
                <w:sz w:val="24"/>
              </w:rPr>
            </w:pPr>
            <w:r>
              <w:rPr>
                <w:bCs/>
                <w:color w:val="000000"/>
                <w:sz w:val="24"/>
              </w:rPr>
              <w:t>为了解项目纳污水域地表水环境质量现状，评价引用福建省地表水水质状况公告，2023年1―12月，全省主要流域总体水质为优，国控断面Ⅰ～Ⅲ类水质比例99.0％,Ⅰ～Ⅱ类水质比例68.6％；国控及省控断面Ⅰ～Ⅲ类水质比例99.5％，其中Ⅰ～Ⅱ类水质比例65.3％，各类水质比例如下：Ⅰ类占1.9%，Ⅱ类占63.5%，Ⅲ类占34.1%，Ⅳ类占0.5%，无Ⅴ类和劣Ⅴ类水。2023年1-12月，全省主要流域总体水质从相对较好开始排名，具体为：闽江、交溪、霍童溪、萩芦溪、汀江（韩江）、九龙江、晋江、木兰溪、敖江、东西溪、诏安东溪、龙江、漳江、鹿溪。</w:t>
            </w:r>
          </w:p>
          <w:p>
            <w:pPr>
              <w:adjustRightInd w:val="0"/>
              <w:spacing w:line="360" w:lineRule="auto"/>
              <w:ind w:firstLine="480" w:firstLineChars="200"/>
              <w:contextualSpacing/>
              <w:rPr>
                <w:bCs/>
                <w:color w:val="000000"/>
                <w:sz w:val="24"/>
              </w:rPr>
            </w:pPr>
            <w:r>
              <w:rPr>
                <w:bCs/>
                <w:color w:val="000000"/>
                <w:sz w:val="24"/>
              </w:rPr>
              <w:t>由此可知龙江水质可达到《地表水环境质量标准》(GB3838-2002)Ⅴ类水标准。</w:t>
            </w:r>
          </w:p>
          <w:p>
            <w:pPr>
              <w:adjustRightInd w:val="0"/>
              <w:spacing w:line="360" w:lineRule="auto"/>
              <w:ind w:firstLine="480" w:firstLineChars="200"/>
              <w:contextualSpacing/>
              <w:rPr>
                <w:color w:val="000000"/>
                <w:sz w:val="24"/>
              </w:rPr>
            </w:pPr>
            <w:r>
              <w:rPr>
                <w:color w:val="000000"/>
                <w:sz w:val="24"/>
              </w:rPr>
              <w:t>2</w:t>
            </w:r>
            <w:r>
              <w:rPr>
                <w:rFonts w:hint="eastAsia"/>
                <w:color w:val="000000"/>
                <w:sz w:val="24"/>
              </w:rPr>
              <w:t>）</w:t>
            </w:r>
            <w:r>
              <w:rPr>
                <w:color w:val="000000"/>
                <w:sz w:val="24"/>
              </w:rPr>
              <w:t>引用资料的有效性分析</w:t>
            </w:r>
          </w:p>
          <w:p>
            <w:pPr>
              <w:autoSpaceDE w:val="0"/>
              <w:autoSpaceDN w:val="0"/>
              <w:spacing w:line="360" w:lineRule="auto"/>
              <w:ind w:firstLine="480" w:firstLineChars="200"/>
              <w:textAlignment w:val="bottom"/>
              <w:rPr>
                <w:color w:val="000000"/>
                <w:sz w:val="24"/>
              </w:rPr>
            </w:pPr>
            <w:r>
              <w:rPr>
                <w:color w:val="000000"/>
                <w:sz w:val="24"/>
              </w:rPr>
              <w:t>根据《建设项目环境影响报告表编制技术指南</w:t>
            </w:r>
            <w:r>
              <w:rPr>
                <w:rFonts w:hint="eastAsia"/>
                <w:color w:val="000000"/>
                <w:sz w:val="24"/>
              </w:rPr>
              <w:t>(</w:t>
            </w:r>
            <w:r>
              <w:rPr>
                <w:color w:val="000000"/>
                <w:sz w:val="24"/>
              </w:rPr>
              <w:t>污染影响类</w:t>
            </w:r>
            <w:r>
              <w:rPr>
                <w:rFonts w:hint="eastAsia"/>
                <w:color w:val="000000"/>
                <w:sz w:val="24"/>
              </w:rPr>
              <w:t>)(</w:t>
            </w:r>
            <w:r>
              <w:rPr>
                <w:color w:val="000000"/>
                <w:sz w:val="24"/>
              </w:rPr>
              <w:t>试行</w:t>
            </w:r>
            <w:r>
              <w:rPr>
                <w:rFonts w:hint="eastAsia"/>
                <w:color w:val="000000"/>
                <w:sz w:val="24"/>
              </w:rPr>
              <w:t>)</w:t>
            </w:r>
            <w:r>
              <w:rPr>
                <w:color w:val="000000"/>
                <w:sz w:val="24"/>
              </w:rPr>
              <w:t>》</w:t>
            </w:r>
            <w:r>
              <w:rPr>
                <w:rFonts w:hint="eastAsia"/>
                <w:color w:val="000000"/>
                <w:sz w:val="24"/>
              </w:rPr>
              <w:t>(</w:t>
            </w:r>
            <w:r>
              <w:rPr>
                <w:color w:val="000000"/>
                <w:sz w:val="24"/>
              </w:rPr>
              <w:t>环办环评〔2020〕33号</w:t>
            </w:r>
            <w:r>
              <w:rPr>
                <w:rFonts w:hint="eastAsia"/>
                <w:color w:val="000000"/>
                <w:sz w:val="24"/>
              </w:rPr>
              <w:t>)</w:t>
            </w:r>
            <w:r>
              <w:rPr>
                <w:color w:val="000000"/>
                <w:sz w:val="24"/>
              </w:rPr>
              <w:t>的要求：“</w:t>
            </w:r>
            <w:r>
              <w:rPr>
                <w:rFonts w:hint="eastAsia"/>
                <w:color w:val="000000"/>
                <w:sz w:val="24"/>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color w:val="000000"/>
                <w:sz w:val="24"/>
              </w:rPr>
              <w:t>，</w:t>
            </w:r>
            <w:r>
              <w:rPr>
                <w:rFonts w:hint="eastAsia"/>
                <w:color w:val="000000"/>
                <w:sz w:val="24"/>
                <w:lang w:eastAsia="zh-CN"/>
              </w:rPr>
              <w:t>本次</w:t>
            </w:r>
            <w:r>
              <w:rPr>
                <w:color w:val="000000"/>
                <w:sz w:val="24"/>
              </w:rPr>
              <w:t>评价选取福建省生态环境厅网站发布水环境状况信息，符合《建设项目环境影响报告表编制技术指南</w:t>
            </w:r>
            <w:r>
              <w:rPr>
                <w:rFonts w:hint="eastAsia"/>
                <w:color w:val="000000"/>
                <w:sz w:val="24"/>
              </w:rPr>
              <w:t>(</w:t>
            </w:r>
            <w:r>
              <w:rPr>
                <w:color w:val="000000"/>
                <w:sz w:val="24"/>
              </w:rPr>
              <w:t>污染影响类</w:t>
            </w:r>
            <w:r>
              <w:rPr>
                <w:rFonts w:hint="eastAsia"/>
                <w:color w:val="000000"/>
                <w:sz w:val="24"/>
              </w:rPr>
              <w:t>)(</w:t>
            </w:r>
            <w:r>
              <w:rPr>
                <w:color w:val="000000"/>
                <w:sz w:val="24"/>
              </w:rPr>
              <w:t>试行</w:t>
            </w:r>
            <w:r>
              <w:rPr>
                <w:rFonts w:hint="eastAsia"/>
                <w:color w:val="000000"/>
                <w:sz w:val="24"/>
              </w:rPr>
              <w:t>)</w:t>
            </w:r>
            <w:r>
              <w:rPr>
                <w:color w:val="000000"/>
                <w:sz w:val="24"/>
              </w:rPr>
              <w:t>》</w:t>
            </w:r>
            <w:r>
              <w:rPr>
                <w:rFonts w:hint="eastAsia"/>
                <w:color w:val="000000"/>
                <w:sz w:val="24"/>
              </w:rPr>
              <w:t>(</w:t>
            </w:r>
            <w:r>
              <w:rPr>
                <w:color w:val="000000"/>
                <w:sz w:val="24"/>
              </w:rPr>
              <w:t>环办环评〔2020〕33号</w:t>
            </w:r>
            <w:r>
              <w:rPr>
                <w:rFonts w:hint="eastAsia"/>
                <w:color w:val="000000"/>
                <w:sz w:val="24"/>
              </w:rPr>
              <w:t>)的</w:t>
            </w:r>
            <w:r>
              <w:rPr>
                <w:color w:val="000000"/>
                <w:sz w:val="24"/>
              </w:rPr>
              <w:t>要求。</w:t>
            </w:r>
          </w:p>
          <w:p>
            <w:pPr>
              <w:adjustRightInd w:val="0"/>
              <w:spacing w:line="360" w:lineRule="auto"/>
              <w:ind w:firstLine="480" w:firstLineChars="200"/>
              <w:contextualSpacing/>
              <w:rPr>
                <w:color w:val="000000"/>
                <w:sz w:val="24"/>
              </w:rPr>
            </w:pPr>
            <w:r>
              <w:rPr>
                <w:color w:val="000000"/>
                <w:sz w:val="24"/>
              </w:rPr>
              <w:t>（3）声环境质量现状</w:t>
            </w:r>
          </w:p>
          <w:p>
            <w:pPr>
              <w:spacing w:line="360" w:lineRule="auto"/>
              <w:ind w:firstLine="480" w:firstLineChars="200"/>
              <w:rPr>
                <w:color w:val="000000"/>
                <w:kern w:val="0"/>
                <w:sz w:val="24"/>
              </w:rPr>
            </w:pPr>
            <w:r>
              <w:rPr>
                <w:color w:val="000000"/>
                <w:sz w:val="24"/>
                <w:szCs w:val="22"/>
                <w:lang w:val="zh-CN"/>
              </w:rPr>
              <w:t>根据《建设项目环境影响报告表编制技术指南</w:t>
            </w:r>
            <w:r>
              <w:rPr>
                <w:rFonts w:hint="eastAsia"/>
                <w:color w:val="000000"/>
                <w:sz w:val="24"/>
                <w:szCs w:val="22"/>
              </w:rPr>
              <w:t>(</w:t>
            </w:r>
            <w:r>
              <w:rPr>
                <w:color w:val="000000"/>
                <w:sz w:val="24"/>
                <w:szCs w:val="22"/>
                <w:lang w:val="zh-CN"/>
              </w:rPr>
              <w:t>污染影响类</w:t>
            </w:r>
            <w:r>
              <w:rPr>
                <w:rFonts w:hint="eastAsia"/>
                <w:color w:val="000000"/>
                <w:sz w:val="24"/>
                <w:szCs w:val="22"/>
              </w:rPr>
              <w:t>)(</w:t>
            </w:r>
            <w:r>
              <w:rPr>
                <w:color w:val="000000"/>
                <w:sz w:val="24"/>
                <w:szCs w:val="22"/>
                <w:lang w:val="zh-CN"/>
              </w:rPr>
              <w:t>试行</w:t>
            </w:r>
            <w:r>
              <w:rPr>
                <w:rFonts w:hint="eastAsia"/>
                <w:color w:val="000000"/>
                <w:sz w:val="24"/>
                <w:szCs w:val="22"/>
              </w:rPr>
              <w:t>)</w:t>
            </w:r>
            <w:r>
              <w:rPr>
                <w:color w:val="000000"/>
                <w:sz w:val="24"/>
                <w:szCs w:val="22"/>
                <w:lang w:val="zh-CN"/>
              </w:rPr>
              <w:t>》</w:t>
            </w:r>
            <w:r>
              <w:rPr>
                <w:rFonts w:hint="eastAsia"/>
                <w:color w:val="000000"/>
                <w:sz w:val="24"/>
                <w:szCs w:val="22"/>
              </w:rPr>
              <w:t>(</w:t>
            </w:r>
            <w:r>
              <w:rPr>
                <w:color w:val="000000"/>
                <w:sz w:val="24"/>
                <w:szCs w:val="22"/>
                <w:lang w:val="zh-CN"/>
              </w:rPr>
              <w:t>环办环评〔2020〕33号</w:t>
            </w:r>
            <w:r>
              <w:rPr>
                <w:rFonts w:hint="eastAsia"/>
                <w:color w:val="000000"/>
                <w:sz w:val="24"/>
                <w:szCs w:val="22"/>
              </w:rPr>
              <w:t>)</w:t>
            </w:r>
            <w:r>
              <w:rPr>
                <w:color w:val="000000"/>
                <w:sz w:val="24"/>
                <w:szCs w:val="22"/>
                <w:lang w:val="zh-CN"/>
              </w:rPr>
              <w:t>的要求</w:t>
            </w:r>
            <w:r>
              <w:rPr>
                <w:rFonts w:hint="eastAsia"/>
                <w:color w:val="000000"/>
                <w:sz w:val="24"/>
                <w:szCs w:val="22"/>
                <w:lang w:val="zh-CN"/>
              </w:rPr>
              <w:t>：厂界外周边50米范围内存在声环境保护目标的建设项目，应监测保护目标声环境质量现状并评价达标情况。</w:t>
            </w:r>
            <w:r>
              <w:rPr>
                <w:rFonts w:hint="eastAsia"/>
                <w:color w:val="000000"/>
                <w:sz w:val="24"/>
                <w:szCs w:val="22"/>
              </w:rPr>
              <w:t>根据环境影响评价网(</w:t>
            </w:r>
            <w:r>
              <w:rPr>
                <w:color w:val="000000"/>
                <w:sz w:val="24"/>
                <w:szCs w:val="22"/>
                <w:lang w:val="zh-CN"/>
              </w:rPr>
              <w:t>生态环境部环境工程评估中心</w:t>
            </w:r>
            <w:r>
              <w:rPr>
                <w:rFonts w:hint="eastAsia"/>
                <w:color w:val="000000"/>
                <w:sz w:val="24"/>
                <w:szCs w:val="22"/>
              </w:rPr>
              <w:t>)关于</w:t>
            </w:r>
            <w:r>
              <w:rPr>
                <w:rFonts w:hint="eastAsia"/>
                <w:color w:val="000000"/>
                <w:sz w:val="24"/>
                <w:szCs w:val="22"/>
                <w:lang w:val="zh-CN"/>
              </w:rPr>
              <w:t>《建设项目环境影响报告表》内容、格式及编制技术指南常见问题解答，厂界外周边</w:t>
            </w:r>
            <w:r>
              <w:rPr>
                <w:rFonts w:hint="eastAsia"/>
                <w:color w:val="000000"/>
                <w:sz w:val="24"/>
                <w:szCs w:val="22"/>
              </w:rPr>
              <w:t>50</w:t>
            </w:r>
            <w:r>
              <w:rPr>
                <w:rFonts w:hint="eastAsia"/>
                <w:color w:val="000000"/>
                <w:sz w:val="24"/>
                <w:szCs w:val="22"/>
                <w:lang w:val="zh-CN"/>
              </w:rPr>
              <w:t>米范围内存在声环境保护目标的建设项目，应监测声环境质量现状，监测点位为声环境保护目标处。厂界外周边</w:t>
            </w:r>
            <w:r>
              <w:rPr>
                <w:rFonts w:hint="eastAsia"/>
                <w:color w:val="000000"/>
                <w:sz w:val="24"/>
                <w:szCs w:val="22"/>
              </w:rPr>
              <w:t>50</w:t>
            </w:r>
            <w:r>
              <w:rPr>
                <w:rFonts w:hint="eastAsia"/>
                <w:color w:val="000000"/>
                <w:sz w:val="24"/>
                <w:szCs w:val="22"/>
                <w:lang w:val="zh-CN"/>
              </w:rPr>
              <w:t>米范围内无声环境保护目标的建设项目，不再要求提供声环境质量现状监测数据。</w:t>
            </w:r>
            <w:r>
              <w:rPr>
                <w:rFonts w:hint="eastAsia"/>
                <w:color w:val="000000"/>
                <w:sz w:val="24"/>
                <w:szCs w:val="22"/>
              </w:rPr>
              <w:t>根据现场调查，项目厂界外50m范围内无声环境保护目标，因此，本评价不进行</w:t>
            </w:r>
            <w:r>
              <w:rPr>
                <w:rFonts w:hint="eastAsia"/>
                <w:color w:val="000000"/>
                <w:sz w:val="24"/>
                <w:szCs w:val="22"/>
                <w:lang w:val="zh-CN"/>
              </w:rPr>
              <w:t>声环境质量现状监测。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23" w:type="dxa"/>
            <w:vAlign w:val="center"/>
          </w:tcPr>
          <w:p>
            <w:pPr>
              <w:adjustRightInd w:val="0"/>
              <w:snapToGrid w:val="0"/>
              <w:jc w:val="center"/>
              <w:rPr>
                <w:color w:val="000000"/>
                <w:kern w:val="0"/>
                <w:szCs w:val="21"/>
              </w:rPr>
            </w:pPr>
            <w:r>
              <w:rPr>
                <w:color w:val="000000"/>
                <w:kern w:val="0"/>
                <w:szCs w:val="21"/>
              </w:rPr>
              <w:t>环境</w:t>
            </w:r>
          </w:p>
          <w:p>
            <w:pPr>
              <w:adjustRightInd w:val="0"/>
              <w:snapToGrid w:val="0"/>
              <w:jc w:val="center"/>
              <w:rPr>
                <w:color w:val="000000"/>
                <w:kern w:val="0"/>
                <w:szCs w:val="21"/>
              </w:rPr>
            </w:pPr>
            <w:r>
              <w:rPr>
                <w:color w:val="000000"/>
                <w:kern w:val="0"/>
                <w:szCs w:val="21"/>
              </w:rPr>
              <w:t>保护</w:t>
            </w:r>
          </w:p>
          <w:p>
            <w:pPr>
              <w:adjustRightInd w:val="0"/>
              <w:snapToGrid w:val="0"/>
              <w:jc w:val="center"/>
              <w:rPr>
                <w:color w:val="000000"/>
                <w:kern w:val="0"/>
                <w:szCs w:val="21"/>
              </w:rPr>
            </w:pPr>
            <w:r>
              <w:rPr>
                <w:color w:val="000000"/>
                <w:kern w:val="0"/>
                <w:szCs w:val="21"/>
              </w:rPr>
              <w:t>目标</w:t>
            </w:r>
          </w:p>
        </w:tc>
        <w:tc>
          <w:tcPr>
            <w:tcW w:w="8638" w:type="dxa"/>
            <w:vAlign w:val="center"/>
          </w:tcPr>
          <w:p>
            <w:pPr>
              <w:adjustRightInd w:val="0"/>
              <w:snapToGrid w:val="0"/>
              <w:spacing w:line="360" w:lineRule="auto"/>
              <w:outlineLvl w:val="1"/>
              <w:rPr>
                <w:b/>
                <w:color w:val="000000"/>
                <w:sz w:val="28"/>
                <w:szCs w:val="28"/>
              </w:rPr>
            </w:pPr>
            <w:r>
              <w:rPr>
                <w:b/>
                <w:color w:val="000000"/>
                <w:sz w:val="28"/>
                <w:szCs w:val="28"/>
              </w:rPr>
              <w:t>3.2 环境保护目标</w:t>
            </w:r>
          </w:p>
          <w:p>
            <w:pPr>
              <w:adjustRightInd w:val="0"/>
              <w:spacing w:line="360" w:lineRule="auto"/>
              <w:ind w:firstLine="480" w:firstLineChars="200"/>
              <w:contextualSpacing/>
              <w:rPr>
                <w:color w:val="000000"/>
                <w:sz w:val="24"/>
              </w:rPr>
            </w:pPr>
            <w:bookmarkStart w:id="32" w:name="_Hlk86780772"/>
            <w:r>
              <w:rPr>
                <w:color w:val="000000"/>
                <w:sz w:val="24"/>
              </w:rPr>
              <w:t>本项目评价区内未发现文物古迹，无风景名胜区。项目周边主要环境保护目标见表3.2-1。主要环境保护目标和本项目的位置关系见附图</w:t>
            </w:r>
            <w:r>
              <w:rPr>
                <w:rFonts w:hint="eastAsia"/>
                <w:color w:val="000000"/>
                <w:sz w:val="24"/>
              </w:rPr>
              <w:t>二</w:t>
            </w:r>
            <w:r>
              <w:rPr>
                <w:color w:val="000000"/>
                <w:sz w:val="24"/>
              </w:rPr>
              <w:t>。</w:t>
            </w:r>
          </w:p>
          <w:p>
            <w:pPr>
              <w:widowControl/>
              <w:numPr>
                <w:ilvl w:val="4"/>
                <w:numId w:val="0"/>
              </w:numPr>
              <w:adjustRightInd w:val="0"/>
              <w:snapToGrid w:val="0"/>
              <w:spacing w:before="120" w:beforeLines="50"/>
              <w:jc w:val="center"/>
              <w:rPr>
                <w:b/>
                <w:color w:val="000000"/>
                <w:sz w:val="24"/>
              </w:rPr>
            </w:pPr>
            <w:bookmarkStart w:id="33" w:name="_Ref15416510"/>
            <w:r>
              <w:rPr>
                <w:b/>
                <w:color w:val="000000"/>
                <w:sz w:val="24"/>
              </w:rPr>
              <w:t>表3.2-1  主要环境保护目标</w:t>
            </w:r>
            <w:bookmarkEnd w:id="33"/>
          </w:p>
          <w:bookmarkEnd w:id="32"/>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182"/>
              <w:gridCol w:w="1563"/>
              <w:gridCol w:w="1423"/>
              <w:gridCol w:w="1406"/>
              <w:gridCol w:w="20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76" w:type="pct"/>
                  <w:vAlign w:val="center"/>
                </w:tcPr>
                <w:p>
                  <w:pPr>
                    <w:jc w:val="center"/>
                    <w:rPr>
                      <w:color w:val="000000"/>
                      <w:szCs w:val="21"/>
                    </w:rPr>
                  </w:pPr>
                  <w:r>
                    <w:rPr>
                      <w:color w:val="000000"/>
                      <w:szCs w:val="21"/>
                    </w:rPr>
                    <w:t>序号</w:t>
                  </w:r>
                </w:p>
              </w:tc>
              <w:tc>
                <w:tcPr>
                  <w:tcW w:w="702" w:type="pct"/>
                  <w:vAlign w:val="center"/>
                </w:tcPr>
                <w:p>
                  <w:pPr>
                    <w:jc w:val="center"/>
                    <w:rPr>
                      <w:color w:val="000000"/>
                      <w:szCs w:val="21"/>
                    </w:rPr>
                  </w:pPr>
                  <w:r>
                    <w:rPr>
                      <w:color w:val="000000"/>
                      <w:szCs w:val="21"/>
                    </w:rPr>
                    <w:t>环境要素</w:t>
                  </w:r>
                </w:p>
              </w:tc>
              <w:tc>
                <w:tcPr>
                  <w:tcW w:w="928" w:type="pct"/>
                  <w:vAlign w:val="center"/>
                </w:tcPr>
                <w:p>
                  <w:pPr>
                    <w:jc w:val="center"/>
                    <w:rPr>
                      <w:color w:val="000000"/>
                      <w:szCs w:val="21"/>
                    </w:rPr>
                  </w:pPr>
                  <w:r>
                    <w:rPr>
                      <w:color w:val="000000"/>
                      <w:szCs w:val="21"/>
                    </w:rPr>
                    <w:t>敏感目标</w:t>
                  </w:r>
                </w:p>
              </w:tc>
              <w:tc>
                <w:tcPr>
                  <w:tcW w:w="845" w:type="pct"/>
                  <w:vAlign w:val="center"/>
                </w:tcPr>
                <w:p>
                  <w:pPr>
                    <w:jc w:val="center"/>
                    <w:rPr>
                      <w:color w:val="000000"/>
                      <w:szCs w:val="21"/>
                    </w:rPr>
                  </w:pPr>
                  <w:r>
                    <w:rPr>
                      <w:color w:val="000000"/>
                      <w:szCs w:val="21"/>
                    </w:rPr>
                    <w:t>方位、距离</w:t>
                  </w:r>
                </w:p>
              </w:tc>
              <w:tc>
                <w:tcPr>
                  <w:tcW w:w="835" w:type="pct"/>
                  <w:vAlign w:val="center"/>
                </w:tcPr>
                <w:p>
                  <w:pPr>
                    <w:jc w:val="center"/>
                    <w:rPr>
                      <w:color w:val="000000"/>
                      <w:szCs w:val="21"/>
                    </w:rPr>
                  </w:pPr>
                  <w:r>
                    <w:rPr>
                      <w:color w:val="000000"/>
                      <w:szCs w:val="21"/>
                    </w:rPr>
                    <w:t>规模</w:t>
                  </w:r>
                </w:p>
              </w:tc>
              <w:tc>
                <w:tcPr>
                  <w:tcW w:w="1214" w:type="pct"/>
                  <w:vAlign w:val="center"/>
                </w:tcPr>
                <w:p>
                  <w:pPr>
                    <w:jc w:val="center"/>
                    <w:rPr>
                      <w:color w:val="000000"/>
                      <w:szCs w:val="21"/>
                    </w:rPr>
                  </w:pPr>
                  <w:r>
                    <w:rPr>
                      <w:color w:val="000000"/>
                      <w:szCs w:val="21"/>
                    </w:rPr>
                    <w:t>环境保护要求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76" w:type="pct"/>
                  <w:vAlign w:val="center"/>
                </w:tcPr>
                <w:p>
                  <w:pPr>
                    <w:jc w:val="center"/>
                    <w:rPr>
                      <w:color w:val="000000"/>
                      <w:szCs w:val="21"/>
                    </w:rPr>
                  </w:pPr>
                  <w:r>
                    <w:rPr>
                      <w:color w:val="000000"/>
                      <w:szCs w:val="21"/>
                    </w:rPr>
                    <w:t>1</w:t>
                  </w:r>
                </w:p>
              </w:tc>
              <w:tc>
                <w:tcPr>
                  <w:tcW w:w="702" w:type="pct"/>
                  <w:vAlign w:val="center"/>
                </w:tcPr>
                <w:p>
                  <w:pPr>
                    <w:jc w:val="center"/>
                    <w:rPr>
                      <w:color w:val="000000"/>
                      <w:szCs w:val="21"/>
                    </w:rPr>
                  </w:pPr>
                  <w:r>
                    <w:rPr>
                      <w:color w:val="000000"/>
                      <w:szCs w:val="21"/>
                    </w:rPr>
                    <w:t>大气环境</w:t>
                  </w:r>
                </w:p>
              </w:tc>
              <w:tc>
                <w:tcPr>
                  <w:tcW w:w="928" w:type="pct"/>
                  <w:vAlign w:val="center"/>
                </w:tcPr>
                <w:p>
                  <w:pPr>
                    <w:jc w:val="center"/>
                    <w:rPr>
                      <w:color w:val="000000"/>
                      <w:szCs w:val="21"/>
                    </w:rPr>
                  </w:pPr>
                  <w:r>
                    <w:rPr>
                      <w:rFonts w:hint="eastAsia"/>
                      <w:color w:val="000000"/>
                      <w:szCs w:val="21"/>
                    </w:rPr>
                    <w:t>山前</w:t>
                  </w:r>
                </w:p>
              </w:tc>
              <w:tc>
                <w:tcPr>
                  <w:tcW w:w="845" w:type="pct"/>
                  <w:vAlign w:val="center"/>
                </w:tcPr>
                <w:p>
                  <w:pPr>
                    <w:jc w:val="center"/>
                    <w:rPr>
                      <w:color w:val="000000"/>
                      <w:szCs w:val="21"/>
                    </w:rPr>
                  </w:pPr>
                  <w:r>
                    <w:rPr>
                      <w:rFonts w:hint="eastAsia"/>
                      <w:color w:val="000000"/>
                      <w:szCs w:val="21"/>
                    </w:rPr>
                    <w:t>西侧442m</w:t>
                  </w:r>
                </w:p>
              </w:tc>
              <w:tc>
                <w:tcPr>
                  <w:tcW w:w="835" w:type="pct"/>
                  <w:vAlign w:val="center"/>
                </w:tcPr>
                <w:p>
                  <w:pPr>
                    <w:jc w:val="center"/>
                    <w:rPr>
                      <w:color w:val="000000"/>
                      <w:szCs w:val="21"/>
                    </w:rPr>
                  </w:pPr>
                  <w:r>
                    <w:rPr>
                      <w:rFonts w:hint="eastAsia"/>
                      <w:color w:val="000000"/>
                      <w:szCs w:val="21"/>
                    </w:rPr>
                    <w:t>约400人</w:t>
                  </w:r>
                </w:p>
              </w:tc>
              <w:tc>
                <w:tcPr>
                  <w:tcW w:w="1214" w:type="pct"/>
                  <w:vAlign w:val="center"/>
                </w:tcPr>
                <w:p>
                  <w:pPr>
                    <w:jc w:val="center"/>
                    <w:rPr>
                      <w:color w:val="000000"/>
                      <w:szCs w:val="21"/>
                    </w:rPr>
                  </w:pPr>
                  <w:r>
                    <w:rPr>
                      <w:color w:val="000000"/>
                      <w:szCs w:val="21"/>
                    </w:rPr>
                    <w:t>《环境空气质量标准》（GB3095-2012）中的二级标准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76" w:type="pct"/>
                  <w:vAlign w:val="center"/>
                </w:tcPr>
                <w:p>
                  <w:pPr>
                    <w:jc w:val="center"/>
                    <w:rPr>
                      <w:color w:val="000000"/>
                      <w:szCs w:val="21"/>
                    </w:rPr>
                  </w:pPr>
                  <w:r>
                    <w:rPr>
                      <w:rFonts w:hint="eastAsia"/>
                      <w:color w:val="000000"/>
                      <w:szCs w:val="21"/>
                    </w:rPr>
                    <w:t>2</w:t>
                  </w:r>
                </w:p>
              </w:tc>
              <w:tc>
                <w:tcPr>
                  <w:tcW w:w="702" w:type="pct"/>
                  <w:vAlign w:val="center"/>
                </w:tcPr>
                <w:p>
                  <w:pPr>
                    <w:jc w:val="center"/>
                    <w:rPr>
                      <w:color w:val="000000"/>
                      <w:szCs w:val="21"/>
                    </w:rPr>
                  </w:pPr>
                  <w:r>
                    <w:rPr>
                      <w:color w:val="000000"/>
                      <w:szCs w:val="21"/>
                    </w:rPr>
                    <w:t>噪</w:t>
                  </w:r>
                  <w:r>
                    <w:rPr>
                      <w:rFonts w:hint="eastAsia"/>
                      <w:color w:val="000000"/>
                      <w:szCs w:val="21"/>
                    </w:rPr>
                    <w:t>声</w:t>
                  </w:r>
                </w:p>
              </w:tc>
              <w:tc>
                <w:tcPr>
                  <w:tcW w:w="3822" w:type="pct"/>
                  <w:gridSpan w:val="4"/>
                  <w:vAlign w:val="center"/>
                </w:tcPr>
                <w:p>
                  <w:pPr>
                    <w:jc w:val="center"/>
                    <w:rPr>
                      <w:color w:val="000000"/>
                      <w:szCs w:val="21"/>
                    </w:rPr>
                  </w:pPr>
                  <w:r>
                    <w:rPr>
                      <w:color w:val="000000"/>
                      <w:szCs w:val="21"/>
                    </w:rPr>
                    <w:t>50m 范围内无</w:t>
                  </w:r>
                  <w:r>
                    <w:rPr>
                      <w:rFonts w:hint="eastAsia"/>
                      <w:color w:val="000000"/>
                      <w:szCs w:val="21"/>
                    </w:rPr>
                    <w:t>声环境</w:t>
                  </w:r>
                  <w:r>
                    <w:rPr>
                      <w:color w:val="000000"/>
                      <w:szCs w:val="21"/>
                    </w:rPr>
                    <w:t>敏感保护目</w:t>
                  </w:r>
                  <w:r>
                    <w:rPr>
                      <w:rFonts w:hint="eastAsia" w:ascii="宋体" w:hAnsi="宋体"/>
                      <w:color w:val="000000"/>
                      <w:szCs w:val="21"/>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76" w:type="pct"/>
                  <w:vAlign w:val="center"/>
                </w:tcPr>
                <w:p>
                  <w:pPr>
                    <w:jc w:val="center"/>
                    <w:rPr>
                      <w:color w:val="000000"/>
                      <w:szCs w:val="21"/>
                    </w:rPr>
                  </w:pPr>
                  <w:r>
                    <w:rPr>
                      <w:rFonts w:hint="eastAsia"/>
                      <w:color w:val="000000"/>
                      <w:szCs w:val="21"/>
                    </w:rPr>
                    <w:t>3</w:t>
                  </w:r>
                </w:p>
              </w:tc>
              <w:tc>
                <w:tcPr>
                  <w:tcW w:w="702" w:type="pct"/>
                  <w:vAlign w:val="center"/>
                </w:tcPr>
                <w:p>
                  <w:pPr>
                    <w:jc w:val="center"/>
                    <w:rPr>
                      <w:color w:val="000000"/>
                      <w:szCs w:val="21"/>
                    </w:rPr>
                  </w:pPr>
                  <w:r>
                    <w:rPr>
                      <w:color w:val="000000"/>
                      <w:kern w:val="18"/>
                      <w:szCs w:val="21"/>
                    </w:rPr>
                    <w:t>地下水</w:t>
                  </w:r>
                </w:p>
              </w:tc>
              <w:tc>
                <w:tcPr>
                  <w:tcW w:w="3822" w:type="pct"/>
                  <w:gridSpan w:val="4"/>
                  <w:vAlign w:val="center"/>
                </w:tcPr>
                <w:p>
                  <w:pPr>
                    <w:rPr>
                      <w:color w:val="000000"/>
                      <w:szCs w:val="21"/>
                    </w:rPr>
                  </w:pPr>
                  <w:r>
                    <w:rPr>
                      <w:color w:val="000000"/>
                      <w:kern w:val="18"/>
                      <w:szCs w:val="21"/>
                    </w:rPr>
                    <w:t>项目建设场地不涉及生活供水水源地准保护区、生活供水水源地准保护区以外的补给径流区及地下水环境相关的其他保护区等敏感区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76" w:type="pct"/>
                  <w:vAlign w:val="center"/>
                </w:tcPr>
                <w:p>
                  <w:pPr>
                    <w:jc w:val="center"/>
                    <w:rPr>
                      <w:color w:val="000000"/>
                      <w:szCs w:val="21"/>
                    </w:rPr>
                  </w:pPr>
                  <w:r>
                    <w:rPr>
                      <w:rFonts w:hint="eastAsia"/>
                      <w:color w:val="000000"/>
                      <w:szCs w:val="21"/>
                    </w:rPr>
                    <w:t>4</w:t>
                  </w:r>
                </w:p>
              </w:tc>
              <w:tc>
                <w:tcPr>
                  <w:tcW w:w="702" w:type="pct"/>
                  <w:vAlign w:val="center"/>
                </w:tcPr>
                <w:p>
                  <w:pPr>
                    <w:jc w:val="center"/>
                    <w:rPr>
                      <w:color w:val="000000"/>
                      <w:kern w:val="18"/>
                      <w:szCs w:val="21"/>
                    </w:rPr>
                  </w:pPr>
                  <w:r>
                    <w:rPr>
                      <w:color w:val="000000"/>
                      <w:kern w:val="18"/>
                      <w:szCs w:val="21"/>
                    </w:rPr>
                    <w:t>生态</w:t>
                  </w:r>
                </w:p>
                <w:p>
                  <w:pPr>
                    <w:jc w:val="center"/>
                    <w:rPr>
                      <w:color w:val="000000"/>
                      <w:szCs w:val="21"/>
                    </w:rPr>
                  </w:pPr>
                  <w:r>
                    <w:rPr>
                      <w:color w:val="000000"/>
                      <w:kern w:val="18"/>
                      <w:szCs w:val="21"/>
                    </w:rPr>
                    <w:t>环境</w:t>
                  </w:r>
                </w:p>
              </w:tc>
              <w:tc>
                <w:tcPr>
                  <w:tcW w:w="3822" w:type="pct"/>
                  <w:gridSpan w:val="4"/>
                  <w:vAlign w:val="center"/>
                </w:tcPr>
                <w:p>
                  <w:pPr>
                    <w:rPr>
                      <w:color w:val="000000"/>
                      <w:szCs w:val="21"/>
                    </w:rPr>
                  </w:pPr>
                  <w:r>
                    <w:rPr>
                      <w:color w:val="000000"/>
                      <w:kern w:val="18"/>
                      <w:szCs w:val="21"/>
                    </w:rPr>
                    <w:t>项目所在地生态结构现状主要为以工业区为基础的人工生态系统为主，评价范围内不涉及自然保护区、森林公园、风景名胜区等生态敏感区</w:t>
                  </w:r>
                </w:p>
              </w:tc>
            </w:tr>
          </w:tbl>
          <w:p>
            <w:pPr>
              <w:adjustRightInd w:val="0"/>
              <w:snapToGrid w:val="0"/>
              <w:rPr>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23" w:type="dxa"/>
            <w:tcMar>
              <w:left w:w="28" w:type="dxa"/>
              <w:right w:w="28" w:type="dxa"/>
            </w:tcMar>
            <w:vAlign w:val="center"/>
          </w:tcPr>
          <w:p>
            <w:pPr>
              <w:adjustRightInd w:val="0"/>
              <w:snapToGrid w:val="0"/>
              <w:jc w:val="center"/>
              <w:rPr>
                <w:color w:val="000000"/>
                <w:kern w:val="0"/>
                <w:szCs w:val="21"/>
              </w:rPr>
            </w:pPr>
            <w:r>
              <w:rPr>
                <w:color w:val="000000"/>
                <w:kern w:val="0"/>
                <w:szCs w:val="21"/>
              </w:rPr>
              <w:t>污染</w:t>
            </w:r>
          </w:p>
          <w:p>
            <w:pPr>
              <w:adjustRightInd w:val="0"/>
              <w:snapToGrid w:val="0"/>
              <w:jc w:val="center"/>
              <w:rPr>
                <w:color w:val="000000"/>
                <w:kern w:val="0"/>
                <w:szCs w:val="21"/>
              </w:rPr>
            </w:pPr>
            <w:r>
              <w:rPr>
                <w:color w:val="000000"/>
                <w:kern w:val="0"/>
                <w:szCs w:val="21"/>
              </w:rPr>
              <w:t>物排</w:t>
            </w:r>
          </w:p>
          <w:p>
            <w:pPr>
              <w:adjustRightInd w:val="0"/>
              <w:snapToGrid w:val="0"/>
              <w:jc w:val="center"/>
              <w:rPr>
                <w:color w:val="000000"/>
                <w:kern w:val="0"/>
                <w:szCs w:val="21"/>
              </w:rPr>
            </w:pPr>
            <w:r>
              <w:rPr>
                <w:color w:val="000000"/>
                <w:kern w:val="0"/>
                <w:szCs w:val="21"/>
              </w:rPr>
              <w:t>放控</w:t>
            </w:r>
          </w:p>
          <w:p>
            <w:pPr>
              <w:adjustRightInd w:val="0"/>
              <w:snapToGrid w:val="0"/>
              <w:jc w:val="center"/>
              <w:rPr>
                <w:color w:val="000000"/>
                <w:kern w:val="0"/>
                <w:szCs w:val="21"/>
              </w:rPr>
            </w:pPr>
            <w:r>
              <w:rPr>
                <w:color w:val="000000"/>
                <w:kern w:val="0"/>
                <w:szCs w:val="21"/>
              </w:rPr>
              <w:t>制标</w:t>
            </w:r>
          </w:p>
          <w:p>
            <w:pPr>
              <w:adjustRightInd w:val="0"/>
              <w:snapToGrid w:val="0"/>
              <w:jc w:val="center"/>
              <w:rPr>
                <w:color w:val="000000"/>
                <w:kern w:val="0"/>
                <w:szCs w:val="21"/>
              </w:rPr>
            </w:pPr>
            <w:r>
              <w:rPr>
                <w:color w:val="000000"/>
                <w:kern w:val="0"/>
                <w:szCs w:val="21"/>
              </w:rPr>
              <w:t>准</w:t>
            </w:r>
          </w:p>
        </w:tc>
        <w:tc>
          <w:tcPr>
            <w:tcW w:w="8638" w:type="dxa"/>
          </w:tcPr>
          <w:p>
            <w:pPr>
              <w:adjustRightInd w:val="0"/>
              <w:snapToGrid w:val="0"/>
              <w:spacing w:line="360" w:lineRule="auto"/>
              <w:outlineLvl w:val="1"/>
              <w:rPr>
                <w:b/>
                <w:color w:val="000000"/>
                <w:sz w:val="28"/>
                <w:szCs w:val="28"/>
              </w:rPr>
            </w:pPr>
            <w:r>
              <w:rPr>
                <w:b/>
                <w:color w:val="000000"/>
                <w:sz w:val="28"/>
                <w:szCs w:val="28"/>
              </w:rPr>
              <w:t>3.3 污染物排放控制标准</w:t>
            </w:r>
          </w:p>
          <w:p>
            <w:pPr>
              <w:adjustRightInd w:val="0"/>
              <w:spacing w:line="360" w:lineRule="auto"/>
              <w:ind w:firstLine="480" w:firstLineChars="200"/>
              <w:contextualSpacing/>
              <w:rPr>
                <w:color w:val="000000"/>
                <w:sz w:val="24"/>
              </w:rPr>
            </w:pPr>
            <w:r>
              <w:rPr>
                <w:color w:val="000000"/>
                <w:sz w:val="24"/>
              </w:rPr>
              <w:t>（1）水污染物排放标准</w:t>
            </w:r>
          </w:p>
          <w:p>
            <w:pPr>
              <w:adjustRightInd w:val="0"/>
              <w:snapToGrid w:val="0"/>
              <w:spacing w:line="360" w:lineRule="auto"/>
              <w:ind w:firstLine="480" w:firstLineChars="200"/>
              <w:rPr>
                <w:color w:val="000000"/>
                <w:sz w:val="24"/>
              </w:rPr>
            </w:pPr>
            <w:r>
              <w:rPr>
                <w:rFonts w:hint="eastAsia"/>
                <w:color w:val="000000"/>
                <w:sz w:val="24"/>
              </w:rPr>
              <w:t>项目冷却水循环使用不外排。根据生态环境部部长信箱《关于行业标准中生活废水执行问题的回复》中说明若生活废水与生产废水完全隔绝，这类生活废水可按照一般生活废水管理。</w:t>
            </w:r>
          </w:p>
          <w:p>
            <w:pPr>
              <w:adjustRightInd w:val="0"/>
              <w:snapToGrid w:val="0"/>
              <w:spacing w:line="360" w:lineRule="auto"/>
              <w:ind w:firstLine="480" w:firstLineChars="200"/>
              <w:rPr>
                <w:color w:val="000000"/>
                <w:sz w:val="24"/>
              </w:rPr>
            </w:pPr>
            <w:r>
              <w:rPr>
                <w:color w:val="000000"/>
                <w:sz w:val="24"/>
              </w:rPr>
              <w:t>项目</w:t>
            </w:r>
            <w:r>
              <w:rPr>
                <w:rFonts w:hint="eastAsia"/>
                <w:color w:val="000000"/>
                <w:sz w:val="24"/>
              </w:rPr>
              <w:t>外排</w:t>
            </w:r>
            <w:r>
              <w:rPr>
                <w:color w:val="000000"/>
                <w:sz w:val="24"/>
              </w:rPr>
              <w:t>废水主要为职工的生活污水，生活污水经</w:t>
            </w:r>
            <w:r>
              <w:rPr>
                <w:rFonts w:hint="eastAsia"/>
                <w:color w:val="000000"/>
                <w:sz w:val="24"/>
              </w:rPr>
              <w:t>厂区</w:t>
            </w:r>
            <w:r>
              <w:rPr>
                <w:color w:val="000000"/>
                <w:sz w:val="24"/>
              </w:rPr>
              <w:t>内已建的化粪池预处理后通过市政污水管网纳入</w:t>
            </w:r>
            <w:r>
              <w:rPr>
                <w:rFonts w:hint="eastAsia"/>
                <w:color w:val="000000"/>
                <w:sz w:val="24"/>
              </w:rPr>
              <w:t>福清融元污水处理厂</w:t>
            </w:r>
            <w:r>
              <w:rPr>
                <w:color w:val="000000"/>
                <w:sz w:val="24"/>
              </w:rPr>
              <w:t>集中处理；外排生活污水执行《污水综合排放标准》(GB8978-1996)表4中的三级标准，氨氮参照执行《污水排入城镇下水道水质标准》(GB/T 31962-2015)表1中B级标准，详见表</w:t>
            </w:r>
            <w:r>
              <w:rPr>
                <w:rFonts w:hint="eastAsia"/>
                <w:color w:val="000000"/>
                <w:sz w:val="24"/>
              </w:rPr>
              <w:t>3.3-1</w:t>
            </w:r>
            <w:r>
              <w:rPr>
                <w:color w:val="000000"/>
                <w:sz w:val="24"/>
              </w:rPr>
              <w:t>。</w:t>
            </w:r>
          </w:p>
          <w:p>
            <w:pPr>
              <w:adjustRightInd w:val="0"/>
              <w:snapToGrid w:val="0"/>
              <w:spacing w:before="120" w:beforeLines="50"/>
              <w:jc w:val="center"/>
              <w:rPr>
                <w:b/>
                <w:bCs/>
                <w:color w:val="000000"/>
                <w:szCs w:val="21"/>
              </w:rPr>
            </w:pPr>
            <w:r>
              <w:rPr>
                <w:b/>
                <w:bCs/>
                <w:color w:val="000000"/>
                <w:szCs w:val="21"/>
              </w:rPr>
              <w:t>表</w:t>
            </w:r>
            <w:r>
              <w:rPr>
                <w:rFonts w:hint="eastAsia"/>
                <w:b/>
                <w:bCs/>
                <w:color w:val="000000"/>
                <w:szCs w:val="21"/>
              </w:rPr>
              <w:t>3.3</w:t>
            </w:r>
            <w:r>
              <w:rPr>
                <w:b/>
                <w:bCs/>
                <w:color w:val="000000"/>
                <w:szCs w:val="21"/>
              </w:rPr>
              <w:t>-1  项目执行的污水排放标准</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2255"/>
              <w:gridCol w:w="3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adjustRightInd w:val="0"/>
                    <w:snapToGrid w:val="0"/>
                    <w:spacing w:line="340" w:lineRule="exact"/>
                    <w:jc w:val="center"/>
                    <w:rPr>
                      <w:b/>
                      <w:bCs/>
                      <w:snapToGrid w:val="0"/>
                      <w:color w:val="000000"/>
                      <w:kern w:val="18"/>
                      <w:szCs w:val="21"/>
                    </w:rPr>
                  </w:pPr>
                  <w:r>
                    <w:rPr>
                      <w:b/>
                      <w:bCs/>
                      <w:snapToGrid w:val="0"/>
                      <w:color w:val="000000"/>
                      <w:kern w:val="18"/>
                      <w:szCs w:val="21"/>
                    </w:rPr>
                    <w:t>污染物名称</w:t>
                  </w:r>
                </w:p>
              </w:tc>
              <w:tc>
                <w:tcPr>
                  <w:tcW w:w="1339" w:type="pct"/>
                  <w:vAlign w:val="center"/>
                </w:tcPr>
                <w:p>
                  <w:pPr>
                    <w:adjustRightInd w:val="0"/>
                    <w:snapToGrid w:val="0"/>
                    <w:spacing w:line="340" w:lineRule="exact"/>
                    <w:jc w:val="center"/>
                    <w:rPr>
                      <w:b/>
                      <w:bCs/>
                      <w:snapToGrid w:val="0"/>
                      <w:color w:val="000000"/>
                      <w:kern w:val="18"/>
                      <w:szCs w:val="21"/>
                    </w:rPr>
                  </w:pPr>
                  <w:r>
                    <w:rPr>
                      <w:b/>
                      <w:bCs/>
                      <w:snapToGrid w:val="0"/>
                      <w:color w:val="000000"/>
                      <w:kern w:val="18"/>
                      <w:szCs w:val="21"/>
                    </w:rPr>
                    <w:t>标准值</w:t>
                  </w:r>
                </w:p>
              </w:tc>
              <w:tc>
                <w:tcPr>
                  <w:tcW w:w="2321" w:type="pct"/>
                  <w:vAlign w:val="center"/>
                </w:tcPr>
                <w:p>
                  <w:pPr>
                    <w:adjustRightInd w:val="0"/>
                    <w:snapToGrid w:val="0"/>
                    <w:spacing w:line="340" w:lineRule="exact"/>
                    <w:jc w:val="center"/>
                    <w:rPr>
                      <w:b/>
                      <w:bCs/>
                      <w:snapToGrid w:val="0"/>
                      <w:color w:val="000000"/>
                      <w:kern w:val="18"/>
                      <w:szCs w:val="21"/>
                    </w:rPr>
                  </w:pPr>
                  <w:r>
                    <w:rPr>
                      <w:b/>
                      <w:bCs/>
                      <w:snapToGrid w:val="0"/>
                      <w:color w:val="000000"/>
                      <w:kern w:val="18"/>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pH</w:t>
                  </w:r>
                </w:p>
              </w:tc>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 xml:space="preserve">6～9(无量纲) </w:t>
                  </w:r>
                </w:p>
              </w:tc>
              <w:tc>
                <w:tcPr>
                  <w:tcW w:w="2321" w:type="pct"/>
                  <w:vMerge w:val="restart"/>
                  <w:vAlign w:val="center"/>
                </w:tcPr>
                <w:p>
                  <w:pPr>
                    <w:adjustRightInd w:val="0"/>
                    <w:snapToGrid w:val="0"/>
                    <w:spacing w:line="340" w:lineRule="exact"/>
                    <w:jc w:val="center"/>
                    <w:rPr>
                      <w:snapToGrid w:val="0"/>
                      <w:color w:val="000000"/>
                      <w:kern w:val="18"/>
                      <w:szCs w:val="21"/>
                    </w:rPr>
                  </w:pPr>
                  <w:r>
                    <w:rPr>
                      <w:snapToGrid w:val="0"/>
                      <w:color w:val="000000"/>
                      <w:kern w:val="18"/>
                      <w:szCs w:val="21"/>
                    </w:rPr>
                    <w:t>《污水综合排放标准》(GB8978-1996)</w:t>
                  </w:r>
                </w:p>
                <w:p>
                  <w:pPr>
                    <w:adjustRightInd w:val="0"/>
                    <w:snapToGrid w:val="0"/>
                    <w:spacing w:line="340" w:lineRule="exact"/>
                    <w:jc w:val="center"/>
                    <w:rPr>
                      <w:snapToGrid w:val="0"/>
                      <w:color w:val="000000"/>
                      <w:kern w:val="18"/>
                      <w:szCs w:val="21"/>
                    </w:rPr>
                  </w:pPr>
                  <w:r>
                    <w:rPr>
                      <w:snapToGrid w:val="0"/>
                      <w:color w:val="000000"/>
                      <w:kern w:val="18"/>
                      <w:szCs w:val="21"/>
                    </w:rPr>
                    <w:t>中表4三级标准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COD</w:t>
                  </w:r>
                </w:p>
              </w:tc>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500mg/L</w:t>
                  </w:r>
                </w:p>
              </w:tc>
              <w:tc>
                <w:tcPr>
                  <w:tcW w:w="2321" w:type="pct"/>
                  <w:vMerge w:val="continue"/>
                  <w:vAlign w:val="center"/>
                </w:tcPr>
                <w:p>
                  <w:pPr>
                    <w:adjustRightInd w:val="0"/>
                    <w:snapToGrid w:val="0"/>
                    <w:spacing w:line="340" w:lineRule="exact"/>
                    <w:jc w:val="center"/>
                    <w:rPr>
                      <w:snapToGrid w:val="0"/>
                      <w:color w:val="000000"/>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BOD</w:t>
                  </w:r>
                  <w:r>
                    <w:rPr>
                      <w:snapToGrid w:val="0"/>
                      <w:color w:val="000000"/>
                      <w:kern w:val="18"/>
                      <w:szCs w:val="21"/>
                      <w:vertAlign w:val="subscript"/>
                    </w:rPr>
                    <w:t>5</w:t>
                  </w:r>
                </w:p>
              </w:tc>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300mg/L</w:t>
                  </w:r>
                </w:p>
              </w:tc>
              <w:tc>
                <w:tcPr>
                  <w:tcW w:w="2321" w:type="pct"/>
                  <w:vMerge w:val="continue"/>
                  <w:vAlign w:val="center"/>
                </w:tcPr>
                <w:p>
                  <w:pPr>
                    <w:adjustRightInd w:val="0"/>
                    <w:snapToGrid w:val="0"/>
                    <w:spacing w:line="340" w:lineRule="exact"/>
                    <w:jc w:val="center"/>
                    <w:rPr>
                      <w:snapToGrid w:val="0"/>
                      <w:color w:val="000000"/>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SS</w:t>
                  </w:r>
                </w:p>
              </w:tc>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400mg/L</w:t>
                  </w:r>
                </w:p>
              </w:tc>
              <w:tc>
                <w:tcPr>
                  <w:tcW w:w="2321" w:type="pct"/>
                  <w:vMerge w:val="continue"/>
                  <w:vAlign w:val="center"/>
                </w:tcPr>
                <w:p>
                  <w:pPr>
                    <w:adjustRightInd w:val="0"/>
                    <w:snapToGrid w:val="0"/>
                    <w:spacing w:line="340" w:lineRule="exact"/>
                    <w:jc w:val="center"/>
                    <w:rPr>
                      <w:snapToGrid w:val="0"/>
                      <w:color w:val="000000"/>
                      <w:kern w:val="18"/>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NH</w:t>
                  </w:r>
                  <w:r>
                    <w:rPr>
                      <w:snapToGrid w:val="0"/>
                      <w:color w:val="000000"/>
                      <w:kern w:val="18"/>
                      <w:szCs w:val="21"/>
                      <w:vertAlign w:val="subscript"/>
                    </w:rPr>
                    <w:t>3</w:t>
                  </w:r>
                  <w:r>
                    <w:rPr>
                      <w:snapToGrid w:val="0"/>
                      <w:color w:val="000000"/>
                      <w:kern w:val="18"/>
                      <w:szCs w:val="21"/>
                    </w:rPr>
                    <w:t>-N</w:t>
                  </w:r>
                </w:p>
              </w:tc>
              <w:tc>
                <w:tcPr>
                  <w:tcW w:w="1339"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45mg/L</w:t>
                  </w:r>
                </w:p>
              </w:tc>
              <w:tc>
                <w:tcPr>
                  <w:tcW w:w="2321" w:type="pct"/>
                  <w:vAlign w:val="center"/>
                </w:tcPr>
                <w:p>
                  <w:pPr>
                    <w:adjustRightInd w:val="0"/>
                    <w:snapToGrid w:val="0"/>
                    <w:spacing w:line="340" w:lineRule="exact"/>
                    <w:jc w:val="center"/>
                    <w:rPr>
                      <w:snapToGrid w:val="0"/>
                      <w:color w:val="000000"/>
                      <w:kern w:val="18"/>
                      <w:szCs w:val="21"/>
                    </w:rPr>
                  </w:pPr>
                  <w:r>
                    <w:rPr>
                      <w:snapToGrid w:val="0"/>
                      <w:color w:val="000000"/>
                      <w:kern w:val="18"/>
                      <w:szCs w:val="21"/>
                    </w:rPr>
                    <w:t>参照执行《污水排入城镇下水道水质标准》(GB/T 31962-2015)表1中B级标准</w:t>
                  </w:r>
                </w:p>
              </w:tc>
            </w:tr>
          </w:tbl>
          <w:p>
            <w:pPr>
              <w:adjustRightInd w:val="0"/>
              <w:snapToGrid w:val="0"/>
              <w:spacing w:before="120" w:beforeLines="50" w:line="360" w:lineRule="auto"/>
              <w:ind w:firstLine="480" w:firstLineChars="200"/>
              <w:rPr>
                <w:color w:val="000000"/>
                <w:sz w:val="24"/>
              </w:rPr>
            </w:pPr>
            <w:r>
              <w:rPr>
                <w:color w:val="000000"/>
                <w:sz w:val="24"/>
              </w:rPr>
              <w:t>（2）大气污染物排放标准</w:t>
            </w:r>
          </w:p>
          <w:p>
            <w:pPr>
              <w:pStyle w:val="31"/>
              <w:ind w:firstLine="480"/>
              <w:rPr>
                <w:color w:val="000000"/>
                <w:kern w:val="2"/>
                <w:sz w:val="24"/>
                <w:szCs w:val="24"/>
              </w:rPr>
            </w:pPr>
            <w:bookmarkStart w:id="34" w:name="_Toc31355_WPSOffice_Level2"/>
            <w:r>
              <w:rPr>
                <w:rFonts w:hint="eastAsia"/>
                <w:color w:val="000000"/>
                <w:kern w:val="2"/>
                <w:sz w:val="24"/>
                <w:szCs w:val="24"/>
              </w:rPr>
              <w:t>项目造粒生产过程中和打样过程中会产生非甲烷总烃。有组织非甲烷总烃执行《合成树脂工业污染物排放标准》（GB31572-2015）（含2024修改单）中表5排放标准值的</w:t>
            </w:r>
            <w:r>
              <w:rPr>
                <w:color w:val="000000"/>
                <w:kern w:val="2"/>
                <w:sz w:val="24"/>
                <w:szCs w:val="24"/>
              </w:rPr>
              <w:t>相关排放限值要求</w:t>
            </w:r>
            <w:r>
              <w:rPr>
                <w:rFonts w:hint="eastAsia"/>
                <w:color w:val="000000"/>
                <w:kern w:val="2"/>
                <w:sz w:val="24"/>
                <w:szCs w:val="24"/>
              </w:rPr>
              <w:t>；厂界无组织非甲烷总烃执行《合成树脂工业污染物排放标准》（GB31572-2015）（含2024修改单）中表9中所有合成树脂排放标准值的规定，</w:t>
            </w:r>
            <w:r>
              <w:rPr>
                <w:color w:val="000000"/>
                <w:kern w:val="2"/>
                <w:sz w:val="24"/>
                <w:szCs w:val="24"/>
              </w:rPr>
              <w:t>具体排放标准见表</w:t>
            </w:r>
            <w:r>
              <w:rPr>
                <w:rFonts w:hint="eastAsia"/>
                <w:color w:val="000000"/>
                <w:kern w:val="2"/>
                <w:sz w:val="24"/>
                <w:szCs w:val="24"/>
              </w:rPr>
              <w:t>3.</w:t>
            </w:r>
            <w:r>
              <w:rPr>
                <w:color w:val="000000"/>
                <w:kern w:val="2"/>
                <w:sz w:val="24"/>
                <w:szCs w:val="24"/>
              </w:rPr>
              <w:t>3</w:t>
            </w:r>
            <w:r>
              <w:rPr>
                <w:rFonts w:hint="eastAsia"/>
                <w:color w:val="000000"/>
                <w:kern w:val="2"/>
                <w:sz w:val="24"/>
                <w:szCs w:val="24"/>
              </w:rPr>
              <w:t>-2。</w:t>
            </w:r>
            <w:r>
              <w:rPr>
                <w:color w:val="000000"/>
                <w:kern w:val="2"/>
                <w:sz w:val="24"/>
                <w:szCs w:val="24"/>
              </w:rPr>
              <w:t>臭气浓度排放执行《恶臭污染物排放标准》（GB14554-93）表1</w:t>
            </w:r>
            <w:r>
              <w:rPr>
                <w:rFonts w:hint="eastAsia"/>
                <w:color w:val="000000"/>
                <w:sz w:val="24"/>
              </w:rPr>
              <w:t>、表2</w:t>
            </w:r>
            <w:r>
              <w:rPr>
                <w:color w:val="000000"/>
                <w:kern w:val="2"/>
                <w:sz w:val="24"/>
                <w:szCs w:val="24"/>
              </w:rPr>
              <w:t>排放限值</w:t>
            </w:r>
            <w:r>
              <w:rPr>
                <w:color w:val="000000"/>
                <w:sz w:val="24"/>
              </w:rPr>
              <w:t>，详见表</w:t>
            </w:r>
            <w:r>
              <w:rPr>
                <w:rFonts w:hint="eastAsia"/>
                <w:color w:val="000000"/>
                <w:sz w:val="24"/>
              </w:rPr>
              <w:t>3.3-3</w:t>
            </w:r>
            <w:r>
              <w:rPr>
                <w:rFonts w:hint="eastAsia"/>
                <w:color w:val="000000"/>
                <w:kern w:val="2"/>
                <w:sz w:val="24"/>
                <w:szCs w:val="24"/>
              </w:rPr>
              <w:t>。</w:t>
            </w:r>
          </w:p>
          <w:p>
            <w:pPr>
              <w:adjustRightInd w:val="0"/>
              <w:snapToGrid w:val="0"/>
              <w:spacing w:line="360" w:lineRule="auto"/>
              <w:ind w:firstLine="480" w:firstLineChars="200"/>
              <w:rPr>
                <w:rFonts w:cs="宋体"/>
                <w:color w:val="000000"/>
              </w:rPr>
            </w:pPr>
            <w:r>
              <w:rPr>
                <w:rFonts w:hint="eastAsia"/>
                <w:color w:val="000000"/>
                <w:sz w:val="24"/>
              </w:rPr>
              <w:t>项目拌料、投料生产过程中会产生粉尘。有组织颗粒物执行《合成树脂工业污染物排放标准》（GB31572-2015）（含2024修改单）中表5排放标准值的</w:t>
            </w:r>
            <w:r>
              <w:rPr>
                <w:color w:val="000000"/>
                <w:sz w:val="24"/>
              </w:rPr>
              <w:t>相关排放限值要求</w:t>
            </w:r>
            <w:r>
              <w:rPr>
                <w:rFonts w:hint="eastAsia"/>
                <w:color w:val="000000"/>
                <w:sz w:val="24"/>
              </w:rPr>
              <w:t>；厂界无组织颗粒物执行《合成树脂工业污染物排放标准》（GB31572-2015）（含2024修改单）中表9中所有合成树脂排放标准值的规定。</w:t>
            </w:r>
            <w:r>
              <w:rPr>
                <w:color w:val="000000"/>
                <w:sz w:val="24"/>
              </w:rPr>
              <w:t>具体排放标准见表</w:t>
            </w:r>
            <w:r>
              <w:rPr>
                <w:rFonts w:hint="eastAsia"/>
                <w:color w:val="000000"/>
                <w:sz w:val="24"/>
              </w:rPr>
              <w:t>3.</w:t>
            </w:r>
            <w:r>
              <w:rPr>
                <w:color w:val="000000"/>
                <w:sz w:val="24"/>
              </w:rPr>
              <w:t>3</w:t>
            </w:r>
            <w:r>
              <w:rPr>
                <w:rFonts w:hint="eastAsia"/>
                <w:color w:val="000000"/>
                <w:sz w:val="24"/>
              </w:rPr>
              <w:t>-2。</w:t>
            </w:r>
          </w:p>
          <w:bookmarkEnd w:id="34"/>
          <w:p>
            <w:pPr>
              <w:pStyle w:val="86"/>
              <w:spacing w:line="360" w:lineRule="auto"/>
              <w:rPr>
                <w:color w:val="000000"/>
                <w:sz w:val="21"/>
                <w:szCs w:val="21"/>
              </w:rPr>
            </w:pPr>
            <w:r>
              <w:rPr>
                <w:color w:val="000000"/>
                <w:sz w:val="21"/>
                <w:szCs w:val="21"/>
              </w:rPr>
              <w:t>表</w:t>
            </w:r>
            <w:r>
              <w:rPr>
                <w:rFonts w:hint="eastAsia"/>
                <w:color w:val="000000"/>
                <w:sz w:val="21"/>
                <w:szCs w:val="21"/>
              </w:rPr>
              <w:t>3.</w:t>
            </w:r>
            <w:r>
              <w:rPr>
                <w:color w:val="000000"/>
                <w:sz w:val="21"/>
                <w:szCs w:val="21"/>
              </w:rPr>
              <w:t>3</w:t>
            </w:r>
            <w:r>
              <w:rPr>
                <w:rFonts w:hint="eastAsia"/>
                <w:color w:val="000000"/>
                <w:sz w:val="21"/>
                <w:szCs w:val="21"/>
              </w:rPr>
              <w:t>-2废气污染物排放标准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29"/>
              <w:gridCol w:w="2909"/>
              <w:gridCol w:w="2282"/>
              <w:gridCol w:w="1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2" w:hRule="atLeast"/>
                <w:jc w:val="center"/>
              </w:trPr>
              <w:tc>
                <w:tcPr>
                  <w:tcW w:w="1027" w:type="pct"/>
                  <w:vMerge w:val="restart"/>
                  <w:vAlign w:val="center"/>
                </w:tcPr>
                <w:p>
                  <w:pPr>
                    <w:pStyle w:val="87"/>
                    <w:rPr>
                      <w:b/>
                      <w:bCs/>
                      <w:szCs w:val="21"/>
                    </w:rPr>
                  </w:pPr>
                  <w:r>
                    <w:rPr>
                      <w:b/>
                      <w:bCs/>
                      <w:szCs w:val="21"/>
                    </w:rPr>
                    <w:t>污染物</w:t>
                  </w:r>
                </w:p>
              </w:tc>
              <w:tc>
                <w:tcPr>
                  <w:tcW w:w="1728" w:type="pct"/>
                  <w:vAlign w:val="center"/>
                </w:tcPr>
                <w:p>
                  <w:pPr>
                    <w:pStyle w:val="87"/>
                    <w:rPr>
                      <w:b/>
                      <w:bCs/>
                      <w:szCs w:val="21"/>
                    </w:rPr>
                  </w:pPr>
                  <w:r>
                    <w:rPr>
                      <w:b/>
                      <w:bCs/>
                      <w:szCs w:val="21"/>
                    </w:rPr>
                    <w:t>有组织排放监控浓度限值</w:t>
                  </w:r>
                </w:p>
              </w:tc>
              <w:tc>
                <w:tcPr>
                  <w:tcW w:w="2245" w:type="pct"/>
                  <w:gridSpan w:val="2"/>
                  <w:vAlign w:val="center"/>
                </w:tcPr>
                <w:p>
                  <w:pPr>
                    <w:pStyle w:val="87"/>
                    <w:rPr>
                      <w:b/>
                      <w:bCs/>
                      <w:szCs w:val="21"/>
                    </w:rPr>
                  </w:pPr>
                  <w:r>
                    <w:rPr>
                      <w:b/>
                      <w:bCs/>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27" w:type="pct"/>
                  <w:vMerge w:val="continue"/>
                  <w:vAlign w:val="center"/>
                </w:tcPr>
                <w:p>
                  <w:pPr>
                    <w:pStyle w:val="87"/>
                    <w:rPr>
                      <w:b/>
                      <w:bCs/>
                      <w:szCs w:val="21"/>
                    </w:rPr>
                  </w:pPr>
                </w:p>
              </w:tc>
              <w:tc>
                <w:tcPr>
                  <w:tcW w:w="1728" w:type="pct"/>
                  <w:vAlign w:val="center"/>
                </w:tcPr>
                <w:p>
                  <w:pPr>
                    <w:pStyle w:val="87"/>
                    <w:rPr>
                      <w:b/>
                      <w:bCs/>
                      <w:szCs w:val="21"/>
                    </w:rPr>
                  </w:pPr>
                  <w:r>
                    <w:rPr>
                      <w:b/>
                      <w:bCs/>
                      <w:szCs w:val="21"/>
                    </w:rPr>
                    <w:t>排放限值</w:t>
                  </w:r>
                </w:p>
              </w:tc>
              <w:tc>
                <w:tcPr>
                  <w:tcW w:w="1356" w:type="pct"/>
                  <w:vAlign w:val="center"/>
                </w:tcPr>
                <w:p>
                  <w:pPr>
                    <w:pStyle w:val="87"/>
                    <w:rPr>
                      <w:b/>
                      <w:bCs/>
                      <w:szCs w:val="21"/>
                    </w:rPr>
                  </w:pPr>
                  <w:r>
                    <w:rPr>
                      <w:b/>
                      <w:bCs/>
                      <w:szCs w:val="21"/>
                    </w:rPr>
                    <w:t>监控点</w:t>
                  </w:r>
                </w:p>
              </w:tc>
              <w:tc>
                <w:tcPr>
                  <w:tcW w:w="889" w:type="pct"/>
                  <w:vAlign w:val="center"/>
                </w:tcPr>
                <w:p>
                  <w:pPr>
                    <w:pStyle w:val="87"/>
                    <w:rPr>
                      <w:b/>
                      <w:bCs/>
                      <w:szCs w:val="21"/>
                    </w:rPr>
                  </w:pPr>
                  <w:r>
                    <w:rPr>
                      <w:b/>
                      <w:bCs/>
                      <w:szCs w:val="21"/>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6" w:hRule="atLeast"/>
                <w:jc w:val="center"/>
              </w:trPr>
              <w:tc>
                <w:tcPr>
                  <w:tcW w:w="1027" w:type="pct"/>
                  <w:vAlign w:val="center"/>
                </w:tcPr>
                <w:p>
                  <w:pPr>
                    <w:pStyle w:val="87"/>
                    <w:rPr>
                      <w:szCs w:val="21"/>
                    </w:rPr>
                  </w:pPr>
                  <w:r>
                    <w:rPr>
                      <w:szCs w:val="21"/>
                    </w:rPr>
                    <w:t>非甲烷总烃</w:t>
                  </w:r>
                </w:p>
              </w:tc>
              <w:tc>
                <w:tcPr>
                  <w:tcW w:w="1728" w:type="pct"/>
                  <w:vAlign w:val="center"/>
                </w:tcPr>
                <w:p>
                  <w:pPr>
                    <w:pStyle w:val="87"/>
                    <w:rPr>
                      <w:szCs w:val="21"/>
                    </w:rPr>
                  </w:pPr>
                  <w:r>
                    <w:rPr>
                      <w:szCs w:val="21"/>
                    </w:rPr>
                    <w:t>60mg/m</w:t>
                  </w:r>
                  <w:r>
                    <w:rPr>
                      <w:szCs w:val="21"/>
                      <w:vertAlign w:val="superscript"/>
                    </w:rPr>
                    <w:t>3</w:t>
                  </w:r>
                </w:p>
              </w:tc>
              <w:tc>
                <w:tcPr>
                  <w:tcW w:w="1356" w:type="pct"/>
                  <w:vMerge w:val="restart"/>
                  <w:vAlign w:val="center"/>
                </w:tcPr>
                <w:p>
                  <w:pPr>
                    <w:pStyle w:val="87"/>
                    <w:rPr>
                      <w:szCs w:val="21"/>
                    </w:rPr>
                  </w:pPr>
                  <w:r>
                    <w:rPr>
                      <w:szCs w:val="21"/>
                    </w:rPr>
                    <w:t>企业边界任何1小时大气污染物平均浓度</w:t>
                  </w:r>
                </w:p>
              </w:tc>
              <w:tc>
                <w:tcPr>
                  <w:tcW w:w="889" w:type="pct"/>
                  <w:vAlign w:val="center"/>
                </w:tcPr>
                <w:p>
                  <w:pPr>
                    <w:pStyle w:val="87"/>
                    <w:rPr>
                      <w:szCs w:val="21"/>
                    </w:rPr>
                  </w:pPr>
                  <w:r>
                    <w:rPr>
                      <w:szCs w:val="21"/>
                    </w:rPr>
                    <w:t>4.0mg/m</w:t>
                  </w:r>
                  <w:r>
                    <w:rPr>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6" w:hRule="atLeast"/>
                <w:jc w:val="center"/>
              </w:trPr>
              <w:tc>
                <w:tcPr>
                  <w:tcW w:w="1027" w:type="pct"/>
                  <w:vAlign w:val="center"/>
                </w:tcPr>
                <w:p>
                  <w:pPr>
                    <w:pStyle w:val="87"/>
                    <w:rPr>
                      <w:szCs w:val="21"/>
                    </w:rPr>
                  </w:pPr>
                  <w:r>
                    <w:rPr>
                      <w:rFonts w:hint="eastAsia"/>
                      <w:szCs w:val="21"/>
                    </w:rPr>
                    <w:t>颗粒物</w:t>
                  </w:r>
                </w:p>
              </w:tc>
              <w:tc>
                <w:tcPr>
                  <w:tcW w:w="1728" w:type="pct"/>
                  <w:vAlign w:val="center"/>
                </w:tcPr>
                <w:p>
                  <w:pPr>
                    <w:pStyle w:val="87"/>
                    <w:rPr>
                      <w:szCs w:val="21"/>
                    </w:rPr>
                  </w:pPr>
                  <w:r>
                    <w:rPr>
                      <w:rFonts w:hint="eastAsia"/>
                      <w:szCs w:val="21"/>
                    </w:rPr>
                    <w:t>2</w:t>
                  </w:r>
                  <w:r>
                    <w:rPr>
                      <w:szCs w:val="21"/>
                    </w:rPr>
                    <w:t>0mg/m</w:t>
                  </w:r>
                  <w:r>
                    <w:rPr>
                      <w:szCs w:val="21"/>
                      <w:vertAlign w:val="superscript"/>
                    </w:rPr>
                    <w:t>3</w:t>
                  </w:r>
                </w:p>
              </w:tc>
              <w:tc>
                <w:tcPr>
                  <w:tcW w:w="1356" w:type="pct"/>
                  <w:vMerge w:val="continue"/>
                  <w:vAlign w:val="center"/>
                </w:tcPr>
                <w:p>
                  <w:pPr>
                    <w:pStyle w:val="87"/>
                    <w:rPr>
                      <w:szCs w:val="21"/>
                    </w:rPr>
                  </w:pPr>
                </w:p>
              </w:tc>
              <w:tc>
                <w:tcPr>
                  <w:tcW w:w="889" w:type="pct"/>
                  <w:vAlign w:val="center"/>
                </w:tcPr>
                <w:p>
                  <w:pPr>
                    <w:pStyle w:val="87"/>
                    <w:rPr>
                      <w:szCs w:val="21"/>
                    </w:rPr>
                  </w:pPr>
                  <w:r>
                    <w:rPr>
                      <w:rFonts w:hint="eastAsia"/>
                      <w:szCs w:val="21"/>
                    </w:rPr>
                    <w:t>1.0</w:t>
                  </w:r>
                  <w:r>
                    <w:rPr>
                      <w:szCs w:val="21"/>
                    </w:rPr>
                    <w:t xml:space="preserve"> mg/m</w:t>
                  </w:r>
                  <w:r>
                    <w:rPr>
                      <w:szCs w:val="21"/>
                      <w:vertAlign w:val="superscript"/>
                    </w:rPr>
                    <w:t>3</w:t>
                  </w:r>
                </w:p>
              </w:tc>
            </w:tr>
          </w:tbl>
          <w:p>
            <w:pPr>
              <w:adjustRightInd w:val="0"/>
              <w:snapToGrid w:val="0"/>
              <w:spacing w:line="360" w:lineRule="auto"/>
              <w:jc w:val="center"/>
              <w:rPr>
                <w:b/>
                <w:bCs/>
                <w:color w:val="000000"/>
                <w:szCs w:val="21"/>
              </w:rPr>
            </w:pPr>
            <w:r>
              <w:rPr>
                <w:b/>
                <w:bCs/>
                <w:color w:val="000000"/>
                <w:szCs w:val="21"/>
              </w:rPr>
              <w:t>表</w:t>
            </w:r>
            <w:r>
              <w:rPr>
                <w:rFonts w:hint="eastAsia"/>
                <w:b/>
                <w:bCs/>
                <w:color w:val="000000"/>
                <w:szCs w:val="21"/>
              </w:rPr>
              <w:t>3.3-3</w:t>
            </w:r>
            <w:r>
              <w:rPr>
                <w:b/>
                <w:bCs/>
                <w:color w:val="000000"/>
                <w:szCs w:val="21"/>
              </w:rPr>
              <w:t xml:space="preserve"> 《</w:t>
            </w:r>
            <w:r>
              <w:rPr>
                <w:rFonts w:hint="eastAsia"/>
                <w:b/>
                <w:bCs/>
                <w:color w:val="000000"/>
                <w:szCs w:val="21"/>
              </w:rPr>
              <w:t>恶臭污染物排放标准</w:t>
            </w:r>
            <w:r>
              <w:rPr>
                <w:b/>
                <w:bCs/>
                <w:color w:val="000000"/>
                <w:szCs w:val="21"/>
              </w:rPr>
              <w:t>》（</w:t>
            </w:r>
            <w:r>
              <w:rPr>
                <w:rFonts w:hint="eastAsia"/>
                <w:b/>
                <w:bCs/>
                <w:color w:val="000000"/>
                <w:sz w:val="24"/>
              </w:rPr>
              <w:t>GB14554-93</w:t>
            </w:r>
            <w:r>
              <w:rPr>
                <w:b/>
                <w:bCs/>
                <w:color w:val="000000"/>
                <w:szCs w:val="21"/>
              </w:rPr>
              <w:t>）表1、表2(摘录)</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28"/>
              <w:gridCol w:w="2909"/>
              <w:gridCol w:w="3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2" w:hRule="atLeast"/>
                <w:jc w:val="center"/>
              </w:trPr>
              <w:tc>
                <w:tcPr>
                  <w:tcW w:w="1027" w:type="pct"/>
                  <w:vMerge w:val="restart"/>
                  <w:vAlign w:val="center"/>
                </w:tcPr>
                <w:p>
                  <w:pPr>
                    <w:tabs>
                      <w:tab w:val="right" w:pos="8640"/>
                      <w:tab w:val="right" w:pos="8784"/>
                    </w:tabs>
                    <w:adjustRightInd w:val="0"/>
                    <w:snapToGrid w:val="0"/>
                    <w:jc w:val="center"/>
                    <w:rPr>
                      <w:b/>
                      <w:bCs/>
                      <w:iCs/>
                      <w:color w:val="000000"/>
                      <w:kern w:val="0"/>
                      <w:szCs w:val="21"/>
                    </w:rPr>
                  </w:pPr>
                  <w:r>
                    <w:rPr>
                      <w:b/>
                      <w:bCs/>
                      <w:iCs/>
                      <w:color w:val="000000"/>
                      <w:kern w:val="0"/>
                      <w:szCs w:val="21"/>
                    </w:rPr>
                    <w:t>污染物</w:t>
                  </w:r>
                </w:p>
              </w:tc>
              <w:tc>
                <w:tcPr>
                  <w:tcW w:w="1728" w:type="pct"/>
                  <w:vAlign w:val="center"/>
                </w:tcPr>
                <w:p>
                  <w:pPr>
                    <w:tabs>
                      <w:tab w:val="right" w:pos="8640"/>
                      <w:tab w:val="right" w:pos="8784"/>
                    </w:tabs>
                    <w:adjustRightInd w:val="0"/>
                    <w:snapToGrid w:val="0"/>
                    <w:jc w:val="center"/>
                    <w:rPr>
                      <w:b/>
                      <w:bCs/>
                      <w:iCs/>
                      <w:color w:val="000000"/>
                      <w:kern w:val="0"/>
                      <w:szCs w:val="21"/>
                    </w:rPr>
                  </w:pPr>
                  <w:r>
                    <w:rPr>
                      <w:b/>
                      <w:bCs/>
                      <w:iCs/>
                      <w:color w:val="000000"/>
                      <w:kern w:val="0"/>
                      <w:szCs w:val="21"/>
                    </w:rPr>
                    <w:t>有组织排放监控浓度限值</w:t>
                  </w:r>
                </w:p>
              </w:tc>
              <w:tc>
                <w:tcPr>
                  <w:tcW w:w="2245" w:type="pct"/>
                  <w:vAlign w:val="center"/>
                </w:tcPr>
                <w:p>
                  <w:pPr>
                    <w:tabs>
                      <w:tab w:val="right" w:pos="8640"/>
                      <w:tab w:val="right" w:pos="8784"/>
                    </w:tabs>
                    <w:adjustRightInd w:val="0"/>
                    <w:snapToGrid w:val="0"/>
                    <w:jc w:val="center"/>
                    <w:rPr>
                      <w:b/>
                      <w:bCs/>
                      <w:iCs/>
                      <w:color w:val="000000"/>
                      <w:kern w:val="0"/>
                      <w:szCs w:val="21"/>
                    </w:rPr>
                  </w:pPr>
                  <w:r>
                    <w:rPr>
                      <w:b/>
                      <w:bCs/>
                      <w:iCs/>
                      <w:color w:val="000000"/>
                      <w:kern w:val="0"/>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27" w:type="pct"/>
                  <w:vMerge w:val="continue"/>
                  <w:vAlign w:val="center"/>
                </w:tcPr>
                <w:p>
                  <w:pPr>
                    <w:tabs>
                      <w:tab w:val="right" w:pos="8640"/>
                      <w:tab w:val="right" w:pos="8784"/>
                    </w:tabs>
                    <w:adjustRightInd w:val="0"/>
                    <w:snapToGrid w:val="0"/>
                    <w:jc w:val="center"/>
                    <w:rPr>
                      <w:b/>
                      <w:bCs/>
                      <w:iCs/>
                      <w:color w:val="000000"/>
                      <w:kern w:val="0"/>
                      <w:szCs w:val="21"/>
                    </w:rPr>
                  </w:pPr>
                </w:p>
              </w:tc>
              <w:tc>
                <w:tcPr>
                  <w:tcW w:w="1728" w:type="pct"/>
                  <w:vAlign w:val="center"/>
                </w:tcPr>
                <w:p>
                  <w:pPr>
                    <w:tabs>
                      <w:tab w:val="right" w:pos="8640"/>
                      <w:tab w:val="right" w:pos="8784"/>
                    </w:tabs>
                    <w:adjustRightInd w:val="0"/>
                    <w:snapToGrid w:val="0"/>
                    <w:jc w:val="center"/>
                    <w:rPr>
                      <w:b/>
                      <w:bCs/>
                      <w:iCs/>
                      <w:color w:val="000000"/>
                      <w:kern w:val="0"/>
                      <w:szCs w:val="21"/>
                    </w:rPr>
                  </w:pPr>
                  <w:r>
                    <w:rPr>
                      <w:b/>
                      <w:bCs/>
                      <w:iCs/>
                      <w:color w:val="000000"/>
                      <w:kern w:val="0"/>
                      <w:szCs w:val="21"/>
                    </w:rPr>
                    <w:t>排放限值</w:t>
                  </w:r>
                </w:p>
              </w:tc>
              <w:tc>
                <w:tcPr>
                  <w:tcW w:w="2245" w:type="pct"/>
                  <w:vAlign w:val="center"/>
                </w:tcPr>
                <w:p>
                  <w:pPr>
                    <w:tabs>
                      <w:tab w:val="right" w:pos="8640"/>
                      <w:tab w:val="right" w:pos="8784"/>
                    </w:tabs>
                    <w:adjustRightInd w:val="0"/>
                    <w:snapToGrid w:val="0"/>
                    <w:jc w:val="center"/>
                    <w:rPr>
                      <w:b/>
                      <w:bCs/>
                      <w:iCs/>
                      <w:color w:val="000000"/>
                      <w:kern w:val="0"/>
                      <w:szCs w:val="21"/>
                    </w:rPr>
                  </w:pPr>
                  <w:r>
                    <w:rPr>
                      <w:b/>
                      <w:bCs/>
                      <w:iCs/>
                      <w:color w:val="000000"/>
                      <w:kern w:val="0"/>
                      <w:szCs w:val="21"/>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6" w:hRule="atLeast"/>
                <w:jc w:val="center"/>
              </w:trPr>
              <w:tc>
                <w:tcPr>
                  <w:tcW w:w="1027" w:type="pct"/>
                  <w:vAlign w:val="center"/>
                </w:tcPr>
                <w:p>
                  <w:pPr>
                    <w:tabs>
                      <w:tab w:val="right" w:pos="8640"/>
                      <w:tab w:val="right" w:pos="8784"/>
                    </w:tabs>
                    <w:adjustRightInd w:val="0"/>
                    <w:snapToGrid w:val="0"/>
                    <w:jc w:val="center"/>
                    <w:rPr>
                      <w:iCs/>
                      <w:color w:val="000000"/>
                      <w:kern w:val="0"/>
                      <w:szCs w:val="21"/>
                    </w:rPr>
                  </w:pPr>
                  <w:r>
                    <w:rPr>
                      <w:rFonts w:hint="eastAsia"/>
                      <w:iCs/>
                      <w:color w:val="000000"/>
                      <w:kern w:val="0"/>
                      <w:szCs w:val="21"/>
                    </w:rPr>
                    <w:t>臭气浓度</w:t>
                  </w:r>
                </w:p>
              </w:tc>
              <w:tc>
                <w:tcPr>
                  <w:tcW w:w="1728" w:type="pct"/>
                  <w:vAlign w:val="center"/>
                </w:tcPr>
                <w:p>
                  <w:pPr>
                    <w:tabs>
                      <w:tab w:val="right" w:pos="8640"/>
                      <w:tab w:val="right" w:pos="8784"/>
                    </w:tabs>
                    <w:adjustRightInd w:val="0"/>
                    <w:snapToGrid w:val="0"/>
                    <w:jc w:val="center"/>
                    <w:rPr>
                      <w:iCs/>
                      <w:color w:val="000000"/>
                      <w:kern w:val="0"/>
                      <w:szCs w:val="21"/>
                    </w:rPr>
                  </w:pPr>
                  <w:r>
                    <w:rPr>
                      <w:iCs/>
                      <w:color w:val="000000"/>
                      <w:kern w:val="0"/>
                      <w:szCs w:val="21"/>
                    </w:rPr>
                    <w:t>2000</w:t>
                  </w:r>
                  <w:r>
                    <w:rPr>
                      <w:rFonts w:hint="eastAsia"/>
                      <w:iCs/>
                      <w:color w:val="000000"/>
                      <w:kern w:val="0"/>
                      <w:szCs w:val="21"/>
                    </w:rPr>
                    <w:t>（无量纲）</w:t>
                  </w:r>
                </w:p>
              </w:tc>
              <w:tc>
                <w:tcPr>
                  <w:tcW w:w="2245" w:type="pct"/>
                  <w:vAlign w:val="center"/>
                </w:tcPr>
                <w:p>
                  <w:pPr>
                    <w:tabs>
                      <w:tab w:val="right" w:pos="8640"/>
                      <w:tab w:val="right" w:pos="8784"/>
                    </w:tabs>
                    <w:adjustRightInd w:val="0"/>
                    <w:snapToGrid w:val="0"/>
                    <w:jc w:val="center"/>
                    <w:rPr>
                      <w:iCs/>
                      <w:color w:val="000000"/>
                      <w:kern w:val="0"/>
                      <w:szCs w:val="21"/>
                    </w:rPr>
                  </w:pPr>
                  <w:r>
                    <w:rPr>
                      <w:iCs/>
                      <w:color w:val="000000"/>
                      <w:kern w:val="0"/>
                      <w:szCs w:val="21"/>
                    </w:rPr>
                    <w:t>20</w:t>
                  </w:r>
                  <w:r>
                    <w:rPr>
                      <w:rFonts w:hint="eastAsia"/>
                      <w:iCs/>
                      <w:color w:val="000000"/>
                      <w:kern w:val="0"/>
                      <w:szCs w:val="21"/>
                    </w:rPr>
                    <w:t>（无量纲）</w:t>
                  </w:r>
                </w:p>
              </w:tc>
            </w:tr>
          </w:tbl>
          <w:p>
            <w:pPr>
              <w:pStyle w:val="31"/>
              <w:ind w:firstLine="480"/>
              <w:rPr>
                <w:color w:val="000000"/>
                <w:kern w:val="2"/>
                <w:sz w:val="24"/>
                <w:szCs w:val="24"/>
              </w:rPr>
            </w:pPr>
            <w:r>
              <w:rPr>
                <w:color w:val="000000"/>
                <w:kern w:val="2"/>
                <w:sz w:val="24"/>
                <w:szCs w:val="24"/>
              </w:rPr>
              <w:t>同时，根据《福建省生态环境厅关于国家和地方相关大气污染物排放标准执行有关事项的通知》文中要求，在非甲烷总烃无组织排放控制上，增加</w:t>
            </w:r>
            <w:r>
              <w:rPr>
                <w:rFonts w:hint="eastAsia"/>
                <w:color w:val="000000"/>
                <w:kern w:val="2"/>
                <w:sz w:val="24"/>
                <w:szCs w:val="24"/>
              </w:rPr>
              <w:t>“</w:t>
            </w:r>
            <w:r>
              <w:rPr>
                <w:color w:val="000000"/>
                <w:kern w:val="2"/>
                <w:sz w:val="24"/>
                <w:szCs w:val="24"/>
              </w:rPr>
              <w:t>厂区内监控点处任意一次NMHC浓度值</w:t>
            </w:r>
            <w:r>
              <w:rPr>
                <w:rFonts w:hint="eastAsia"/>
                <w:color w:val="000000"/>
                <w:kern w:val="2"/>
                <w:sz w:val="24"/>
                <w:szCs w:val="24"/>
              </w:rPr>
              <w:t>”</w:t>
            </w:r>
            <w:r>
              <w:rPr>
                <w:color w:val="000000"/>
                <w:kern w:val="2"/>
                <w:sz w:val="24"/>
                <w:szCs w:val="24"/>
              </w:rPr>
              <w:t>的控制要求，排放浓度应符合《挥发性有机物无组织排放控制标准》（GB37822-2019）中表A.1特别排放限值要求（监控点处任意一次浓度值≤</w:t>
            </w:r>
            <w:r>
              <w:rPr>
                <w:rFonts w:hint="eastAsia"/>
                <w:color w:val="000000"/>
                <w:kern w:val="2"/>
                <w:sz w:val="24"/>
                <w:szCs w:val="24"/>
              </w:rPr>
              <w:t>2</w:t>
            </w:r>
            <w:r>
              <w:rPr>
                <w:color w:val="000000"/>
                <w:kern w:val="2"/>
                <w:sz w:val="24"/>
                <w:szCs w:val="24"/>
              </w:rPr>
              <w:t>0mg/m</w:t>
            </w:r>
            <w:r>
              <w:rPr>
                <w:color w:val="000000"/>
                <w:kern w:val="2"/>
                <w:sz w:val="24"/>
                <w:szCs w:val="24"/>
                <w:vertAlign w:val="superscript"/>
              </w:rPr>
              <w:t>3</w:t>
            </w:r>
            <w:r>
              <w:rPr>
                <w:color w:val="000000"/>
                <w:kern w:val="2"/>
                <w:sz w:val="24"/>
                <w:szCs w:val="24"/>
              </w:rPr>
              <w:t>）。具体执行标准详见表3.3</w:t>
            </w:r>
            <w:r>
              <w:rPr>
                <w:rFonts w:hint="eastAsia"/>
                <w:color w:val="000000"/>
                <w:kern w:val="2"/>
                <w:sz w:val="24"/>
                <w:szCs w:val="24"/>
              </w:rPr>
              <w:t>-4</w:t>
            </w:r>
            <w:r>
              <w:rPr>
                <w:color w:val="000000"/>
                <w:kern w:val="2"/>
                <w:sz w:val="24"/>
                <w:szCs w:val="24"/>
              </w:rPr>
              <w:t>。</w:t>
            </w:r>
          </w:p>
          <w:p>
            <w:pPr>
              <w:pStyle w:val="90"/>
              <w:ind w:firstLine="420"/>
              <w:rPr>
                <w:color w:val="000000"/>
              </w:rPr>
            </w:pPr>
            <w:r>
              <w:rPr>
                <w:color w:val="000000"/>
              </w:rPr>
              <w:t>表3.3</w:t>
            </w:r>
            <w:r>
              <w:rPr>
                <w:rFonts w:hint="eastAsia"/>
                <w:color w:val="000000"/>
              </w:rPr>
              <w:t>-4</w:t>
            </w:r>
            <w:r>
              <w:rPr>
                <w:color w:val="000000"/>
              </w:rPr>
              <w:t xml:space="preserve"> 《挥发性有机物无组织排放控制标准》（GB37822-2019）（摘录）</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1244"/>
              <w:gridCol w:w="1421"/>
              <w:gridCol w:w="2287"/>
              <w:gridCol w:w="2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7" w:hRule="atLeast"/>
                <w:jc w:val="center"/>
              </w:trPr>
              <w:tc>
                <w:tcPr>
                  <w:tcW w:w="810" w:type="pct"/>
                  <w:vAlign w:val="center"/>
                </w:tcPr>
                <w:p>
                  <w:pPr>
                    <w:pStyle w:val="64"/>
                    <w:spacing w:before="24" w:after="24"/>
                    <w:rPr>
                      <w:b/>
                      <w:bCs/>
                      <w:color w:val="000000"/>
                    </w:rPr>
                  </w:pPr>
                  <w:r>
                    <w:rPr>
                      <w:b/>
                      <w:bCs/>
                      <w:color w:val="000000"/>
                    </w:rPr>
                    <w:t>污染物项目</w:t>
                  </w:r>
                </w:p>
              </w:tc>
              <w:tc>
                <w:tcPr>
                  <w:tcW w:w="739" w:type="pct"/>
                  <w:vAlign w:val="center"/>
                </w:tcPr>
                <w:p>
                  <w:pPr>
                    <w:pStyle w:val="64"/>
                    <w:spacing w:before="24" w:after="24"/>
                    <w:rPr>
                      <w:b/>
                      <w:bCs/>
                      <w:color w:val="000000"/>
                    </w:rPr>
                  </w:pPr>
                  <w:r>
                    <w:rPr>
                      <w:b/>
                      <w:bCs/>
                      <w:color w:val="000000"/>
                    </w:rPr>
                    <w:t>排放限值</w:t>
                  </w:r>
                </w:p>
              </w:tc>
              <w:tc>
                <w:tcPr>
                  <w:tcW w:w="844" w:type="pct"/>
                  <w:vAlign w:val="center"/>
                </w:tcPr>
                <w:p>
                  <w:pPr>
                    <w:pStyle w:val="64"/>
                    <w:spacing w:before="24" w:after="24"/>
                    <w:rPr>
                      <w:b/>
                      <w:bCs/>
                      <w:color w:val="000000"/>
                    </w:rPr>
                  </w:pPr>
                  <w:r>
                    <w:rPr>
                      <w:b/>
                      <w:bCs/>
                      <w:color w:val="000000"/>
                    </w:rPr>
                    <w:t>特别排放限值</w:t>
                  </w:r>
                </w:p>
              </w:tc>
              <w:tc>
                <w:tcPr>
                  <w:tcW w:w="1358" w:type="pct"/>
                  <w:vAlign w:val="center"/>
                </w:tcPr>
                <w:p>
                  <w:pPr>
                    <w:pStyle w:val="64"/>
                    <w:spacing w:before="24" w:after="24"/>
                    <w:rPr>
                      <w:b/>
                      <w:bCs/>
                      <w:color w:val="000000"/>
                    </w:rPr>
                  </w:pPr>
                  <w:r>
                    <w:rPr>
                      <w:b/>
                      <w:bCs/>
                      <w:color w:val="000000"/>
                    </w:rPr>
                    <w:t>限值含义</w:t>
                  </w:r>
                </w:p>
              </w:tc>
              <w:tc>
                <w:tcPr>
                  <w:tcW w:w="1249" w:type="pct"/>
                  <w:vAlign w:val="center"/>
                </w:tcPr>
                <w:p>
                  <w:pPr>
                    <w:pStyle w:val="64"/>
                    <w:spacing w:before="24" w:after="24"/>
                    <w:rPr>
                      <w:b/>
                      <w:bCs/>
                      <w:color w:val="000000"/>
                    </w:rPr>
                  </w:pPr>
                  <w:r>
                    <w:rPr>
                      <w:b/>
                      <w:bCs/>
                      <w:color w:val="000000"/>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0" w:type="pct"/>
                  <w:vMerge w:val="restart"/>
                  <w:vAlign w:val="center"/>
                </w:tcPr>
                <w:p>
                  <w:pPr>
                    <w:pStyle w:val="64"/>
                    <w:spacing w:before="24" w:after="24"/>
                    <w:rPr>
                      <w:color w:val="000000"/>
                    </w:rPr>
                  </w:pPr>
                  <w:r>
                    <w:rPr>
                      <w:color w:val="000000"/>
                    </w:rPr>
                    <w:t>NMHC</w:t>
                  </w:r>
                </w:p>
                <w:p>
                  <w:pPr>
                    <w:pStyle w:val="64"/>
                    <w:spacing w:before="24" w:after="24"/>
                    <w:rPr>
                      <w:color w:val="000000"/>
                    </w:rPr>
                  </w:pPr>
                  <w:r>
                    <w:rPr>
                      <w:color w:val="000000"/>
                    </w:rPr>
                    <w:t>(非甲烷总烃）</w:t>
                  </w:r>
                </w:p>
              </w:tc>
              <w:tc>
                <w:tcPr>
                  <w:tcW w:w="739" w:type="pct"/>
                  <w:vAlign w:val="center"/>
                </w:tcPr>
                <w:p>
                  <w:pPr>
                    <w:pStyle w:val="64"/>
                    <w:spacing w:before="24" w:after="24"/>
                    <w:rPr>
                      <w:color w:val="000000"/>
                    </w:rPr>
                  </w:pPr>
                  <w:r>
                    <w:rPr>
                      <w:color w:val="000000"/>
                    </w:rPr>
                    <w:t>10mg/m</w:t>
                  </w:r>
                  <w:r>
                    <w:rPr>
                      <w:color w:val="000000"/>
                      <w:vertAlign w:val="superscript"/>
                    </w:rPr>
                    <w:t>3</w:t>
                  </w:r>
                </w:p>
              </w:tc>
              <w:tc>
                <w:tcPr>
                  <w:tcW w:w="844" w:type="pct"/>
                  <w:vAlign w:val="center"/>
                </w:tcPr>
                <w:p>
                  <w:pPr>
                    <w:pStyle w:val="64"/>
                    <w:spacing w:before="24" w:after="24"/>
                    <w:rPr>
                      <w:color w:val="000000"/>
                    </w:rPr>
                  </w:pPr>
                  <w:r>
                    <w:rPr>
                      <w:color w:val="000000"/>
                    </w:rPr>
                    <w:t>6mg/m</w:t>
                  </w:r>
                  <w:r>
                    <w:rPr>
                      <w:color w:val="000000"/>
                      <w:vertAlign w:val="superscript"/>
                    </w:rPr>
                    <w:t>3</w:t>
                  </w:r>
                </w:p>
              </w:tc>
              <w:tc>
                <w:tcPr>
                  <w:tcW w:w="1358" w:type="pct"/>
                  <w:vAlign w:val="center"/>
                </w:tcPr>
                <w:p>
                  <w:pPr>
                    <w:pStyle w:val="64"/>
                    <w:spacing w:before="24" w:after="24"/>
                    <w:rPr>
                      <w:color w:val="000000"/>
                    </w:rPr>
                  </w:pPr>
                  <w:r>
                    <w:rPr>
                      <w:color w:val="000000"/>
                    </w:rPr>
                    <w:t>监控点处1h平均浓度值</w:t>
                  </w:r>
                </w:p>
              </w:tc>
              <w:tc>
                <w:tcPr>
                  <w:tcW w:w="1249" w:type="pct"/>
                  <w:vMerge w:val="restart"/>
                  <w:vAlign w:val="center"/>
                </w:tcPr>
                <w:p>
                  <w:pPr>
                    <w:pStyle w:val="64"/>
                    <w:spacing w:before="24" w:after="24"/>
                    <w:rPr>
                      <w:color w:val="000000"/>
                    </w:rPr>
                  </w:pPr>
                  <w:r>
                    <w:rPr>
                      <w:color w:val="000000"/>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10" w:type="pct"/>
                  <w:vMerge w:val="continue"/>
                  <w:vAlign w:val="center"/>
                </w:tcPr>
                <w:p>
                  <w:pPr>
                    <w:pStyle w:val="64"/>
                    <w:spacing w:before="24" w:after="24"/>
                    <w:rPr>
                      <w:color w:val="000000"/>
                    </w:rPr>
                  </w:pPr>
                </w:p>
              </w:tc>
              <w:tc>
                <w:tcPr>
                  <w:tcW w:w="739" w:type="pct"/>
                  <w:vAlign w:val="center"/>
                </w:tcPr>
                <w:p>
                  <w:pPr>
                    <w:pStyle w:val="64"/>
                    <w:spacing w:before="24" w:after="24"/>
                    <w:rPr>
                      <w:color w:val="000000"/>
                    </w:rPr>
                  </w:pPr>
                  <w:r>
                    <w:rPr>
                      <w:color w:val="000000"/>
                    </w:rPr>
                    <w:t>30mg/m</w:t>
                  </w:r>
                  <w:r>
                    <w:rPr>
                      <w:color w:val="000000"/>
                      <w:vertAlign w:val="superscript"/>
                    </w:rPr>
                    <w:t>3</w:t>
                  </w:r>
                </w:p>
              </w:tc>
              <w:tc>
                <w:tcPr>
                  <w:tcW w:w="844" w:type="pct"/>
                  <w:vAlign w:val="center"/>
                </w:tcPr>
                <w:p>
                  <w:pPr>
                    <w:pStyle w:val="64"/>
                    <w:spacing w:before="24" w:after="24"/>
                    <w:rPr>
                      <w:color w:val="000000"/>
                    </w:rPr>
                  </w:pPr>
                  <w:r>
                    <w:rPr>
                      <w:color w:val="000000"/>
                    </w:rPr>
                    <w:t>20mg/m</w:t>
                  </w:r>
                  <w:r>
                    <w:rPr>
                      <w:color w:val="000000"/>
                      <w:vertAlign w:val="superscript"/>
                    </w:rPr>
                    <w:t>3</w:t>
                  </w:r>
                </w:p>
              </w:tc>
              <w:tc>
                <w:tcPr>
                  <w:tcW w:w="1358" w:type="pct"/>
                  <w:vAlign w:val="center"/>
                </w:tcPr>
                <w:p>
                  <w:pPr>
                    <w:pStyle w:val="64"/>
                    <w:spacing w:before="24" w:after="24"/>
                    <w:rPr>
                      <w:color w:val="000000"/>
                    </w:rPr>
                  </w:pPr>
                  <w:r>
                    <w:rPr>
                      <w:color w:val="000000"/>
                    </w:rPr>
                    <w:t>监控点处任意一次浓度值</w:t>
                  </w:r>
                </w:p>
              </w:tc>
              <w:tc>
                <w:tcPr>
                  <w:tcW w:w="1249" w:type="pct"/>
                  <w:vMerge w:val="continue"/>
                  <w:vAlign w:val="center"/>
                </w:tcPr>
                <w:p>
                  <w:pPr>
                    <w:pStyle w:val="64"/>
                    <w:spacing w:before="24" w:after="24"/>
                    <w:rPr>
                      <w:color w:val="000000"/>
                    </w:rPr>
                  </w:pPr>
                </w:p>
              </w:tc>
            </w:tr>
          </w:tbl>
          <w:p>
            <w:pPr>
              <w:adjustRightInd w:val="0"/>
              <w:snapToGrid w:val="0"/>
              <w:spacing w:before="120" w:beforeLines="50" w:line="360" w:lineRule="auto"/>
              <w:ind w:firstLine="480" w:firstLineChars="200"/>
              <w:rPr>
                <w:color w:val="000000"/>
                <w:sz w:val="24"/>
              </w:rPr>
            </w:pPr>
            <w:r>
              <w:rPr>
                <w:color w:val="000000"/>
                <w:sz w:val="24"/>
              </w:rPr>
              <w:t>（3）噪声排放标准</w:t>
            </w:r>
          </w:p>
          <w:p>
            <w:pPr>
              <w:adjustRightInd w:val="0"/>
              <w:spacing w:line="360" w:lineRule="auto"/>
              <w:ind w:firstLine="480" w:firstLineChars="200"/>
              <w:contextualSpacing/>
              <w:rPr>
                <w:color w:val="000000"/>
                <w:sz w:val="24"/>
              </w:rPr>
            </w:pPr>
            <w:r>
              <w:rPr>
                <w:color w:val="000000"/>
                <w:sz w:val="24"/>
              </w:rPr>
              <w:t>项目运营期厂界噪声排放执行《工业企业厂界环境噪声排放标准》(GB12348-2008)中</w:t>
            </w:r>
            <w:r>
              <w:rPr>
                <w:rFonts w:hint="eastAsia"/>
                <w:color w:val="000000"/>
                <w:sz w:val="24"/>
              </w:rPr>
              <w:t>3</w:t>
            </w:r>
            <w:r>
              <w:rPr>
                <w:color w:val="000000"/>
                <w:sz w:val="24"/>
              </w:rPr>
              <w:t>类标准</w:t>
            </w:r>
            <w:r>
              <w:rPr>
                <w:rFonts w:hint="eastAsia"/>
                <w:color w:val="000000"/>
                <w:sz w:val="24"/>
              </w:rPr>
              <w:t>，夜间不生产，</w:t>
            </w:r>
            <w:r>
              <w:rPr>
                <w:color w:val="000000"/>
                <w:sz w:val="24"/>
              </w:rPr>
              <w:t>具体见表3.3-</w:t>
            </w:r>
            <w:r>
              <w:rPr>
                <w:rFonts w:hint="eastAsia"/>
                <w:color w:val="000000"/>
                <w:sz w:val="24"/>
              </w:rPr>
              <w:t>5</w:t>
            </w:r>
            <w:r>
              <w:rPr>
                <w:color w:val="000000"/>
                <w:sz w:val="24"/>
              </w:rPr>
              <w:t>。</w:t>
            </w:r>
          </w:p>
          <w:p>
            <w:pPr>
              <w:widowControl/>
              <w:numPr>
                <w:ilvl w:val="4"/>
                <w:numId w:val="0"/>
              </w:numPr>
              <w:adjustRightInd w:val="0"/>
              <w:snapToGrid w:val="0"/>
              <w:spacing w:before="120" w:beforeLines="50"/>
              <w:jc w:val="center"/>
              <w:rPr>
                <w:b/>
                <w:bCs/>
                <w:color w:val="000000"/>
                <w:sz w:val="24"/>
                <w:lang w:bidi="he-IL"/>
              </w:rPr>
            </w:pPr>
            <w:bookmarkStart w:id="35" w:name="_Ref7040789"/>
            <w:r>
              <w:rPr>
                <w:b/>
                <w:color w:val="000000"/>
                <w:sz w:val="24"/>
              </w:rPr>
              <w:t>表3.3-</w:t>
            </w:r>
            <w:r>
              <w:rPr>
                <w:rFonts w:hint="eastAsia"/>
                <w:b/>
                <w:color w:val="000000"/>
                <w:sz w:val="24"/>
              </w:rPr>
              <w:t>5</w:t>
            </w:r>
            <w:r>
              <w:rPr>
                <w:b/>
                <w:color w:val="000000"/>
                <w:sz w:val="24"/>
              </w:rPr>
              <w:t xml:space="preserve">  工业企业厂界环境噪声排放限值单位：</w:t>
            </w:r>
            <w:bookmarkEnd w:id="35"/>
            <w:r>
              <w:rPr>
                <w:b/>
                <w:color w:val="000000"/>
                <w:sz w:val="24"/>
              </w:rPr>
              <w:t>dB（A）</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9"/>
              <w:gridCol w:w="2452"/>
              <w:gridCol w:w="2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0" w:type="dxa"/>
                  <w:tcBorders>
                    <w:top w:val="single" w:color="auto" w:sz="12" w:space="0"/>
                    <w:left w:val="nil"/>
                    <w:bottom w:val="single" w:color="auto" w:sz="4" w:space="0"/>
                    <w:right w:val="single" w:color="auto" w:sz="4" w:space="0"/>
                    <w:tl2br w:val="single" w:color="auto" w:sz="4" w:space="0"/>
                  </w:tcBorders>
                  <w:vAlign w:val="center"/>
                </w:tcPr>
                <w:p>
                  <w:pPr>
                    <w:widowControl/>
                    <w:adjustRightInd w:val="0"/>
                    <w:snapToGrid w:val="0"/>
                    <w:jc w:val="center"/>
                    <w:rPr>
                      <w:color w:val="000000"/>
                      <w:szCs w:val="21"/>
                    </w:rPr>
                  </w:pPr>
                  <w:r>
                    <w:rPr>
                      <w:color w:val="000000"/>
                      <w:szCs w:val="21"/>
                    </w:rPr>
                    <w:t>时段</w:t>
                  </w:r>
                </w:p>
                <w:p>
                  <w:pPr>
                    <w:widowControl/>
                    <w:adjustRightInd w:val="0"/>
                    <w:snapToGrid w:val="0"/>
                    <w:ind w:firstLine="105" w:firstLineChars="50"/>
                    <w:rPr>
                      <w:color w:val="000000"/>
                      <w:szCs w:val="21"/>
                    </w:rPr>
                  </w:pPr>
                  <w:r>
                    <w:rPr>
                      <w:color w:val="000000"/>
                      <w:szCs w:val="21"/>
                    </w:rPr>
                    <w:t>声环境功能区</w:t>
                  </w:r>
                </w:p>
              </w:tc>
              <w:tc>
                <w:tcPr>
                  <w:tcW w:w="2453" w:type="dxa"/>
                  <w:tcBorders>
                    <w:top w:val="single" w:color="auto" w:sz="12" w:space="0"/>
                    <w:left w:val="single" w:color="auto" w:sz="4" w:space="0"/>
                    <w:bottom w:val="single" w:color="auto" w:sz="4" w:space="0"/>
                    <w:right w:val="single" w:color="auto" w:sz="4" w:space="0"/>
                  </w:tcBorders>
                  <w:vAlign w:val="center"/>
                </w:tcPr>
                <w:p>
                  <w:pPr>
                    <w:widowControl/>
                    <w:adjustRightInd w:val="0"/>
                    <w:snapToGrid w:val="0"/>
                    <w:spacing w:before="30" w:after="30"/>
                    <w:jc w:val="center"/>
                    <w:rPr>
                      <w:color w:val="000000"/>
                      <w:szCs w:val="21"/>
                    </w:rPr>
                  </w:pPr>
                  <w:r>
                    <w:rPr>
                      <w:color w:val="000000"/>
                      <w:szCs w:val="21"/>
                    </w:rPr>
                    <w:t>昼间</w:t>
                  </w:r>
                </w:p>
              </w:tc>
              <w:tc>
                <w:tcPr>
                  <w:tcW w:w="2779" w:type="dxa"/>
                  <w:tcBorders>
                    <w:top w:val="single" w:color="auto" w:sz="12" w:space="0"/>
                    <w:left w:val="single" w:color="auto" w:sz="4" w:space="0"/>
                    <w:bottom w:val="single" w:color="auto" w:sz="4" w:space="0"/>
                    <w:right w:val="nil"/>
                  </w:tcBorders>
                  <w:vAlign w:val="center"/>
                </w:tcPr>
                <w:p>
                  <w:pPr>
                    <w:widowControl/>
                    <w:adjustRightInd w:val="0"/>
                    <w:snapToGrid w:val="0"/>
                    <w:spacing w:before="30" w:after="30"/>
                    <w:jc w:val="center"/>
                    <w:rPr>
                      <w:color w:val="000000"/>
                      <w:szCs w:val="21"/>
                    </w:rPr>
                  </w:pPr>
                  <w:r>
                    <w:rPr>
                      <w:color w:val="00000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0" w:type="dxa"/>
                  <w:tcBorders>
                    <w:top w:val="single" w:color="auto" w:sz="4" w:space="0"/>
                    <w:left w:val="nil"/>
                    <w:bottom w:val="single" w:color="auto" w:sz="4" w:space="0"/>
                    <w:right w:val="single" w:color="auto" w:sz="4" w:space="0"/>
                  </w:tcBorders>
                  <w:vAlign w:val="center"/>
                </w:tcPr>
                <w:p>
                  <w:pPr>
                    <w:widowControl/>
                    <w:adjustRightInd w:val="0"/>
                    <w:snapToGrid w:val="0"/>
                    <w:spacing w:before="30" w:after="30"/>
                    <w:jc w:val="center"/>
                    <w:rPr>
                      <w:color w:val="000000"/>
                      <w:szCs w:val="21"/>
                    </w:rPr>
                  </w:pPr>
                  <w:r>
                    <w:rPr>
                      <w:rFonts w:hint="eastAsia"/>
                      <w:color w:val="000000"/>
                      <w:szCs w:val="21"/>
                    </w:rPr>
                    <w:t>3</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30" w:after="30"/>
                    <w:jc w:val="center"/>
                    <w:rPr>
                      <w:color w:val="000000"/>
                      <w:szCs w:val="21"/>
                    </w:rPr>
                  </w:pPr>
                  <w:r>
                    <w:rPr>
                      <w:color w:val="000000"/>
                      <w:szCs w:val="21"/>
                    </w:rPr>
                    <w:t>6</w:t>
                  </w:r>
                  <w:r>
                    <w:rPr>
                      <w:rFonts w:hint="eastAsia"/>
                      <w:color w:val="000000"/>
                      <w:szCs w:val="21"/>
                    </w:rPr>
                    <w:t>5</w:t>
                  </w:r>
                </w:p>
              </w:tc>
              <w:tc>
                <w:tcPr>
                  <w:tcW w:w="2779" w:type="dxa"/>
                  <w:tcBorders>
                    <w:top w:val="single" w:color="auto" w:sz="4" w:space="0"/>
                    <w:left w:val="single" w:color="auto" w:sz="4" w:space="0"/>
                    <w:bottom w:val="single" w:color="auto" w:sz="4" w:space="0"/>
                    <w:right w:val="nil"/>
                  </w:tcBorders>
                  <w:vAlign w:val="center"/>
                </w:tcPr>
                <w:p>
                  <w:pPr>
                    <w:widowControl/>
                    <w:adjustRightInd w:val="0"/>
                    <w:snapToGrid w:val="0"/>
                    <w:spacing w:before="30" w:after="30"/>
                    <w:jc w:val="center"/>
                    <w:rPr>
                      <w:color w:val="000000"/>
                      <w:szCs w:val="21"/>
                    </w:rPr>
                  </w:pPr>
                  <w:r>
                    <w:rPr>
                      <w:color w:val="000000"/>
                      <w:szCs w:val="21"/>
                    </w:rPr>
                    <w:t>5</w:t>
                  </w:r>
                  <w:r>
                    <w:rPr>
                      <w:rFonts w:hint="eastAsia"/>
                      <w:color w:val="000000"/>
                      <w:szCs w:val="21"/>
                    </w:rPr>
                    <w:t>5</w:t>
                  </w:r>
                </w:p>
              </w:tc>
            </w:tr>
          </w:tbl>
          <w:p>
            <w:pPr>
              <w:adjustRightInd w:val="0"/>
              <w:snapToGrid w:val="0"/>
              <w:spacing w:before="120" w:beforeLines="50" w:line="360" w:lineRule="auto"/>
              <w:ind w:firstLine="480" w:firstLineChars="200"/>
              <w:rPr>
                <w:color w:val="000000"/>
                <w:sz w:val="24"/>
              </w:rPr>
            </w:pPr>
            <w:r>
              <w:rPr>
                <w:color w:val="000000"/>
                <w:sz w:val="24"/>
              </w:rPr>
              <w:t>（4）固体废物</w:t>
            </w:r>
          </w:p>
          <w:p>
            <w:pPr>
              <w:adjustRightInd w:val="0"/>
              <w:spacing w:line="360" w:lineRule="auto"/>
              <w:ind w:firstLine="480" w:firstLineChars="200"/>
              <w:contextualSpacing/>
              <w:rPr>
                <w:color w:val="000000"/>
                <w:kern w:val="0"/>
                <w:szCs w:val="21"/>
              </w:rPr>
            </w:pPr>
            <w:r>
              <w:rPr>
                <w:color w:val="000000"/>
                <w:sz w:val="24"/>
              </w:rPr>
              <w:t>一般固体废物贮存处置按《一般工业固体废物贮存、处置场污染控制标准》（GB 18599-2020）的相关规定进行综合利用和处置。危险废物应按照《危险废物贮存污染控制标准》（GB18597-20</w:t>
            </w:r>
            <w:r>
              <w:rPr>
                <w:rFonts w:hint="eastAsia"/>
                <w:color w:val="000000"/>
                <w:sz w:val="24"/>
              </w:rPr>
              <w:t>23</w:t>
            </w:r>
            <w:r>
              <w:rPr>
                <w:color w:val="000000"/>
                <w:sz w:val="24"/>
              </w:rPr>
              <w:t>）和《危险废物污染防治技术政策》中的要求进行处置。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3" w:type="dxa"/>
            <w:vAlign w:val="center"/>
          </w:tcPr>
          <w:p>
            <w:pPr>
              <w:adjustRightInd w:val="0"/>
              <w:snapToGrid w:val="0"/>
              <w:jc w:val="center"/>
              <w:rPr>
                <w:color w:val="000000"/>
                <w:kern w:val="0"/>
                <w:szCs w:val="21"/>
              </w:rPr>
            </w:pPr>
            <w:r>
              <w:rPr>
                <w:color w:val="000000"/>
                <w:kern w:val="0"/>
                <w:szCs w:val="21"/>
              </w:rPr>
              <w:t>总量</w:t>
            </w:r>
          </w:p>
          <w:p>
            <w:pPr>
              <w:adjustRightInd w:val="0"/>
              <w:snapToGrid w:val="0"/>
              <w:jc w:val="center"/>
              <w:rPr>
                <w:color w:val="000000"/>
                <w:kern w:val="0"/>
                <w:szCs w:val="21"/>
              </w:rPr>
            </w:pPr>
            <w:r>
              <w:rPr>
                <w:color w:val="000000"/>
                <w:kern w:val="0"/>
                <w:szCs w:val="21"/>
              </w:rPr>
              <w:t>控制</w:t>
            </w:r>
          </w:p>
          <w:p>
            <w:pPr>
              <w:adjustRightInd w:val="0"/>
              <w:snapToGrid w:val="0"/>
              <w:jc w:val="center"/>
              <w:rPr>
                <w:color w:val="000000"/>
                <w:kern w:val="0"/>
                <w:szCs w:val="21"/>
              </w:rPr>
            </w:pPr>
            <w:r>
              <w:rPr>
                <w:color w:val="000000"/>
                <w:kern w:val="0"/>
                <w:szCs w:val="21"/>
              </w:rPr>
              <w:t>指标</w:t>
            </w:r>
          </w:p>
        </w:tc>
        <w:tc>
          <w:tcPr>
            <w:tcW w:w="8638" w:type="dxa"/>
            <w:vAlign w:val="center"/>
          </w:tcPr>
          <w:p>
            <w:pPr>
              <w:pStyle w:val="31"/>
              <w:ind w:firstLine="480"/>
              <w:rPr>
                <w:color w:val="000000"/>
                <w:sz w:val="24"/>
              </w:rPr>
            </w:pPr>
            <w:r>
              <w:rPr>
                <w:rFonts w:hint="eastAsia"/>
                <w:color w:val="000000"/>
                <w:sz w:val="24"/>
              </w:rPr>
              <w:t>（1）废水</w:t>
            </w:r>
          </w:p>
          <w:p>
            <w:pPr>
              <w:pStyle w:val="31"/>
              <w:ind w:firstLine="480"/>
              <w:rPr>
                <w:color w:val="000000"/>
                <w:sz w:val="24"/>
              </w:rPr>
            </w:pPr>
            <w:r>
              <w:rPr>
                <w:color w:val="000000"/>
                <w:sz w:val="24"/>
              </w:rPr>
              <w:t>项目无生产废水的排放，根据《福建省环保厅关于进一步明确排污权工作有关问题的通知》(闽环保财[2017]22号)，现有工业排污单位的水污染物的初始排污权只核定工业废水部分，项目生活污水排放暂不需要购买相应的排污权指标，因此，无需申请总量控制指标</w:t>
            </w:r>
            <w:r>
              <w:rPr>
                <w:rFonts w:hint="eastAsia"/>
                <w:color w:val="000000"/>
                <w:sz w:val="24"/>
              </w:rPr>
              <w:t>。</w:t>
            </w:r>
          </w:p>
          <w:p>
            <w:pPr>
              <w:pStyle w:val="31"/>
              <w:ind w:firstLine="480"/>
              <w:rPr>
                <w:color w:val="000000"/>
                <w:sz w:val="24"/>
              </w:rPr>
            </w:pPr>
            <w:r>
              <w:rPr>
                <w:rFonts w:hint="eastAsia"/>
                <w:color w:val="000000"/>
                <w:sz w:val="24"/>
              </w:rPr>
              <w:t>项目废气不涉及SO</w:t>
            </w:r>
            <w:r>
              <w:rPr>
                <w:rFonts w:hint="eastAsia"/>
                <w:color w:val="000000"/>
                <w:sz w:val="24"/>
                <w:vertAlign w:val="subscript"/>
              </w:rPr>
              <w:t>2</w:t>
            </w:r>
            <w:r>
              <w:rPr>
                <w:rFonts w:hint="eastAsia"/>
                <w:color w:val="000000"/>
                <w:sz w:val="24"/>
              </w:rPr>
              <w:t>、NOx等属于国家和地方有偿使用和交易的排污权总量指标。</w:t>
            </w:r>
            <w:r>
              <w:rPr>
                <w:rFonts w:hint="eastAsia"/>
                <w:bCs/>
                <w:color w:val="000000"/>
                <w:sz w:val="24"/>
              </w:rPr>
              <w:t>项目运营期产生废气主要为有机废气非甲烷总烃</w:t>
            </w:r>
            <w:r>
              <w:rPr>
                <w:rFonts w:hint="eastAsia"/>
                <w:color w:val="000000"/>
                <w:sz w:val="24"/>
              </w:rPr>
              <w:t>。本环评建议将非甲烷总烃、颗粒物作为总量控制指标，总量计算详见表3.4-1。</w:t>
            </w:r>
          </w:p>
          <w:p>
            <w:pPr>
              <w:adjustRightInd w:val="0"/>
              <w:snapToGrid w:val="0"/>
              <w:ind w:left="420"/>
              <w:jc w:val="center"/>
              <w:rPr>
                <w:b/>
                <w:color w:val="000000"/>
              </w:rPr>
            </w:pPr>
            <w:r>
              <w:rPr>
                <w:rFonts w:hint="eastAsia"/>
                <w:b/>
                <w:color w:val="000000"/>
              </w:rPr>
              <w:t>表3.4-1  废气总量控制表</w:t>
            </w:r>
          </w:p>
          <w:tbl>
            <w:tblPr>
              <w:tblStyle w:val="2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23"/>
              <w:gridCol w:w="1391"/>
              <w:gridCol w:w="2697"/>
              <w:gridCol w:w="290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3" w:hRule="atLeast"/>
              </w:trPr>
              <w:tc>
                <w:tcPr>
                  <w:tcW w:w="1671" w:type="pct"/>
                  <w:gridSpan w:val="2"/>
                  <w:vAlign w:val="center"/>
                </w:tcPr>
                <w:p>
                  <w:pPr>
                    <w:adjustRightInd w:val="0"/>
                    <w:snapToGrid w:val="0"/>
                    <w:spacing w:line="340" w:lineRule="exact"/>
                    <w:jc w:val="center"/>
                    <w:rPr>
                      <w:b/>
                      <w:bCs/>
                      <w:color w:val="000000"/>
                      <w:kern w:val="0"/>
                      <w:szCs w:val="21"/>
                    </w:rPr>
                  </w:pPr>
                  <w:r>
                    <w:rPr>
                      <w:b/>
                      <w:bCs/>
                      <w:color w:val="000000"/>
                      <w:kern w:val="0"/>
                      <w:szCs w:val="21"/>
                    </w:rPr>
                    <w:t>污染物</w:t>
                  </w:r>
                </w:p>
              </w:tc>
              <w:tc>
                <w:tcPr>
                  <w:tcW w:w="1602" w:type="pct"/>
                  <w:vAlign w:val="center"/>
                </w:tcPr>
                <w:p>
                  <w:pPr>
                    <w:adjustRightInd w:val="0"/>
                    <w:snapToGrid w:val="0"/>
                    <w:spacing w:line="340" w:lineRule="exact"/>
                    <w:jc w:val="center"/>
                    <w:rPr>
                      <w:b/>
                      <w:bCs/>
                      <w:color w:val="000000"/>
                      <w:kern w:val="0"/>
                      <w:szCs w:val="21"/>
                    </w:rPr>
                  </w:pPr>
                  <w:r>
                    <w:rPr>
                      <w:b/>
                      <w:bCs/>
                      <w:color w:val="000000"/>
                      <w:kern w:val="0"/>
                      <w:szCs w:val="21"/>
                    </w:rPr>
                    <w:t>预测排放量</w:t>
                  </w:r>
                </w:p>
                <w:p>
                  <w:pPr>
                    <w:adjustRightInd w:val="0"/>
                    <w:snapToGrid w:val="0"/>
                    <w:spacing w:line="340" w:lineRule="exact"/>
                    <w:jc w:val="center"/>
                    <w:rPr>
                      <w:b/>
                      <w:bCs/>
                      <w:color w:val="000000"/>
                      <w:kern w:val="0"/>
                      <w:szCs w:val="21"/>
                    </w:rPr>
                  </w:pPr>
                  <w:r>
                    <w:rPr>
                      <w:b/>
                      <w:bCs/>
                      <w:color w:val="000000"/>
                      <w:kern w:val="0"/>
                      <w:szCs w:val="21"/>
                    </w:rPr>
                    <w:t>（t/a）</w:t>
                  </w:r>
                </w:p>
              </w:tc>
              <w:tc>
                <w:tcPr>
                  <w:tcW w:w="1727" w:type="pct"/>
                  <w:vAlign w:val="center"/>
                </w:tcPr>
                <w:p>
                  <w:pPr>
                    <w:adjustRightInd w:val="0"/>
                    <w:snapToGrid w:val="0"/>
                    <w:spacing w:line="340" w:lineRule="exact"/>
                    <w:jc w:val="center"/>
                    <w:rPr>
                      <w:b/>
                      <w:bCs/>
                      <w:color w:val="000000"/>
                    </w:rPr>
                  </w:pPr>
                  <w:r>
                    <w:rPr>
                      <w:b/>
                      <w:bCs/>
                      <w:color w:val="000000"/>
                    </w:rPr>
                    <w:t>总量核算指标</w:t>
                  </w:r>
                </w:p>
                <w:p>
                  <w:pPr>
                    <w:adjustRightInd w:val="0"/>
                    <w:snapToGrid w:val="0"/>
                    <w:spacing w:line="340" w:lineRule="exact"/>
                    <w:jc w:val="center"/>
                    <w:rPr>
                      <w:b/>
                      <w:bCs/>
                      <w:color w:val="000000"/>
                      <w:kern w:val="0"/>
                      <w:szCs w:val="21"/>
                    </w:rPr>
                  </w:pPr>
                  <w:r>
                    <w:rPr>
                      <w:b/>
                      <w:bCs/>
                      <w:color w:val="000000"/>
                      <w:kern w:val="0"/>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845" w:type="pct"/>
                  <w:vMerge w:val="restart"/>
                  <w:vAlign w:val="center"/>
                </w:tcPr>
                <w:p>
                  <w:pPr>
                    <w:adjustRightInd w:val="0"/>
                    <w:snapToGrid w:val="0"/>
                    <w:spacing w:line="340" w:lineRule="exact"/>
                    <w:jc w:val="center"/>
                    <w:rPr>
                      <w:color w:val="000000"/>
                      <w:kern w:val="0"/>
                      <w:szCs w:val="21"/>
                    </w:rPr>
                  </w:pPr>
                  <w:r>
                    <w:rPr>
                      <w:rFonts w:hint="eastAsia"/>
                      <w:color w:val="000000"/>
                      <w:kern w:val="0"/>
                      <w:szCs w:val="21"/>
                    </w:rPr>
                    <w:t>VOCs（</w:t>
                  </w:r>
                  <w:r>
                    <w:rPr>
                      <w:color w:val="000000"/>
                      <w:kern w:val="0"/>
                      <w:szCs w:val="21"/>
                    </w:rPr>
                    <w:t>非甲烷总烃</w:t>
                  </w:r>
                  <w:r>
                    <w:rPr>
                      <w:rFonts w:hint="eastAsia"/>
                      <w:color w:val="000000"/>
                      <w:kern w:val="0"/>
                      <w:szCs w:val="21"/>
                    </w:rPr>
                    <w:t>）</w:t>
                  </w:r>
                </w:p>
              </w:tc>
              <w:tc>
                <w:tcPr>
                  <w:tcW w:w="826" w:type="pct"/>
                  <w:vAlign w:val="center"/>
                </w:tcPr>
                <w:p>
                  <w:pPr>
                    <w:adjustRightInd w:val="0"/>
                    <w:snapToGrid w:val="0"/>
                    <w:spacing w:line="340" w:lineRule="exact"/>
                    <w:jc w:val="center"/>
                    <w:rPr>
                      <w:color w:val="000000"/>
                      <w:kern w:val="0"/>
                      <w:szCs w:val="21"/>
                    </w:rPr>
                  </w:pPr>
                  <w:r>
                    <w:rPr>
                      <w:rFonts w:hint="eastAsia"/>
                      <w:color w:val="000000"/>
                      <w:kern w:val="0"/>
                      <w:szCs w:val="21"/>
                    </w:rPr>
                    <w:t>有组织</w:t>
                  </w:r>
                </w:p>
              </w:tc>
              <w:tc>
                <w:tcPr>
                  <w:tcW w:w="1602" w:type="pct"/>
                  <w:vAlign w:val="center"/>
                </w:tcPr>
                <w:p>
                  <w:pPr>
                    <w:adjustRightInd w:val="0"/>
                    <w:snapToGrid w:val="0"/>
                    <w:jc w:val="center"/>
                    <w:rPr>
                      <w:color w:val="000000"/>
                      <w:kern w:val="0"/>
                      <w:szCs w:val="21"/>
                    </w:rPr>
                  </w:pPr>
                  <w:r>
                    <w:rPr>
                      <w:rFonts w:hint="eastAsia"/>
                      <w:color w:val="000000"/>
                      <w:kern w:val="0"/>
                      <w:szCs w:val="21"/>
                    </w:rPr>
                    <w:t>0.665</w:t>
                  </w:r>
                </w:p>
              </w:tc>
              <w:tc>
                <w:tcPr>
                  <w:tcW w:w="1727" w:type="pct"/>
                  <w:vAlign w:val="center"/>
                </w:tcPr>
                <w:p>
                  <w:pPr>
                    <w:adjustRightInd w:val="0"/>
                    <w:snapToGrid w:val="0"/>
                    <w:jc w:val="center"/>
                    <w:rPr>
                      <w:color w:val="000000"/>
                      <w:kern w:val="0"/>
                      <w:szCs w:val="21"/>
                    </w:rPr>
                  </w:pPr>
                  <w:r>
                    <w:rPr>
                      <w:rFonts w:hint="eastAsia"/>
                      <w:color w:val="000000"/>
                      <w:kern w:val="0"/>
                      <w:szCs w:val="21"/>
                    </w:rPr>
                    <w:t>0.665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7" w:hRule="atLeast"/>
              </w:trPr>
              <w:tc>
                <w:tcPr>
                  <w:tcW w:w="845" w:type="pct"/>
                  <w:vMerge w:val="continue"/>
                  <w:vAlign w:val="center"/>
                </w:tcPr>
                <w:p>
                  <w:pPr>
                    <w:adjustRightInd w:val="0"/>
                    <w:snapToGrid w:val="0"/>
                    <w:spacing w:line="340" w:lineRule="exact"/>
                    <w:jc w:val="center"/>
                    <w:rPr>
                      <w:color w:val="000000"/>
                      <w:kern w:val="0"/>
                      <w:szCs w:val="21"/>
                    </w:rPr>
                  </w:pPr>
                </w:p>
              </w:tc>
              <w:tc>
                <w:tcPr>
                  <w:tcW w:w="826" w:type="pct"/>
                  <w:vAlign w:val="center"/>
                </w:tcPr>
                <w:p>
                  <w:pPr>
                    <w:adjustRightInd w:val="0"/>
                    <w:snapToGrid w:val="0"/>
                    <w:spacing w:line="340" w:lineRule="exact"/>
                    <w:jc w:val="center"/>
                    <w:rPr>
                      <w:color w:val="000000"/>
                      <w:kern w:val="0"/>
                      <w:szCs w:val="21"/>
                    </w:rPr>
                  </w:pPr>
                  <w:r>
                    <w:rPr>
                      <w:rFonts w:hint="eastAsia"/>
                      <w:color w:val="000000"/>
                      <w:kern w:val="0"/>
                      <w:szCs w:val="21"/>
                    </w:rPr>
                    <w:t>无组织</w:t>
                  </w:r>
                </w:p>
              </w:tc>
              <w:tc>
                <w:tcPr>
                  <w:tcW w:w="1602" w:type="pct"/>
                  <w:vAlign w:val="center"/>
                </w:tcPr>
                <w:p>
                  <w:pPr>
                    <w:adjustRightInd w:val="0"/>
                    <w:snapToGrid w:val="0"/>
                    <w:jc w:val="center"/>
                    <w:rPr>
                      <w:color w:val="000000"/>
                      <w:kern w:val="0"/>
                      <w:szCs w:val="21"/>
                    </w:rPr>
                  </w:pPr>
                  <w:r>
                    <w:rPr>
                      <w:rFonts w:hint="eastAsia"/>
                      <w:color w:val="000000"/>
                      <w:kern w:val="0"/>
                      <w:szCs w:val="21"/>
                    </w:rPr>
                    <w:t>0.587</w:t>
                  </w:r>
                </w:p>
              </w:tc>
              <w:tc>
                <w:tcPr>
                  <w:tcW w:w="1727" w:type="pct"/>
                  <w:vAlign w:val="center"/>
                </w:tcPr>
                <w:p>
                  <w:pPr>
                    <w:adjustRightInd w:val="0"/>
                    <w:snapToGrid w:val="0"/>
                    <w:jc w:val="center"/>
                    <w:rPr>
                      <w:color w:val="000000"/>
                      <w:kern w:val="0"/>
                      <w:szCs w:val="21"/>
                    </w:rPr>
                  </w:pPr>
                  <w:r>
                    <w:rPr>
                      <w:rFonts w:hint="eastAsia"/>
                      <w:color w:val="000000"/>
                      <w:kern w:val="0"/>
                      <w:szCs w:val="21"/>
                    </w:rPr>
                    <w:t>0.587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3" w:hRule="atLeast"/>
              </w:trPr>
              <w:tc>
                <w:tcPr>
                  <w:tcW w:w="845" w:type="pct"/>
                  <w:vMerge w:val="continue"/>
                  <w:vAlign w:val="center"/>
                </w:tcPr>
                <w:p>
                  <w:pPr>
                    <w:adjustRightInd w:val="0"/>
                    <w:snapToGrid w:val="0"/>
                    <w:spacing w:line="340" w:lineRule="exact"/>
                    <w:jc w:val="center"/>
                    <w:rPr>
                      <w:color w:val="000000"/>
                      <w:kern w:val="0"/>
                      <w:szCs w:val="21"/>
                    </w:rPr>
                  </w:pPr>
                </w:p>
              </w:tc>
              <w:tc>
                <w:tcPr>
                  <w:tcW w:w="826" w:type="pct"/>
                  <w:vAlign w:val="center"/>
                </w:tcPr>
                <w:p>
                  <w:pPr>
                    <w:adjustRightInd w:val="0"/>
                    <w:snapToGrid w:val="0"/>
                    <w:spacing w:line="340" w:lineRule="exact"/>
                    <w:jc w:val="center"/>
                    <w:rPr>
                      <w:color w:val="000000"/>
                      <w:kern w:val="0"/>
                      <w:szCs w:val="21"/>
                    </w:rPr>
                  </w:pPr>
                  <w:r>
                    <w:rPr>
                      <w:rFonts w:hint="eastAsia"/>
                      <w:color w:val="000000"/>
                      <w:kern w:val="0"/>
                      <w:szCs w:val="21"/>
                    </w:rPr>
                    <w:t>合计</w:t>
                  </w:r>
                </w:p>
              </w:tc>
              <w:tc>
                <w:tcPr>
                  <w:tcW w:w="1602" w:type="pct"/>
                  <w:vAlign w:val="center"/>
                </w:tcPr>
                <w:p>
                  <w:pPr>
                    <w:adjustRightInd w:val="0"/>
                    <w:snapToGrid w:val="0"/>
                    <w:jc w:val="center"/>
                    <w:rPr>
                      <w:color w:val="000000"/>
                      <w:kern w:val="0"/>
                      <w:szCs w:val="21"/>
                    </w:rPr>
                  </w:pPr>
                  <w:r>
                    <w:rPr>
                      <w:rFonts w:hint="eastAsia"/>
                      <w:color w:val="000000"/>
                      <w:kern w:val="0"/>
                      <w:szCs w:val="21"/>
                    </w:rPr>
                    <w:t>1.252</w:t>
                  </w:r>
                </w:p>
              </w:tc>
              <w:tc>
                <w:tcPr>
                  <w:tcW w:w="1727" w:type="pct"/>
                  <w:vAlign w:val="center"/>
                </w:tcPr>
                <w:p>
                  <w:pPr>
                    <w:adjustRightInd w:val="0"/>
                    <w:snapToGrid w:val="0"/>
                    <w:jc w:val="center"/>
                    <w:rPr>
                      <w:color w:val="000000"/>
                      <w:kern w:val="0"/>
                      <w:szCs w:val="21"/>
                    </w:rPr>
                  </w:pPr>
                  <w:r>
                    <w:rPr>
                      <w:rFonts w:hint="eastAsia"/>
                      <w:color w:val="000000"/>
                      <w:kern w:val="0"/>
                      <w:szCs w:val="21"/>
                    </w:rPr>
                    <w:t>1.252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9" w:hRule="atLeast"/>
              </w:trPr>
              <w:tc>
                <w:tcPr>
                  <w:tcW w:w="845" w:type="pct"/>
                  <w:vMerge w:val="restart"/>
                  <w:vAlign w:val="center"/>
                </w:tcPr>
                <w:p>
                  <w:pPr>
                    <w:adjustRightInd w:val="0"/>
                    <w:snapToGrid w:val="0"/>
                    <w:spacing w:line="340" w:lineRule="exact"/>
                    <w:jc w:val="center"/>
                    <w:rPr>
                      <w:color w:val="000000"/>
                      <w:kern w:val="0"/>
                      <w:szCs w:val="21"/>
                    </w:rPr>
                  </w:pPr>
                  <w:r>
                    <w:rPr>
                      <w:rFonts w:hint="eastAsia"/>
                      <w:color w:val="000000"/>
                      <w:kern w:val="0"/>
                      <w:szCs w:val="21"/>
                    </w:rPr>
                    <w:t>颗粒物</w:t>
                  </w:r>
                </w:p>
              </w:tc>
              <w:tc>
                <w:tcPr>
                  <w:tcW w:w="826" w:type="pct"/>
                  <w:vAlign w:val="center"/>
                </w:tcPr>
                <w:p>
                  <w:pPr>
                    <w:adjustRightInd w:val="0"/>
                    <w:snapToGrid w:val="0"/>
                    <w:spacing w:line="340" w:lineRule="exact"/>
                    <w:jc w:val="center"/>
                    <w:rPr>
                      <w:color w:val="000000"/>
                      <w:kern w:val="0"/>
                      <w:szCs w:val="21"/>
                    </w:rPr>
                  </w:pPr>
                  <w:r>
                    <w:rPr>
                      <w:rFonts w:hint="eastAsia"/>
                      <w:color w:val="000000"/>
                      <w:kern w:val="0"/>
                      <w:szCs w:val="21"/>
                    </w:rPr>
                    <w:t>有组织</w:t>
                  </w:r>
                </w:p>
              </w:tc>
              <w:tc>
                <w:tcPr>
                  <w:tcW w:w="1602" w:type="pct"/>
                  <w:vAlign w:val="center"/>
                </w:tcPr>
                <w:p>
                  <w:pPr>
                    <w:adjustRightInd w:val="0"/>
                    <w:snapToGrid w:val="0"/>
                    <w:jc w:val="center"/>
                    <w:rPr>
                      <w:color w:val="000000"/>
                      <w:kern w:val="0"/>
                      <w:szCs w:val="21"/>
                    </w:rPr>
                  </w:pPr>
                  <w:r>
                    <w:rPr>
                      <w:rFonts w:hint="eastAsia"/>
                      <w:color w:val="000000"/>
                      <w:kern w:val="0"/>
                    </w:rPr>
                    <w:t>0.003</w:t>
                  </w:r>
                </w:p>
              </w:tc>
              <w:tc>
                <w:tcPr>
                  <w:tcW w:w="1727" w:type="pct"/>
                  <w:vAlign w:val="center"/>
                </w:tcPr>
                <w:p>
                  <w:pPr>
                    <w:adjustRightInd w:val="0"/>
                    <w:snapToGrid w:val="0"/>
                    <w:jc w:val="center"/>
                    <w:rPr>
                      <w:color w:val="000000"/>
                      <w:kern w:val="0"/>
                      <w:szCs w:val="21"/>
                    </w:rPr>
                  </w:pPr>
                  <w:r>
                    <w:rPr>
                      <w:rFonts w:hint="eastAsia"/>
                      <w:color w:val="000000"/>
                      <w:kern w:val="0"/>
                    </w:rPr>
                    <w:t>0.003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1" w:hRule="atLeast"/>
              </w:trPr>
              <w:tc>
                <w:tcPr>
                  <w:tcW w:w="845" w:type="pct"/>
                  <w:vMerge w:val="continue"/>
                  <w:vAlign w:val="center"/>
                </w:tcPr>
                <w:p>
                  <w:pPr>
                    <w:adjustRightInd w:val="0"/>
                    <w:snapToGrid w:val="0"/>
                    <w:spacing w:line="340" w:lineRule="exact"/>
                    <w:jc w:val="center"/>
                    <w:rPr>
                      <w:color w:val="000000"/>
                      <w:kern w:val="0"/>
                      <w:szCs w:val="21"/>
                    </w:rPr>
                  </w:pPr>
                </w:p>
              </w:tc>
              <w:tc>
                <w:tcPr>
                  <w:tcW w:w="826" w:type="pct"/>
                  <w:vAlign w:val="center"/>
                </w:tcPr>
                <w:p>
                  <w:pPr>
                    <w:adjustRightInd w:val="0"/>
                    <w:snapToGrid w:val="0"/>
                    <w:spacing w:line="340" w:lineRule="exact"/>
                    <w:jc w:val="center"/>
                    <w:rPr>
                      <w:color w:val="000000"/>
                      <w:kern w:val="0"/>
                      <w:szCs w:val="21"/>
                    </w:rPr>
                  </w:pPr>
                  <w:r>
                    <w:rPr>
                      <w:rFonts w:hint="eastAsia"/>
                      <w:color w:val="000000"/>
                      <w:kern w:val="0"/>
                      <w:szCs w:val="21"/>
                    </w:rPr>
                    <w:t>无组织</w:t>
                  </w:r>
                </w:p>
              </w:tc>
              <w:tc>
                <w:tcPr>
                  <w:tcW w:w="1602" w:type="pct"/>
                  <w:vAlign w:val="center"/>
                </w:tcPr>
                <w:p>
                  <w:pPr>
                    <w:adjustRightInd w:val="0"/>
                    <w:snapToGrid w:val="0"/>
                    <w:jc w:val="center"/>
                    <w:rPr>
                      <w:color w:val="000000"/>
                      <w:kern w:val="0"/>
                      <w:szCs w:val="21"/>
                    </w:rPr>
                  </w:pPr>
                  <w:r>
                    <w:rPr>
                      <w:rFonts w:hint="eastAsia"/>
                      <w:color w:val="000000"/>
                      <w:kern w:val="0"/>
                      <w:szCs w:val="21"/>
                    </w:rPr>
                    <w:t>0.016</w:t>
                  </w:r>
                </w:p>
              </w:tc>
              <w:tc>
                <w:tcPr>
                  <w:tcW w:w="1727" w:type="pct"/>
                  <w:vAlign w:val="center"/>
                </w:tcPr>
                <w:p>
                  <w:pPr>
                    <w:adjustRightInd w:val="0"/>
                    <w:snapToGrid w:val="0"/>
                    <w:jc w:val="center"/>
                    <w:rPr>
                      <w:color w:val="000000"/>
                      <w:kern w:val="0"/>
                      <w:szCs w:val="21"/>
                    </w:rPr>
                  </w:pPr>
                  <w:r>
                    <w:rPr>
                      <w:rFonts w:hint="eastAsia"/>
                      <w:color w:val="000000"/>
                      <w:kern w:val="0"/>
                      <w:szCs w:val="21"/>
                    </w:rPr>
                    <w:t>0.016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6" w:hRule="atLeast"/>
              </w:trPr>
              <w:tc>
                <w:tcPr>
                  <w:tcW w:w="845" w:type="pct"/>
                  <w:vMerge w:val="continue"/>
                  <w:vAlign w:val="center"/>
                </w:tcPr>
                <w:p>
                  <w:pPr>
                    <w:adjustRightInd w:val="0"/>
                    <w:snapToGrid w:val="0"/>
                    <w:spacing w:line="340" w:lineRule="exact"/>
                    <w:jc w:val="center"/>
                    <w:rPr>
                      <w:color w:val="000000"/>
                      <w:kern w:val="0"/>
                      <w:szCs w:val="21"/>
                    </w:rPr>
                  </w:pPr>
                </w:p>
              </w:tc>
              <w:tc>
                <w:tcPr>
                  <w:tcW w:w="826" w:type="pct"/>
                  <w:vAlign w:val="center"/>
                </w:tcPr>
                <w:p>
                  <w:pPr>
                    <w:adjustRightInd w:val="0"/>
                    <w:snapToGrid w:val="0"/>
                    <w:spacing w:line="340" w:lineRule="exact"/>
                    <w:jc w:val="center"/>
                    <w:rPr>
                      <w:color w:val="000000"/>
                      <w:kern w:val="0"/>
                      <w:szCs w:val="21"/>
                    </w:rPr>
                  </w:pPr>
                  <w:r>
                    <w:rPr>
                      <w:rFonts w:hint="eastAsia"/>
                      <w:color w:val="000000"/>
                      <w:kern w:val="0"/>
                      <w:szCs w:val="21"/>
                    </w:rPr>
                    <w:t>合计</w:t>
                  </w:r>
                </w:p>
              </w:tc>
              <w:tc>
                <w:tcPr>
                  <w:tcW w:w="1602" w:type="pct"/>
                  <w:vAlign w:val="center"/>
                </w:tcPr>
                <w:p>
                  <w:pPr>
                    <w:adjustRightInd w:val="0"/>
                    <w:snapToGrid w:val="0"/>
                    <w:jc w:val="center"/>
                    <w:rPr>
                      <w:color w:val="000000"/>
                      <w:kern w:val="0"/>
                      <w:szCs w:val="21"/>
                    </w:rPr>
                  </w:pPr>
                  <w:r>
                    <w:rPr>
                      <w:rFonts w:hint="eastAsia"/>
                      <w:color w:val="000000"/>
                      <w:kern w:val="0"/>
                      <w:szCs w:val="21"/>
                    </w:rPr>
                    <w:t>0.019</w:t>
                  </w:r>
                </w:p>
              </w:tc>
              <w:tc>
                <w:tcPr>
                  <w:tcW w:w="1727" w:type="pct"/>
                  <w:vAlign w:val="center"/>
                </w:tcPr>
                <w:p>
                  <w:pPr>
                    <w:adjustRightInd w:val="0"/>
                    <w:snapToGrid w:val="0"/>
                    <w:jc w:val="center"/>
                    <w:rPr>
                      <w:color w:val="000000"/>
                      <w:kern w:val="0"/>
                      <w:szCs w:val="21"/>
                    </w:rPr>
                  </w:pPr>
                  <w:r>
                    <w:rPr>
                      <w:rFonts w:hint="eastAsia"/>
                      <w:color w:val="000000"/>
                      <w:kern w:val="0"/>
                      <w:szCs w:val="21"/>
                    </w:rPr>
                    <w:t>0.019</w:t>
                  </w:r>
                </w:p>
              </w:tc>
            </w:tr>
          </w:tbl>
          <w:p>
            <w:pPr>
              <w:pStyle w:val="6"/>
              <w:spacing w:line="360" w:lineRule="auto"/>
              <w:ind w:firstLine="482"/>
              <w:rPr>
                <w:color w:val="000000"/>
                <w:sz w:val="24"/>
              </w:rPr>
            </w:pPr>
            <w:r>
              <w:rPr>
                <w:color w:val="000000"/>
                <w:sz w:val="24"/>
                <w:lang w:val="en-US" w:eastAsia="zh-CN"/>
              </w:rPr>
              <w:t>根据《福州市</w:t>
            </w:r>
            <w:r>
              <w:rPr>
                <w:rFonts w:hint="eastAsia"/>
                <w:color w:val="000000"/>
                <w:sz w:val="24"/>
                <w:lang w:val="en-US" w:eastAsia="zh-CN"/>
              </w:rPr>
              <w:t>生态环境局</w:t>
            </w:r>
            <w:r>
              <w:rPr>
                <w:color w:val="000000"/>
                <w:sz w:val="24"/>
                <w:lang w:val="en-US" w:eastAsia="zh-CN"/>
              </w:rPr>
              <w:t>关于印发福州市大气污染联防控联治工作方案的通知》</w:t>
            </w:r>
            <w:r>
              <w:rPr>
                <w:rFonts w:hint="eastAsia"/>
                <w:color w:val="000000"/>
                <w:sz w:val="24"/>
                <w:lang w:val="en-US" w:eastAsia="zh-CN"/>
              </w:rPr>
              <w:t>（</w:t>
            </w:r>
            <w:r>
              <w:rPr>
                <w:color w:val="000000"/>
                <w:sz w:val="24"/>
                <w:lang w:val="en-US" w:eastAsia="zh-CN"/>
              </w:rPr>
              <w:t>榕环保综〔2018〕386号</w:t>
            </w:r>
            <w:r>
              <w:rPr>
                <w:rFonts w:hint="eastAsia"/>
                <w:color w:val="000000"/>
                <w:sz w:val="24"/>
                <w:lang w:val="en-US" w:eastAsia="zh-CN"/>
              </w:rPr>
              <w:t>）</w:t>
            </w:r>
            <w:r>
              <w:rPr>
                <w:color w:val="000000"/>
                <w:sz w:val="24"/>
                <w:lang w:val="en-US" w:eastAsia="zh-CN"/>
              </w:rPr>
              <w:t>：VOCs排放实行区域内倍量替代，本项目实施后污染物相关替代削减情况由建设单位向生态环境主管部门提交申请核定。</w:t>
            </w:r>
          </w:p>
          <w:p>
            <w:pPr>
              <w:pStyle w:val="142"/>
            </w:pPr>
            <w:r>
              <w:t>根据</w:t>
            </w:r>
            <w:r>
              <w:rPr>
                <w:rFonts w:hint="eastAsia"/>
              </w:rPr>
              <w:t>《2022年度福州市蓝天碧水碧海净土保卫战行动计划》（榕环委办[2022]49号）：新、改、扩建涉VOCS排放项目，应使用低（无）VOCs涂料、粘胶剂等，实施新建项目VOCs排放，</w:t>
            </w:r>
            <w:r>
              <w:t>由建设单位向生态环境主管部门申请区域削减替代</w:t>
            </w:r>
            <w:r>
              <w:rPr>
                <w:rFonts w:hint="eastAsia"/>
              </w:rPr>
              <w:t>。</w:t>
            </w:r>
            <w:r>
              <w:t>根据报告分析可以，本项目</w:t>
            </w:r>
            <w:r>
              <w:rPr>
                <w:bCs/>
              </w:rPr>
              <w:t>VOCs</w:t>
            </w:r>
            <w:r>
              <w:rPr>
                <w:rFonts w:hint="eastAsia"/>
                <w:bCs/>
              </w:rPr>
              <w:t>（</w:t>
            </w:r>
            <w:r>
              <w:rPr>
                <w:bCs/>
              </w:rPr>
              <w:t>以非甲烷总烃计</w:t>
            </w:r>
            <w:r>
              <w:rPr>
                <w:rFonts w:hint="eastAsia"/>
                <w:bCs/>
              </w:rPr>
              <w:t>）</w:t>
            </w:r>
            <w:r>
              <w:rPr>
                <w:bCs/>
              </w:rPr>
              <w:t>的排放总量为：</w:t>
            </w:r>
            <w:r>
              <w:rPr>
                <w:rFonts w:hint="eastAsia"/>
                <w:bCs/>
              </w:rPr>
              <w:t>1.252</w:t>
            </w:r>
            <w:r>
              <w:rPr>
                <w:bCs/>
              </w:rPr>
              <w:t>t</w:t>
            </w:r>
            <w:r>
              <w:t>/a，由建设单位向生态环境主管部门申请区域削减替代。</w:t>
            </w:r>
          </w:p>
        </w:tc>
      </w:tr>
    </w:tbl>
    <w:p>
      <w:pPr>
        <w:pStyle w:val="1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6"/>
          <w:szCs w:val="36"/>
        </w:rPr>
        <w:br w:type="page"/>
      </w:r>
      <w:r>
        <w:rPr>
          <w:rFonts w:ascii="Times New Roman" w:hAnsi="Times New Roman" w:eastAsia="黑体"/>
          <w:snapToGrid w:val="0"/>
          <w:color w:val="000000"/>
          <w:sz w:val="30"/>
          <w:szCs w:val="30"/>
        </w:rPr>
        <w:t>四、主要环境影响和保护措施</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2"/>
        <w:gridCol w:w="87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8" w:hRule="atLeast"/>
          <w:jc w:val="center"/>
        </w:trPr>
        <w:tc>
          <w:tcPr>
            <w:tcW w:w="378" w:type="dxa"/>
            <w:tcMar>
              <w:left w:w="28" w:type="dxa"/>
              <w:right w:w="28" w:type="dxa"/>
            </w:tcMar>
            <w:vAlign w:val="center"/>
          </w:tcPr>
          <w:p>
            <w:pPr>
              <w:pStyle w:val="17"/>
              <w:adjustRightInd w:val="0"/>
              <w:snapToGrid w:val="0"/>
              <w:spacing w:before="0" w:beforeAutospacing="0" w:after="0" w:afterAutospacing="0"/>
              <w:jc w:val="center"/>
              <w:rPr>
                <w:rFonts w:ascii="Times New Roman" w:hAnsi="Times New Roman"/>
                <w:color w:val="000000"/>
                <w:kern w:val="2"/>
                <w:sz w:val="21"/>
                <w:szCs w:val="21"/>
                <w:lang w:val="en-US" w:eastAsia="zh-CN"/>
              </w:rPr>
            </w:pPr>
            <w:r>
              <w:rPr>
                <w:rFonts w:ascii="Times New Roman" w:hAnsi="Times New Roman"/>
                <w:color w:val="000000"/>
                <w:kern w:val="2"/>
                <w:sz w:val="21"/>
                <w:szCs w:val="21"/>
                <w:lang w:val="en-US" w:eastAsia="zh-CN"/>
              </w:rPr>
              <w:t>施工</w:t>
            </w:r>
          </w:p>
          <w:p>
            <w:pPr>
              <w:pStyle w:val="17"/>
              <w:adjustRightInd w:val="0"/>
              <w:snapToGrid w:val="0"/>
              <w:spacing w:before="0" w:beforeAutospacing="0" w:after="0" w:afterAutospacing="0"/>
              <w:jc w:val="center"/>
              <w:rPr>
                <w:rFonts w:ascii="Times New Roman" w:hAnsi="Times New Roman"/>
                <w:color w:val="000000"/>
                <w:kern w:val="2"/>
                <w:sz w:val="21"/>
                <w:szCs w:val="21"/>
                <w:lang w:val="en-US" w:eastAsia="zh-CN"/>
              </w:rPr>
            </w:pPr>
            <w:r>
              <w:rPr>
                <w:rFonts w:ascii="Times New Roman" w:hAnsi="Times New Roman"/>
                <w:color w:val="000000"/>
                <w:kern w:val="2"/>
                <w:sz w:val="21"/>
                <w:szCs w:val="21"/>
                <w:lang w:val="en-US" w:eastAsia="zh-CN"/>
              </w:rPr>
              <w:t>期环</w:t>
            </w:r>
          </w:p>
          <w:p>
            <w:pPr>
              <w:pStyle w:val="17"/>
              <w:adjustRightInd w:val="0"/>
              <w:snapToGrid w:val="0"/>
              <w:spacing w:before="0" w:beforeAutospacing="0" w:after="0" w:afterAutospacing="0"/>
              <w:jc w:val="center"/>
              <w:rPr>
                <w:rFonts w:ascii="Times New Roman" w:hAnsi="Times New Roman"/>
                <w:color w:val="000000"/>
                <w:kern w:val="2"/>
                <w:sz w:val="21"/>
                <w:szCs w:val="21"/>
                <w:lang w:val="en-US" w:eastAsia="zh-CN"/>
              </w:rPr>
            </w:pPr>
            <w:r>
              <w:rPr>
                <w:rFonts w:ascii="Times New Roman" w:hAnsi="Times New Roman"/>
                <w:color w:val="000000"/>
                <w:kern w:val="2"/>
                <w:sz w:val="21"/>
                <w:szCs w:val="21"/>
                <w:lang w:val="en-US" w:eastAsia="zh-CN"/>
              </w:rPr>
              <w:t>境保</w:t>
            </w:r>
          </w:p>
          <w:p>
            <w:pPr>
              <w:pStyle w:val="17"/>
              <w:adjustRightInd w:val="0"/>
              <w:snapToGrid w:val="0"/>
              <w:spacing w:before="0" w:beforeAutospacing="0" w:after="0" w:afterAutospacing="0"/>
              <w:jc w:val="center"/>
              <w:rPr>
                <w:rFonts w:ascii="Times New Roman" w:hAnsi="Times New Roman"/>
                <w:color w:val="000000"/>
                <w:kern w:val="2"/>
                <w:sz w:val="21"/>
                <w:szCs w:val="21"/>
                <w:lang w:val="en-US" w:eastAsia="zh-CN"/>
              </w:rPr>
            </w:pPr>
            <w:r>
              <w:rPr>
                <w:rFonts w:ascii="Times New Roman" w:hAnsi="Times New Roman"/>
                <w:color w:val="000000"/>
                <w:kern w:val="2"/>
                <w:sz w:val="21"/>
                <w:szCs w:val="21"/>
                <w:lang w:val="en-US" w:eastAsia="zh-CN"/>
              </w:rPr>
              <w:t>护措</w:t>
            </w:r>
          </w:p>
          <w:p>
            <w:pPr>
              <w:pStyle w:val="17"/>
              <w:adjustRightInd w:val="0"/>
              <w:snapToGrid w:val="0"/>
              <w:spacing w:before="0" w:beforeAutospacing="0" w:after="0" w:afterAutospacing="0"/>
              <w:jc w:val="center"/>
              <w:rPr>
                <w:rFonts w:ascii="Times New Roman" w:hAnsi="Times New Roman"/>
                <w:bCs/>
                <w:color w:val="000000"/>
                <w:kern w:val="2"/>
                <w:sz w:val="21"/>
                <w:szCs w:val="21"/>
                <w:lang w:val="en-US" w:eastAsia="zh-CN"/>
              </w:rPr>
            </w:pPr>
            <w:r>
              <w:rPr>
                <w:rFonts w:ascii="Times New Roman" w:hAnsi="Times New Roman"/>
                <w:color w:val="000000"/>
                <w:kern w:val="2"/>
                <w:sz w:val="21"/>
                <w:szCs w:val="21"/>
                <w:lang w:val="en-US" w:eastAsia="zh-CN"/>
              </w:rPr>
              <w:t>施</w:t>
            </w:r>
          </w:p>
        </w:tc>
        <w:tc>
          <w:tcPr>
            <w:tcW w:w="8603" w:type="dxa"/>
          </w:tcPr>
          <w:p>
            <w:pPr>
              <w:adjustRightInd w:val="0"/>
              <w:snapToGrid w:val="0"/>
              <w:spacing w:line="360" w:lineRule="auto"/>
              <w:outlineLvl w:val="1"/>
              <w:rPr>
                <w:b/>
                <w:color w:val="000000"/>
                <w:sz w:val="30"/>
                <w:szCs w:val="30"/>
              </w:rPr>
            </w:pPr>
            <w:r>
              <w:rPr>
                <w:b/>
                <w:color w:val="000000"/>
                <w:sz w:val="30"/>
                <w:szCs w:val="30"/>
              </w:rPr>
              <w:t>4.1 施工期环境保护措施</w:t>
            </w:r>
          </w:p>
          <w:p>
            <w:pPr>
              <w:adjustRightInd w:val="0"/>
              <w:spacing w:line="360" w:lineRule="auto"/>
              <w:ind w:firstLine="480" w:firstLineChars="200"/>
              <w:contextualSpacing/>
              <w:rPr>
                <w:bCs/>
                <w:color w:val="000000"/>
                <w:spacing w:val="-10"/>
                <w:sz w:val="24"/>
              </w:rPr>
            </w:pPr>
            <w:r>
              <w:rPr>
                <w:color w:val="000000"/>
                <w:sz w:val="24"/>
              </w:rPr>
              <w:t>本项目是利用</w:t>
            </w:r>
            <w:r>
              <w:rPr>
                <w:rFonts w:hint="eastAsia"/>
                <w:color w:val="000000"/>
                <w:sz w:val="24"/>
              </w:rPr>
              <w:t>现有</w:t>
            </w:r>
            <w:r>
              <w:rPr>
                <w:color w:val="000000"/>
                <w:sz w:val="24"/>
              </w:rPr>
              <w:t>厂房进行生产，不对厂房进行拆建，施工期主要为设备入驻及安装，设备安装过程可能产生间歇性噪声影响及少量的包装废物，均为短期影响，随着施工期结束其影响将消失，评价不再对施工期环境影响进行详细评价，项目的环境影响主要来源于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1" w:hRule="atLeast"/>
          <w:jc w:val="center"/>
        </w:trPr>
        <w:tc>
          <w:tcPr>
            <w:tcW w:w="378" w:type="dxa"/>
            <w:tcMar>
              <w:left w:w="28" w:type="dxa"/>
              <w:right w:w="28" w:type="dxa"/>
            </w:tcMar>
            <w:vAlign w:val="center"/>
          </w:tcPr>
          <w:p>
            <w:pPr>
              <w:adjustRightInd w:val="0"/>
              <w:snapToGrid w:val="0"/>
              <w:jc w:val="center"/>
              <w:rPr>
                <w:bCs/>
                <w:color w:val="000000"/>
                <w:szCs w:val="21"/>
              </w:rPr>
            </w:pPr>
            <w:r>
              <w:rPr>
                <w:bCs/>
                <w:color w:val="000000"/>
                <w:szCs w:val="21"/>
              </w:rPr>
              <w:t>运营</w:t>
            </w:r>
          </w:p>
          <w:p>
            <w:pPr>
              <w:adjustRightInd w:val="0"/>
              <w:snapToGrid w:val="0"/>
              <w:jc w:val="center"/>
              <w:rPr>
                <w:bCs/>
                <w:color w:val="000000"/>
                <w:szCs w:val="21"/>
              </w:rPr>
            </w:pPr>
            <w:r>
              <w:rPr>
                <w:bCs/>
                <w:color w:val="000000"/>
                <w:szCs w:val="21"/>
              </w:rPr>
              <w:t>期环</w:t>
            </w:r>
          </w:p>
          <w:p>
            <w:pPr>
              <w:adjustRightInd w:val="0"/>
              <w:snapToGrid w:val="0"/>
              <w:jc w:val="center"/>
              <w:rPr>
                <w:bCs/>
                <w:color w:val="000000"/>
                <w:szCs w:val="21"/>
              </w:rPr>
            </w:pPr>
            <w:r>
              <w:rPr>
                <w:bCs/>
                <w:color w:val="000000"/>
                <w:szCs w:val="21"/>
              </w:rPr>
              <w:t>境影</w:t>
            </w:r>
          </w:p>
          <w:p>
            <w:pPr>
              <w:adjustRightInd w:val="0"/>
              <w:snapToGrid w:val="0"/>
              <w:jc w:val="center"/>
              <w:rPr>
                <w:bCs/>
                <w:color w:val="000000"/>
                <w:szCs w:val="21"/>
              </w:rPr>
            </w:pPr>
            <w:r>
              <w:rPr>
                <w:bCs/>
                <w:color w:val="000000"/>
                <w:szCs w:val="21"/>
              </w:rPr>
              <w:t>响和</w:t>
            </w:r>
          </w:p>
          <w:p>
            <w:pPr>
              <w:adjustRightInd w:val="0"/>
              <w:snapToGrid w:val="0"/>
              <w:jc w:val="center"/>
              <w:rPr>
                <w:bCs/>
                <w:color w:val="000000"/>
                <w:szCs w:val="21"/>
              </w:rPr>
            </w:pPr>
            <w:r>
              <w:rPr>
                <w:bCs/>
                <w:color w:val="000000"/>
                <w:szCs w:val="21"/>
              </w:rPr>
              <w:t>保护</w:t>
            </w:r>
          </w:p>
          <w:p>
            <w:pPr>
              <w:adjustRightInd w:val="0"/>
              <w:snapToGrid w:val="0"/>
              <w:jc w:val="center"/>
              <w:rPr>
                <w:bCs/>
                <w:color w:val="000000"/>
                <w:szCs w:val="21"/>
              </w:rPr>
            </w:pPr>
            <w:r>
              <w:rPr>
                <w:bCs/>
                <w:color w:val="000000"/>
                <w:szCs w:val="21"/>
              </w:rPr>
              <w:t>措施</w:t>
            </w:r>
          </w:p>
        </w:tc>
        <w:tc>
          <w:tcPr>
            <w:tcW w:w="8603" w:type="dxa"/>
            <w:vAlign w:val="center"/>
          </w:tcPr>
          <w:p>
            <w:pPr>
              <w:adjustRightInd w:val="0"/>
              <w:snapToGrid w:val="0"/>
              <w:spacing w:line="360" w:lineRule="auto"/>
              <w:outlineLvl w:val="1"/>
              <w:rPr>
                <w:b/>
                <w:color w:val="000000"/>
                <w:sz w:val="30"/>
                <w:szCs w:val="30"/>
              </w:rPr>
            </w:pPr>
            <w:r>
              <w:rPr>
                <w:b/>
                <w:color w:val="000000"/>
                <w:sz w:val="30"/>
                <w:szCs w:val="30"/>
              </w:rPr>
              <w:t>4.2 运营期环境影响和保护措施</w:t>
            </w:r>
          </w:p>
          <w:p>
            <w:pPr>
              <w:widowControl/>
              <w:spacing w:line="360" w:lineRule="auto"/>
              <w:jc w:val="left"/>
              <w:outlineLvl w:val="2"/>
              <w:rPr>
                <w:b/>
                <w:color w:val="000000"/>
                <w:kern w:val="0"/>
                <w:sz w:val="28"/>
                <w:szCs w:val="28"/>
              </w:rPr>
            </w:pPr>
            <w:r>
              <w:rPr>
                <w:b/>
                <w:color w:val="000000"/>
                <w:kern w:val="0"/>
                <w:sz w:val="28"/>
                <w:szCs w:val="28"/>
              </w:rPr>
              <w:t>4.2.1废气</w:t>
            </w:r>
          </w:p>
          <w:p>
            <w:pPr>
              <w:pStyle w:val="5"/>
              <w:spacing w:before="72" w:after="48"/>
              <w:rPr>
                <w:color w:val="000000"/>
                <w:lang w:val="en-US" w:eastAsia="zh-CN"/>
              </w:rPr>
            </w:pPr>
            <w:r>
              <w:rPr>
                <w:color w:val="000000"/>
                <w:lang w:val="en-US" w:eastAsia="zh-CN"/>
              </w:rPr>
              <w:t>4.2.1.1</w:t>
            </w:r>
            <w:r>
              <w:rPr>
                <w:rFonts w:hint="eastAsia"/>
                <w:color w:val="000000"/>
                <w:lang w:val="en-US" w:eastAsia="zh-CN"/>
              </w:rPr>
              <w:t>源强分析</w:t>
            </w:r>
          </w:p>
          <w:p>
            <w:pPr>
              <w:adjustRightInd w:val="0"/>
              <w:snapToGrid w:val="0"/>
              <w:spacing w:before="120" w:beforeLines="50" w:line="360" w:lineRule="auto"/>
              <w:jc w:val="left"/>
              <w:rPr>
                <w:rFonts w:hint="eastAsia" w:ascii="宋体" w:hAnsi="宋体"/>
                <w:b/>
                <w:bCs/>
                <w:color w:val="000000"/>
                <w:sz w:val="24"/>
                <w:szCs w:val="20"/>
              </w:rPr>
            </w:pPr>
            <w:r>
              <w:rPr>
                <w:rFonts w:ascii="宋体" w:hAnsi="宋体"/>
                <w:b/>
                <w:bCs/>
                <w:color w:val="000000"/>
                <w:sz w:val="24"/>
                <w:szCs w:val="20"/>
              </w:rPr>
              <w:t>（1）投料粉尘</w:t>
            </w:r>
          </w:p>
          <w:p>
            <w:pPr>
              <w:widowControl/>
              <w:adjustRightInd w:val="0"/>
              <w:snapToGrid w:val="0"/>
              <w:spacing w:line="360" w:lineRule="auto"/>
              <w:ind w:firstLine="480" w:firstLineChars="200"/>
              <w:rPr>
                <w:color w:val="000000"/>
                <w:kern w:val="0"/>
                <w:sz w:val="24"/>
                <w:szCs w:val="20"/>
              </w:rPr>
            </w:pPr>
            <w:r>
              <w:rPr>
                <w:color w:val="000000"/>
                <w:kern w:val="0"/>
                <w:sz w:val="24"/>
                <w:szCs w:val="20"/>
              </w:rPr>
              <w:t>本项目生产投料时</w:t>
            </w:r>
            <w:r>
              <w:rPr>
                <w:rFonts w:hint="eastAsia"/>
                <w:color w:val="000000"/>
                <w:kern w:val="0"/>
                <w:sz w:val="24"/>
                <w:szCs w:val="20"/>
              </w:rPr>
              <w:t>会</w:t>
            </w:r>
            <w:r>
              <w:rPr>
                <w:color w:val="000000"/>
                <w:kern w:val="0"/>
                <w:sz w:val="24"/>
                <w:szCs w:val="20"/>
              </w:rPr>
              <w:t>产生粉尘，粉尘主要在混合搅拌机进料口产生</w:t>
            </w:r>
            <w:r>
              <w:rPr>
                <w:rFonts w:hint="eastAsia"/>
                <w:color w:val="000000"/>
                <w:kern w:val="0"/>
                <w:sz w:val="24"/>
                <w:szCs w:val="20"/>
              </w:rPr>
              <w:t>；原料</w:t>
            </w:r>
            <w:r>
              <w:rPr>
                <w:color w:val="000000"/>
                <w:kern w:val="0"/>
                <w:sz w:val="24"/>
                <w:szCs w:val="20"/>
              </w:rPr>
              <w:t>加入</w:t>
            </w:r>
            <w:r>
              <w:rPr>
                <w:rFonts w:hint="eastAsia"/>
                <w:color w:val="000000"/>
                <w:kern w:val="0"/>
                <w:sz w:val="24"/>
                <w:szCs w:val="20"/>
              </w:rPr>
              <w:t>混合搅拌机后，</w:t>
            </w:r>
            <w:r>
              <w:rPr>
                <w:color w:val="000000"/>
                <w:kern w:val="0"/>
                <w:sz w:val="24"/>
                <w:szCs w:val="20"/>
              </w:rPr>
              <w:t>到螺杆上随着螺杆的旋转被螺纹强制往机头方向推进构成一个机械输送过程</w:t>
            </w:r>
            <w:r>
              <w:rPr>
                <w:rFonts w:hint="eastAsia"/>
                <w:color w:val="000000"/>
                <w:kern w:val="0"/>
                <w:sz w:val="24"/>
                <w:szCs w:val="20"/>
              </w:rPr>
              <w:t>，该过程</w:t>
            </w:r>
            <w:r>
              <w:rPr>
                <w:color w:val="000000"/>
                <w:kern w:val="0"/>
                <w:sz w:val="24"/>
                <w:szCs w:val="20"/>
              </w:rPr>
              <w:t>粉状原料</w:t>
            </w:r>
            <w:r>
              <w:rPr>
                <w:rFonts w:hint="eastAsia"/>
                <w:color w:val="000000"/>
                <w:kern w:val="0"/>
                <w:sz w:val="24"/>
                <w:szCs w:val="20"/>
              </w:rPr>
              <w:t>仅会少部分从进料口逸散出</w:t>
            </w:r>
            <w:r>
              <w:rPr>
                <w:color w:val="000000"/>
                <w:kern w:val="0"/>
                <w:sz w:val="24"/>
                <w:szCs w:val="20"/>
              </w:rPr>
              <w:t>。参考《逸散性工业粉尘控制技术》中粉尘逸散系数，并结合同行业实际情况，按0.5kg/t原料用量计，项目每年</w:t>
            </w:r>
            <w:r>
              <w:rPr>
                <w:rFonts w:hint="eastAsia"/>
                <w:color w:val="000000"/>
                <w:kern w:val="0"/>
                <w:sz w:val="24"/>
                <w:szCs w:val="20"/>
              </w:rPr>
              <w:t>粉状原料</w:t>
            </w:r>
            <w:r>
              <w:rPr>
                <w:color w:val="000000"/>
                <w:kern w:val="0"/>
                <w:sz w:val="24"/>
                <w:szCs w:val="20"/>
              </w:rPr>
              <w:t>约</w:t>
            </w:r>
            <w:r>
              <w:rPr>
                <w:rFonts w:hint="eastAsia"/>
                <w:color w:val="000000"/>
                <w:kern w:val="0"/>
                <w:sz w:val="24"/>
                <w:szCs w:val="20"/>
              </w:rPr>
              <w:t>165</w:t>
            </w:r>
            <w:r>
              <w:rPr>
                <w:color w:val="000000"/>
                <w:kern w:val="0"/>
                <w:sz w:val="24"/>
                <w:szCs w:val="20"/>
              </w:rPr>
              <w:t>t，则粉尘逸出量约为</w:t>
            </w:r>
            <w:r>
              <w:rPr>
                <w:rFonts w:hint="eastAsia"/>
                <w:color w:val="000000"/>
                <w:kern w:val="0"/>
                <w:sz w:val="24"/>
                <w:szCs w:val="20"/>
              </w:rPr>
              <w:t>82.5kg</w:t>
            </w:r>
            <w:r>
              <w:rPr>
                <w:color w:val="000000"/>
                <w:kern w:val="0"/>
                <w:sz w:val="24"/>
                <w:szCs w:val="20"/>
              </w:rPr>
              <w:t>/a。</w:t>
            </w:r>
          </w:p>
          <w:p>
            <w:pPr>
              <w:adjustRightInd w:val="0"/>
              <w:snapToGrid w:val="0"/>
              <w:spacing w:line="360" w:lineRule="auto"/>
              <w:ind w:firstLine="480" w:firstLineChars="200"/>
              <w:rPr>
                <w:color w:val="000000"/>
                <w:sz w:val="24"/>
              </w:rPr>
            </w:pPr>
            <w:r>
              <w:rPr>
                <w:color w:val="000000"/>
                <w:sz w:val="24"/>
              </w:rPr>
              <w:t>投料过程中产生的粉尘拟采取在投料口上方设置集气罩的废气收集方式；依据《福州市</w:t>
            </w:r>
            <w:r>
              <w:rPr>
                <w:rFonts w:hint="eastAsia"/>
                <w:color w:val="000000"/>
                <w:sz w:val="24"/>
                <w:lang w:eastAsia="zh-CN"/>
              </w:rPr>
              <w:t>生态环境局</w:t>
            </w:r>
            <w:r>
              <w:rPr>
                <w:color w:val="000000"/>
                <w:sz w:val="24"/>
              </w:rPr>
              <w:t>关于印发福州市重点行业挥发性有机物治理验收技术标准的通知》（榕环保综〔2018〕176号）文件要求，废气收集效率应满足《福州市塑胶行业挥发性有机物整治验收技术标准》（2018年4月）中章节5.2废气收集要求：集气罩依据《排风罩的分类及技术条件》（GB/T16758）相关要求进行设计，采用顶吸罩配备合理吸风量风机，保证集气设施吸风口的负压大小与预期的捕集范围相匹配，不留吸风盲点，保证集气设施内各处负压均匀（集气罩最小风速控制≥1.0m/s），并设置风幕、软帘等阻隔设施，保证废气总收集率应达到80%以上</w:t>
            </w:r>
            <w:r>
              <w:rPr>
                <w:rFonts w:hint="eastAsia"/>
                <w:color w:val="000000"/>
                <w:sz w:val="24"/>
              </w:rPr>
              <w:t>。</w:t>
            </w:r>
          </w:p>
          <w:p>
            <w:pPr>
              <w:adjustRightInd w:val="0"/>
              <w:snapToGrid w:val="0"/>
              <w:spacing w:line="360" w:lineRule="auto"/>
              <w:ind w:firstLine="480" w:firstLineChars="200"/>
              <w:rPr>
                <w:color w:val="000000"/>
                <w:sz w:val="24"/>
              </w:rPr>
            </w:pPr>
            <w:r>
              <w:rPr>
                <w:rFonts w:hint="eastAsia"/>
                <w:color w:val="000000"/>
                <w:sz w:val="24"/>
              </w:rPr>
              <w:t>投料颗粒物有组织产生量为66kg/a，无组织产生量为16.5kg/a。</w:t>
            </w:r>
          </w:p>
          <w:p>
            <w:pPr>
              <w:adjustRightInd w:val="0"/>
              <w:snapToGrid w:val="0"/>
              <w:spacing w:before="120" w:beforeLines="50" w:line="360" w:lineRule="auto"/>
              <w:jc w:val="left"/>
              <w:rPr>
                <w:rFonts w:hint="eastAsia" w:ascii="宋体" w:hAnsi="宋体"/>
                <w:b/>
                <w:bCs/>
                <w:color w:val="000000"/>
                <w:sz w:val="24"/>
                <w:szCs w:val="20"/>
              </w:rPr>
            </w:pPr>
            <w:r>
              <w:rPr>
                <w:rFonts w:hint="eastAsia" w:ascii="宋体" w:hAnsi="宋体"/>
                <w:b/>
                <w:bCs/>
                <w:color w:val="000000"/>
                <w:sz w:val="24"/>
                <w:szCs w:val="20"/>
              </w:rPr>
              <w:t>（2）搅拌废气</w:t>
            </w:r>
          </w:p>
          <w:p>
            <w:pPr>
              <w:widowControl/>
              <w:adjustRightInd w:val="0"/>
              <w:snapToGrid w:val="0"/>
              <w:spacing w:line="360" w:lineRule="auto"/>
              <w:ind w:firstLine="480" w:firstLineChars="200"/>
              <w:rPr>
                <w:color w:val="000000"/>
                <w:kern w:val="0"/>
                <w:sz w:val="24"/>
                <w:szCs w:val="20"/>
              </w:rPr>
            </w:pPr>
            <w:r>
              <w:rPr>
                <w:rFonts w:hint="eastAsia"/>
                <w:color w:val="000000"/>
                <w:kern w:val="0"/>
                <w:sz w:val="24"/>
                <w:szCs w:val="20"/>
              </w:rPr>
              <w:t>由于项目将原料按比例投入搅拌罐后，进行密闭搅拌，因此项目搅拌产生的颗粒物极少。</w:t>
            </w:r>
          </w:p>
          <w:p>
            <w:pPr>
              <w:adjustRightInd w:val="0"/>
              <w:snapToGrid w:val="0"/>
              <w:spacing w:before="120" w:beforeLines="50" w:line="360" w:lineRule="auto"/>
              <w:jc w:val="left"/>
              <w:rPr>
                <w:rFonts w:hint="eastAsia" w:ascii="宋体" w:hAnsi="宋体"/>
                <w:b/>
                <w:bCs/>
                <w:color w:val="000000"/>
                <w:sz w:val="24"/>
                <w:szCs w:val="20"/>
              </w:rPr>
            </w:pPr>
            <w:r>
              <w:rPr>
                <w:rFonts w:hint="eastAsia" w:ascii="宋体" w:hAnsi="宋体"/>
                <w:b/>
                <w:bCs/>
                <w:color w:val="000000"/>
                <w:sz w:val="24"/>
                <w:szCs w:val="20"/>
              </w:rPr>
              <w:t>（3）造粒废气及打样废气</w:t>
            </w:r>
          </w:p>
          <w:p>
            <w:pPr>
              <w:spacing w:line="360" w:lineRule="auto"/>
              <w:ind w:firstLine="480" w:firstLineChars="200"/>
              <w:rPr>
                <w:color w:val="000000"/>
                <w:sz w:val="24"/>
              </w:rPr>
            </w:pPr>
            <w:r>
              <w:rPr>
                <w:color w:val="000000"/>
                <w:sz w:val="24"/>
              </w:rPr>
              <w:t>项目</w:t>
            </w:r>
            <w:r>
              <w:rPr>
                <w:rFonts w:hint="eastAsia"/>
                <w:color w:val="000000"/>
                <w:sz w:val="24"/>
              </w:rPr>
              <w:t>造粒</w:t>
            </w:r>
            <w:r>
              <w:rPr>
                <w:color w:val="000000"/>
                <w:sz w:val="24"/>
              </w:rPr>
              <w:t>过程需对塑胶粒进行热熔冷却成型，此过程将产生</w:t>
            </w:r>
            <w:r>
              <w:rPr>
                <w:rFonts w:hint="eastAsia"/>
                <w:color w:val="000000"/>
                <w:sz w:val="24"/>
              </w:rPr>
              <w:t>造粒</w:t>
            </w:r>
            <w:r>
              <w:rPr>
                <w:color w:val="000000"/>
                <w:sz w:val="24"/>
              </w:rPr>
              <w:t>废气，以VOCs计。本项目所使用的塑胶粒为已经加工完成的纯料塑胶粒，非再生塑胶粒。根据非甲烷总烃定义，非甲烷总烃是除甲烷以外的可挥发的碳氢化合物（其中主要是C2～C8），主要包括烷烃、烯烃、芳香烃等组分，因此污染物以非甲烷总烃计。根据</w:t>
            </w:r>
            <w:r>
              <w:rPr>
                <w:rFonts w:hint="eastAsia"/>
                <w:color w:val="000000"/>
                <w:sz w:val="24"/>
              </w:rPr>
              <w:t>《工业源系数手册</w:t>
            </w:r>
            <w:r>
              <w:rPr>
                <w:rFonts w:hint="eastAsia"/>
                <w:color w:val="000000"/>
                <w:sz w:val="24"/>
                <w:lang w:eastAsia="zh-CN"/>
              </w:rPr>
              <w:t>（试行）》</w:t>
            </w:r>
            <w:r>
              <w:rPr>
                <w:rFonts w:hint="eastAsia"/>
                <w:color w:val="000000"/>
                <w:sz w:val="24"/>
              </w:rPr>
              <w:t>的“292塑料制品行业系数手册”，第二次全国污染源普查工业污染源普查范围中，《国民经济行业分类》（GB/T 4754-2017）中</w:t>
            </w:r>
            <w:r>
              <w:rPr>
                <w:color w:val="000000"/>
                <w:sz w:val="24"/>
              </w:rPr>
              <w:t>2929 塑料零件及其他塑料制品制造行业系数表</w:t>
            </w:r>
            <w:r>
              <w:rPr>
                <w:rFonts w:hint="eastAsia"/>
                <w:color w:val="000000"/>
                <w:sz w:val="24"/>
              </w:rPr>
              <w:t>，使用产污系数法核算工业污染物产生量和排放量的普查对象。造粒</w:t>
            </w:r>
            <w:r>
              <w:rPr>
                <w:color w:val="000000"/>
                <w:sz w:val="24"/>
              </w:rPr>
              <w:t>产生的非甲烷总烃按</w:t>
            </w:r>
            <w:r>
              <w:rPr>
                <w:rFonts w:hint="eastAsia"/>
                <w:color w:val="000000"/>
                <w:sz w:val="24"/>
              </w:rPr>
              <w:t>4.6</w:t>
            </w:r>
            <w:r>
              <w:rPr>
                <w:color w:val="000000"/>
                <w:sz w:val="24"/>
              </w:rPr>
              <w:t>kg/t</w:t>
            </w:r>
            <w:r>
              <w:rPr>
                <w:rFonts w:hint="eastAsia"/>
                <w:color w:val="000000"/>
                <w:sz w:val="24"/>
              </w:rPr>
              <w:t>产品</w:t>
            </w:r>
            <w:r>
              <w:rPr>
                <w:color w:val="000000"/>
                <w:sz w:val="24"/>
              </w:rPr>
              <w:t>。项目</w:t>
            </w:r>
            <w:r>
              <w:rPr>
                <w:rFonts w:hint="eastAsia"/>
                <w:color w:val="000000"/>
                <w:sz w:val="24"/>
              </w:rPr>
              <w:t>EVA塑料颗粒产量约</w:t>
            </w:r>
            <w:r>
              <w:rPr>
                <w:color w:val="000000"/>
                <w:sz w:val="24"/>
              </w:rPr>
              <w:t>为</w:t>
            </w:r>
            <w:r>
              <w:rPr>
                <w:rFonts w:hint="eastAsia"/>
                <w:color w:val="000000"/>
                <w:sz w:val="24"/>
              </w:rPr>
              <w:t>85</w:t>
            </w:r>
            <w:r>
              <w:rPr>
                <w:color w:val="000000"/>
                <w:sz w:val="24"/>
              </w:rPr>
              <w:t>0t/a，则非甲烷总烃产生量为</w:t>
            </w:r>
            <w:r>
              <w:rPr>
                <w:rFonts w:hint="eastAsia"/>
                <w:color w:val="000000"/>
                <w:sz w:val="24"/>
              </w:rPr>
              <w:t>3.91t</w:t>
            </w:r>
            <w:r>
              <w:rPr>
                <w:color w:val="000000"/>
                <w:sz w:val="24"/>
              </w:rPr>
              <w:t>/a</w:t>
            </w:r>
            <w:r>
              <w:rPr>
                <w:rFonts w:hint="eastAsia"/>
                <w:color w:val="000000"/>
                <w:sz w:val="24"/>
              </w:rPr>
              <w:t>。</w:t>
            </w:r>
          </w:p>
          <w:p>
            <w:pPr>
              <w:spacing w:line="360" w:lineRule="auto"/>
              <w:ind w:firstLine="480" w:firstLineChars="200"/>
              <w:rPr>
                <w:color w:val="000000"/>
                <w:sz w:val="24"/>
              </w:rPr>
            </w:pPr>
            <w:r>
              <w:rPr>
                <w:color w:val="000000"/>
                <w:sz w:val="24"/>
              </w:rPr>
              <w:t>根据项目生产的</w:t>
            </w:r>
            <w:r>
              <w:rPr>
                <w:rFonts w:hint="eastAsia"/>
                <w:color w:val="000000"/>
                <w:sz w:val="24"/>
              </w:rPr>
              <w:t>每</w:t>
            </w:r>
            <w:r>
              <w:rPr>
                <w:color w:val="000000"/>
                <w:sz w:val="24"/>
              </w:rPr>
              <w:t>批产品需进行打样测试，打样测试量打样测试的量约为产品量的</w:t>
            </w:r>
            <w:r>
              <w:rPr>
                <w:rFonts w:hint="eastAsia"/>
                <w:color w:val="000000"/>
                <w:sz w:val="24"/>
              </w:rPr>
              <w:t>1</w:t>
            </w:r>
            <w:r>
              <w:rPr>
                <w:color w:val="000000"/>
                <w:sz w:val="24"/>
              </w:rPr>
              <w:t>‰</w:t>
            </w:r>
            <w:r>
              <w:rPr>
                <w:rFonts w:hint="eastAsia"/>
                <w:color w:val="000000"/>
                <w:sz w:val="24"/>
              </w:rPr>
              <w:t>，因此打样所需的颗粒约为0.85t/a，</w:t>
            </w:r>
            <w:r>
              <w:rPr>
                <w:color w:val="000000"/>
                <w:sz w:val="24"/>
              </w:rPr>
              <w:t>根据</w:t>
            </w:r>
            <w:r>
              <w:rPr>
                <w:rFonts w:hint="eastAsia"/>
                <w:color w:val="000000"/>
                <w:sz w:val="24"/>
              </w:rPr>
              <w:t>《工业源系数手册</w:t>
            </w:r>
            <w:r>
              <w:rPr>
                <w:rFonts w:hint="eastAsia"/>
                <w:color w:val="000000"/>
                <w:sz w:val="24"/>
                <w:lang w:eastAsia="zh-CN"/>
              </w:rPr>
              <w:t>（试行）》</w:t>
            </w:r>
            <w:r>
              <w:rPr>
                <w:rFonts w:hint="eastAsia"/>
                <w:color w:val="000000"/>
                <w:sz w:val="24"/>
              </w:rPr>
              <w:t>的“292塑料制品行业系数手册”，第二次全国污染源普查工业污染源普查范围中，《国民经济行业分类》（GB/T 4754-2017）中</w:t>
            </w:r>
            <w:r>
              <w:rPr>
                <w:color w:val="000000"/>
                <w:sz w:val="24"/>
              </w:rPr>
              <w:t>2929 塑料零件及其他塑料制品制造行业系数表</w:t>
            </w:r>
            <w:r>
              <w:rPr>
                <w:rFonts w:hint="eastAsia"/>
                <w:color w:val="000000"/>
                <w:sz w:val="24"/>
              </w:rPr>
              <w:t>，使用产污系数法核算工业污染物产生量和排放量的普查对象，注塑</w:t>
            </w:r>
            <w:r>
              <w:rPr>
                <w:color w:val="000000"/>
                <w:sz w:val="24"/>
              </w:rPr>
              <w:t>产生的非甲烷总烃按</w:t>
            </w:r>
            <w:r>
              <w:rPr>
                <w:rFonts w:hint="eastAsia"/>
                <w:color w:val="000000"/>
                <w:sz w:val="24"/>
              </w:rPr>
              <w:t>2.7</w:t>
            </w:r>
            <w:r>
              <w:rPr>
                <w:color w:val="000000"/>
                <w:sz w:val="24"/>
              </w:rPr>
              <w:t>kg/t</w:t>
            </w:r>
            <w:r>
              <w:rPr>
                <w:rFonts w:hint="eastAsia"/>
                <w:color w:val="000000"/>
                <w:sz w:val="24"/>
              </w:rPr>
              <w:t>产品，则项目打样非甲烷总烃产生量约为2.3kg/a</w:t>
            </w:r>
            <w:r>
              <w:rPr>
                <w:color w:val="000000"/>
                <w:sz w:val="24"/>
              </w:rPr>
              <w:t>。</w:t>
            </w:r>
          </w:p>
          <w:p>
            <w:pPr>
              <w:widowControl/>
              <w:adjustRightInd w:val="0"/>
              <w:snapToGrid w:val="0"/>
              <w:spacing w:line="360" w:lineRule="auto"/>
              <w:ind w:firstLine="480" w:firstLineChars="200"/>
              <w:rPr>
                <w:bCs/>
                <w:color w:val="000000"/>
                <w:sz w:val="24"/>
                <w:lang w:val="zh-CN"/>
              </w:rPr>
            </w:pPr>
            <w:r>
              <w:rPr>
                <w:bCs/>
                <w:color w:val="000000"/>
                <w:sz w:val="24"/>
                <w:lang w:val="zh-CN"/>
              </w:rPr>
              <w:t>依据《福州市</w:t>
            </w:r>
            <w:r>
              <w:rPr>
                <w:rFonts w:hint="eastAsia"/>
                <w:bCs/>
                <w:color w:val="000000"/>
                <w:sz w:val="24"/>
                <w:lang w:val="zh-CN"/>
              </w:rPr>
              <w:t>生态环境局</w:t>
            </w:r>
            <w:r>
              <w:rPr>
                <w:bCs/>
                <w:color w:val="000000"/>
                <w:sz w:val="24"/>
                <w:lang w:val="zh-CN"/>
              </w:rPr>
              <w:t>关于印发福州市重点行业挥发性有机物治理验收技术标准的通知》（榕环保综〔2018〕176号）文件要求，废气收集效率应满足《福州市塑胶行业挥发性有机物整治验收技术标准》（2018年4月）中章节5.2废气收集要求：“在</w:t>
            </w:r>
            <w:r>
              <w:rPr>
                <w:rFonts w:hint="eastAsia"/>
                <w:bCs/>
                <w:color w:val="000000"/>
                <w:sz w:val="24"/>
                <w:lang w:val="zh-CN"/>
              </w:rPr>
              <w:t>设备</w:t>
            </w:r>
            <w:r>
              <w:rPr>
                <w:bCs/>
                <w:color w:val="000000"/>
                <w:sz w:val="24"/>
                <w:lang w:val="zh-CN"/>
              </w:rPr>
              <w:t>上方应安装集气罩进行局部抽风”，集气罩依据《排风罩的分类及技术条件》（GB/T16758）相关要求进行设计，采用顶吸罩配备合理吸风量风机，保证集气设施吸风口的负压大小与预期的捕集范围相匹配，不留吸风盲点，保证集气设施内各处负压均匀（集气罩最小风速控制≥1.0m/s）；并将大面积的开炼机按流水线做成独立的隔间，缩小生产线空间，并在隔间前端设置风幕、软帘等阻隔设施，方便操作，车间所有可以随手开启的侧排窗户全部粘（焊）封闭；从而保证废气总收集率达到85%以上。</w:t>
            </w:r>
          </w:p>
          <w:p>
            <w:pPr>
              <w:widowControl/>
              <w:adjustRightInd w:val="0"/>
              <w:snapToGrid w:val="0"/>
              <w:spacing w:line="360" w:lineRule="auto"/>
              <w:ind w:firstLine="480" w:firstLineChars="200"/>
              <w:rPr>
                <w:color w:val="000000"/>
                <w:sz w:val="24"/>
              </w:rPr>
            </w:pPr>
            <w:r>
              <w:rPr>
                <w:rFonts w:hint="eastAsia"/>
                <w:color w:val="000000"/>
                <w:sz w:val="24"/>
              </w:rPr>
              <w:t>造粒打样有组织产生量为3.325t/a，无组织产生量为0.587t/a。</w:t>
            </w:r>
          </w:p>
          <w:p>
            <w:pPr>
              <w:spacing w:line="360" w:lineRule="auto"/>
              <w:ind w:firstLine="480" w:firstLineChars="200"/>
              <w:rPr>
                <w:color w:val="000000"/>
                <w:sz w:val="24"/>
              </w:rPr>
            </w:pPr>
            <w:r>
              <w:rPr>
                <w:color w:val="000000"/>
                <w:sz w:val="24"/>
              </w:rPr>
              <w:t>建设单位拟将</w:t>
            </w:r>
            <w:r>
              <w:rPr>
                <w:rFonts w:hint="eastAsia"/>
                <w:color w:val="000000"/>
                <w:sz w:val="24"/>
              </w:rPr>
              <w:t>造粒及注塑</w:t>
            </w:r>
            <w:r>
              <w:rPr>
                <w:color w:val="000000"/>
                <w:sz w:val="24"/>
              </w:rPr>
              <w:t>集气罩收集后采用活性炭装置处理，通过15m高排气筒</w:t>
            </w:r>
            <w:r>
              <w:rPr>
                <w:rFonts w:hint="eastAsia"/>
                <w:color w:val="000000"/>
                <w:sz w:val="24"/>
              </w:rPr>
              <w:t>P1</w:t>
            </w:r>
            <w:r>
              <w:rPr>
                <w:color w:val="000000"/>
                <w:sz w:val="24"/>
              </w:rPr>
              <w:t>排放。集气罩收集效率按85%计，风机风量按</w:t>
            </w:r>
            <w:r>
              <w:rPr>
                <w:rFonts w:hint="eastAsia"/>
                <w:color w:val="000000"/>
                <w:sz w:val="24"/>
              </w:rPr>
              <w:t>10</w:t>
            </w:r>
            <w:r>
              <w:rPr>
                <w:color w:val="000000"/>
                <w:sz w:val="24"/>
              </w:rPr>
              <w:t>000m</w:t>
            </w:r>
            <w:r>
              <w:rPr>
                <w:color w:val="000000"/>
                <w:sz w:val="24"/>
                <w:vertAlign w:val="superscript"/>
              </w:rPr>
              <w:t>3</w:t>
            </w:r>
            <w:r>
              <w:rPr>
                <w:color w:val="000000"/>
                <w:sz w:val="24"/>
              </w:rPr>
              <w:t>/h计，活性炭装置处理效率按</w:t>
            </w:r>
            <w:r>
              <w:rPr>
                <w:rFonts w:hint="eastAsia"/>
                <w:color w:val="000000"/>
                <w:sz w:val="24"/>
              </w:rPr>
              <w:t>8</w:t>
            </w:r>
            <w:r>
              <w:rPr>
                <w:color w:val="000000"/>
                <w:sz w:val="24"/>
              </w:rPr>
              <w:t>0%计，年工作时长按2400h计，则无组织排放量为：</w:t>
            </w:r>
            <w:r>
              <w:rPr>
                <w:rFonts w:hint="eastAsia"/>
                <w:color w:val="000000"/>
                <w:sz w:val="24"/>
              </w:rPr>
              <w:t>0.587t</w:t>
            </w:r>
            <w:r>
              <w:rPr>
                <w:color w:val="000000"/>
                <w:sz w:val="24"/>
              </w:rPr>
              <w:t>/a；有组织排放量为：</w:t>
            </w:r>
            <w:r>
              <w:rPr>
                <w:rFonts w:hint="eastAsia"/>
                <w:color w:val="000000"/>
                <w:sz w:val="24"/>
              </w:rPr>
              <w:t>0.665t</w:t>
            </w:r>
            <w:r>
              <w:rPr>
                <w:color w:val="000000"/>
                <w:sz w:val="24"/>
              </w:rPr>
              <w:t>/a。</w:t>
            </w:r>
          </w:p>
          <w:p>
            <w:pPr>
              <w:spacing w:line="360" w:lineRule="auto"/>
              <w:ind w:firstLine="480" w:firstLineChars="200"/>
              <w:rPr>
                <w:color w:val="000000"/>
                <w:sz w:val="24"/>
              </w:rPr>
            </w:pPr>
            <w:r>
              <w:rPr>
                <w:rFonts w:hint="eastAsia"/>
                <w:color w:val="000000"/>
                <w:sz w:val="24"/>
              </w:rPr>
              <w:t>建设项目拟将投料废气经集气罩收集后采用布袋除尘处理后，通过15m高排气筒P2排放。</w:t>
            </w:r>
            <w:r>
              <w:rPr>
                <w:color w:val="000000"/>
                <w:sz w:val="24"/>
              </w:rPr>
              <w:t>集气罩收集效率按</w:t>
            </w:r>
            <w:r>
              <w:rPr>
                <w:rFonts w:hint="eastAsia"/>
                <w:color w:val="000000"/>
                <w:sz w:val="24"/>
              </w:rPr>
              <w:t>80</w:t>
            </w:r>
            <w:r>
              <w:rPr>
                <w:color w:val="000000"/>
                <w:sz w:val="24"/>
              </w:rPr>
              <w:t>%计，风机风量按</w:t>
            </w:r>
            <w:r>
              <w:rPr>
                <w:rFonts w:hint="eastAsia"/>
                <w:color w:val="000000"/>
                <w:sz w:val="24"/>
              </w:rPr>
              <w:t>5</w:t>
            </w:r>
            <w:r>
              <w:rPr>
                <w:color w:val="000000"/>
                <w:sz w:val="24"/>
              </w:rPr>
              <w:t>000m</w:t>
            </w:r>
            <w:r>
              <w:rPr>
                <w:color w:val="000000"/>
                <w:sz w:val="24"/>
                <w:vertAlign w:val="superscript"/>
              </w:rPr>
              <w:t>3</w:t>
            </w:r>
            <w:r>
              <w:rPr>
                <w:color w:val="000000"/>
                <w:sz w:val="24"/>
              </w:rPr>
              <w:t>/h计，</w:t>
            </w:r>
            <w:r>
              <w:rPr>
                <w:rFonts w:hint="eastAsia"/>
                <w:color w:val="000000"/>
                <w:sz w:val="24"/>
              </w:rPr>
              <w:t>布袋除尘器</w:t>
            </w:r>
            <w:r>
              <w:rPr>
                <w:color w:val="000000"/>
                <w:sz w:val="24"/>
              </w:rPr>
              <w:t>处理效率按9</w:t>
            </w:r>
            <w:r>
              <w:rPr>
                <w:rFonts w:hint="eastAsia"/>
                <w:color w:val="000000"/>
                <w:sz w:val="24"/>
              </w:rPr>
              <w:t>5</w:t>
            </w:r>
            <w:r>
              <w:rPr>
                <w:color w:val="000000"/>
                <w:sz w:val="24"/>
              </w:rPr>
              <w:t>%计，年工作时长按2400h计，则无组织排放量为：</w:t>
            </w:r>
            <w:r>
              <w:rPr>
                <w:rFonts w:hint="eastAsia"/>
                <w:color w:val="000000"/>
                <w:sz w:val="24"/>
              </w:rPr>
              <w:t>0.102t</w:t>
            </w:r>
            <w:r>
              <w:rPr>
                <w:color w:val="000000"/>
                <w:sz w:val="24"/>
              </w:rPr>
              <w:t>/a；有组织排放量为：</w:t>
            </w:r>
            <w:r>
              <w:rPr>
                <w:rFonts w:hint="eastAsia"/>
                <w:color w:val="000000"/>
                <w:sz w:val="24"/>
              </w:rPr>
              <w:t>0.020t</w:t>
            </w:r>
            <w:r>
              <w:rPr>
                <w:color w:val="000000"/>
                <w:sz w:val="24"/>
              </w:rPr>
              <w:t>/a。</w:t>
            </w:r>
          </w:p>
          <w:p>
            <w:pPr>
              <w:spacing w:line="360" w:lineRule="auto"/>
              <w:ind w:firstLine="480" w:firstLineChars="200"/>
              <w:rPr>
                <w:color w:val="000000"/>
                <w:sz w:val="24"/>
              </w:rPr>
            </w:pPr>
            <w:r>
              <w:rPr>
                <w:color w:val="000000"/>
                <w:sz w:val="24"/>
              </w:rPr>
              <w:t>项目废气产排情况见表4.2</w:t>
            </w:r>
            <w:r>
              <w:rPr>
                <w:rFonts w:hint="eastAsia"/>
                <w:color w:val="000000"/>
                <w:sz w:val="24"/>
              </w:rPr>
              <w:t>-</w:t>
            </w:r>
            <w:r>
              <w:rPr>
                <w:color w:val="000000"/>
                <w:sz w:val="24"/>
              </w:rPr>
              <w:t>1。</w:t>
            </w:r>
          </w:p>
          <w:p>
            <w:pPr>
              <w:pStyle w:val="78"/>
              <w:numPr>
                <w:ilvl w:val="0"/>
                <w:numId w:val="0"/>
              </w:numPr>
              <w:spacing w:before="120"/>
              <w:rPr>
                <w:color w:val="000000"/>
              </w:rPr>
            </w:pPr>
            <w:r>
              <w:rPr>
                <w:rFonts w:hint="eastAsia"/>
                <w:color w:val="000000"/>
              </w:rPr>
              <w:t>表</w:t>
            </w:r>
            <w:r>
              <w:rPr>
                <w:color w:val="000000"/>
              </w:rPr>
              <w:t>4.2</w:t>
            </w:r>
            <w:r>
              <w:rPr>
                <w:rFonts w:hint="eastAsia"/>
                <w:color w:val="000000"/>
              </w:rPr>
              <w:t>-</w:t>
            </w:r>
            <w:r>
              <w:rPr>
                <w:color w:val="000000"/>
              </w:rPr>
              <w:t>1</w:t>
            </w:r>
            <w:r>
              <w:rPr>
                <w:rFonts w:hint="eastAsia"/>
                <w:color w:val="000000"/>
              </w:rPr>
              <w:t xml:space="preserve"> </w:t>
            </w:r>
            <w:r>
              <w:rPr>
                <w:color w:val="000000"/>
              </w:rPr>
              <w:t>本项目有组织</w:t>
            </w:r>
            <w:r>
              <w:rPr>
                <w:rFonts w:hint="eastAsia"/>
                <w:color w:val="000000"/>
              </w:rPr>
              <w:t>废气</w:t>
            </w:r>
            <w:r>
              <w:rPr>
                <w:color w:val="000000"/>
              </w:rPr>
              <w:t>产生及排放情况一览表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033"/>
              <w:gridCol w:w="728"/>
              <w:gridCol w:w="949"/>
              <w:gridCol w:w="833"/>
              <w:gridCol w:w="689"/>
              <w:gridCol w:w="813"/>
              <w:gridCol w:w="949"/>
              <w:gridCol w:w="854"/>
              <w:gridCol w:w="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2" w:type="pct"/>
                  <w:vMerge w:val="restart"/>
                  <w:vAlign w:val="center"/>
                </w:tcPr>
                <w:p>
                  <w:pPr>
                    <w:widowControl/>
                    <w:spacing w:line="260" w:lineRule="exact"/>
                    <w:jc w:val="center"/>
                    <w:rPr>
                      <w:color w:val="000000"/>
                      <w:kern w:val="0"/>
                    </w:rPr>
                  </w:pPr>
                  <w:r>
                    <w:rPr>
                      <w:rFonts w:hint="eastAsia"/>
                      <w:color w:val="000000"/>
                      <w:kern w:val="0"/>
                    </w:rPr>
                    <w:t>排气筒编号</w:t>
                  </w:r>
                </w:p>
              </w:tc>
              <w:tc>
                <w:tcPr>
                  <w:tcW w:w="607" w:type="pct"/>
                  <w:vMerge w:val="restart"/>
                  <w:vAlign w:val="center"/>
                </w:tcPr>
                <w:p>
                  <w:pPr>
                    <w:widowControl/>
                    <w:spacing w:line="260" w:lineRule="exact"/>
                    <w:jc w:val="center"/>
                    <w:rPr>
                      <w:color w:val="000000"/>
                      <w:kern w:val="0"/>
                    </w:rPr>
                  </w:pPr>
                  <w:r>
                    <w:rPr>
                      <w:rFonts w:hint="eastAsia"/>
                      <w:color w:val="000000"/>
                      <w:kern w:val="0"/>
                    </w:rPr>
                    <w:t>风量（m</w:t>
                  </w:r>
                  <w:r>
                    <w:rPr>
                      <w:rFonts w:hint="eastAsia"/>
                      <w:color w:val="000000"/>
                      <w:kern w:val="0"/>
                      <w:vertAlign w:val="superscript"/>
                    </w:rPr>
                    <w:t>3</w:t>
                  </w:r>
                  <w:r>
                    <w:rPr>
                      <w:rFonts w:hint="eastAsia"/>
                      <w:color w:val="000000"/>
                      <w:kern w:val="0"/>
                    </w:rPr>
                    <w:t>/h）</w:t>
                  </w:r>
                </w:p>
              </w:tc>
              <w:tc>
                <w:tcPr>
                  <w:tcW w:w="428" w:type="pct"/>
                  <w:vMerge w:val="restart"/>
                  <w:vAlign w:val="center"/>
                </w:tcPr>
                <w:p>
                  <w:pPr>
                    <w:widowControl/>
                    <w:spacing w:line="260" w:lineRule="exact"/>
                    <w:jc w:val="center"/>
                    <w:rPr>
                      <w:color w:val="000000"/>
                      <w:kern w:val="0"/>
                    </w:rPr>
                  </w:pPr>
                  <w:r>
                    <w:rPr>
                      <w:rFonts w:hint="eastAsia"/>
                      <w:color w:val="000000"/>
                      <w:kern w:val="0"/>
                    </w:rPr>
                    <w:t>污染因子</w:t>
                  </w:r>
                </w:p>
              </w:tc>
              <w:tc>
                <w:tcPr>
                  <w:tcW w:w="1453" w:type="pct"/>
                  <w:gridSpan w:val="3"/>
                  <w:vAlign w:val="center"/>
                </w:tcPr>
                <w:p>
                  <w:pPr>
                    <w:widowControl/>
                    <w:spacing w:line="260" w:lineRule="exact"/>
                    <w:jc w:val="center"/>
                    <w:rPr>
                      <w:color w:val="000000"/>
                      <w:kern w:val="0"/>
                    </w:rPr>
                  </w:pPr>
                  <w:r>
                    <w:rPr>
                      <w:color w:val="000000"/>
                      <w:kern w:val="0"/>
                    </w:rPr>
                    <w:t>产生情况</w:t>
                  </w:r>
                </w:p>
              </w:tc>
              <w:tc>
                <w:tcPr>
                  <w:tcW w:w="478" w:type="pct"/>
                  <w:vMerge w:val="restart"/>
                  <w:vAlign w:val="center"/>
                </w:tcPr>
                <w:p>
                  <w:pPr>
                    <w:widowControl/>
                    <w:spacing w:line="260" w:lineRule="exact"/>
                    <w:jc w:val="center"/>
                    <w:rPr>
                      <w:color w:val="000000"/>
                      <w:kern w:val="0"/>
                    </w:rPr>
                  </w:pPr>
                  <w:r>
                    <w:rPr>
                      <w:color w:val="000000"/>
                      <w:kern w:val="0"/>
                    </w:rPr>
                    <w:t>治理措施及处理效率</w:t>
                  </w:r>
                </w:p>
              </w:tc>
              <w:tc>
                <w:tcPr>
                  <w:tcW w:w="1501" w:type="pct"/>
                  <w:gridSpan w:val="3"/>
                  <w:vAlign w:val="center"/>
                </w:tcPr>
                <w:p>
                  <w:pPr>
                    <w:widowControl/>
                    <w:spacing w:line="260" w:lineRule="exact"/>
                    <w:jc w:val="center"/>
                    <w:rPr>
                      <w:color w:val="000000"/>
                      <w:kern w:val="0"/>
                    </w:rPr>
                  </w:pPr>
                  <w:r>
                    <w:rPr>
                      <w:color w:val="000000"/>
                      <w:kern w:val="0"/>
                    </w:rPr>
                    <w:t>排</w:t>
                  </w:r>
                  <w:r>
                    <w:rPr>
                      <w:rFonts w:hint="eastAsia"/>
                      <w:color w:val="000000"/>
                      <w:kern w:val="0"/>
                    </w:rPr>
                    <w:t>放</w:t>
                  </w:r>
                  <w:r>
                    <w:rPr>
                      <w:color w:val="000000"/>
                      <w:kern w:val="0"/>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2" w:type="pct"/>
                  <w:vMerge w:val="continue"/>
                  <w:vAlign w:val="center"/>
                </w:tcPr>
                <w:p>
                  <w:pPr>
                    <w:widowControl/>
                    <w:spacing w:line="260" w:lineRule="exact"/>
                    <w:jc w:val="center"/>
                    <w:rPr>
                      <w:color w:val="000000"/>
                      <w:kern w:val="0"/>
                    </w:rPr>
                  </w:pPr>
                </w:p>
              </w:tc>
              <w:tc>
                <w:tcPr>
                  <w:tcW w:w="607" w:type="pct"/>
                  <w:vMerge w:val="continue"/>
                  <w:vAlign w:val="center"/>
                </w:tcPr>
                <w:p>
                  <w:pPr>
                    <w:widowControl/>
                    <w:spacing w:line="260" w:lineRule="exact"/>
                    <w:jc w:val="center"/>
                    <w:rPr>
                      <w:color w:val="000000"/>
                      <w:kern w:val="0"/>
                    </w:rPr>
                  </w:pPr>
                </w:p>
              </w:tc>
              <w:tc>
                <w:tcPr>
                  <w:tcW w:w="428" w:type="pct"/>
                  <w:vMerge w:val="continue"/>
                  <w:vAlign w:val="center"/>
                </w:tcPr>
                <w:p>
                  <w:pPr>
                    <w:widowControl/>
                    <w:spacing w:line="260" w:lineRule="exact"/>
                    <w:jc w:val="center"/>
                    <w:rPr>
                      <w:color w:val="000000"/>
                      <w:kern w:val="0"/>
                    </w:rPr>
                  </w:pPr>
                </w:p>
              </w:tc>
              <w:tc>
                <w:tcPr>
                  <w:tcW w:w="558" w:type="pct"/>
                  <w:vAlign w:val="center"/>
                </w:tcPr>
                <w:p>
                  <w:pPr>
                    <w:widowControl/>
                    <w:spacing w:line="260" w:lineRule="exact"/>
                    <w:jc w:val="center"/>
                    <w:rPr>
                      <w:color w:val="000000"/>
                      <w:kern w:val="0"/>
                    </w:rPr>
                  </w:pPr>
                  <w:r>
                    <w:rPr>
                      <w:color w:val="000000"/>
                      <w:kern w:val="0"/>
                    </w:rPr>
                    <w:t>产生浓度(mg/m</w:t>
                  </w:r>
                  <w:r>
                    <w:rPr>
                      <w:color w:val="000000"/>
                      <w:kern w:val="0"/>
                      <w:vertAlign w:val="superscript"/>
                    </w:rPr>
                    <w:t>3</w:t>
                  </w:r>
                  <w:r>
                    <w:rPr>
                      <w:color w:val="000000"/>
                      <w:kern w:val="0"/>
                    </w:rPr>
                    <w:t>)</w:t>
                  </w:r>
                </w:p>
              </w:tc>
              <w:tc>
                <w:tcPr>
                  <w:tcW w:w="490" w:type="pct"/>
                  <w:vAlign w:val="center"/>
                </w:tcPr>
                <w:p>
                  <w:pPr>
                    <w:widowControl/>
                    <w:spacing w:line="260" w:lineRule="exact"/>
                    <w:jc w:val="center"/>
                    <w:rPr>
                      <w:color w:val="000000"/>
                      <w:kern w:val="0"/>
                    </w:rPr>
                  </w:pPr>
                  <w:r>
                    <w:rPr>
                      <w:color w:val="000000"/>
                      <w:kern w:val="0"/>
                    </w:rPr>
                    <w:t>产</w:t>
                  </w:r>
                  <w:r>
                    <w:rPr>
                      <w:rFonts w:hint="eastAsia"/>
                      <w:color w:val="000000"/>
                      <w:kern w:val="0"/>
                    </w:rPr>
                    <w:t>生</w:t>
                  </w:r>
                  <w:r>
                    <w:rPr>
                      <w:color w:val="000000"/>
                      <w:kern w:val="0"/>
                    </w:rPr>
                    <w:t>速率(kg/h)</w:t>
                  </w:r>
                </w:p>
              </w:tc>
              <w:tc>
                <w:tcPr>
                  <w:tcW w:w="405" w:type="pct"/>
                  <w:vAlign w:val="center"/>
                </w:tcPr>
                <w:p>
                  <w:pPr>
                    <w:widowControl/>
                    <w:spacing w:line="260" w:lineRule="exact"/>
                    <w:jc w:val="center"/>
                    <w:rPr>
                      <w:color w:val="000000"/>
                      <w:kern w:val="0"/>
                    </w:rPr>
                  </w:pPr>
                  <w:r>
                    <w:rPr>
                      <w:color w:val="000000"/>
                      <w:kern w:val="0"/>
                    </w:rPr>
                    <w:t>产生量(</w:t>
                  </w:r>
                  <w:r>
                    <w:rPr>
                      <w:rFonts w:hint="eastAsia"/>
                      <w:color w:val="000000"/>
                      <w:kern w:val="0"/>
                    </w:rPr>
                    <w:t>t</w:t>
                  </w:r>
                  <w:r>
                    <w:rPr>
                      <w:color w:val="000000"/>
                      <w:kern w:val="0"/>
                    </w:rPr>
                    <w:t>/a)</w:t>
                  </w:r>
                </w:p>
              </w:tc>
              <w:tc>
                <w:tcPr>
                  <w:tcW w:w="478" w:type="pct"/>
                  <w:vMerge w:val="continue"/>
                  <w:vAlign w:val="center"/>
                </w:tcPr>
                <w:p>
                  <w:pPr>
                    <w:widowControl/>
                    <w:spacing w:line="260" w:lineRule="exact"/>
                    <w:jc w:val="center"/>
                    <w:rPr>
                      <w:color w:val="000000"/>
                      <w:kern w:val="0"/>
                    </w:rPr>
                  </w:pPr>
                </w:p>
              </w:tc>
              <w:tc>
                <w:tcPr>
                  <w:tcW w:w="558" w:type="pct"/>
                  <w:vAlign w:val="center"/>
                </w:tcPr>
                <w:p>
                  <w:pPr>
                    <w:widowControl/>
                    <w:spacing w:line="260" w:lineRule="exact"/>
                    <w:jc w:val="center"/>
                    <w:rPr>
                      <w:color w:val="000000"/>
                      <w:kern w:val="0"/>
                    </w:rPr>
                  </w:pPr>
                  <w:r>
                    <w:rPr>
                      <w:color w:val="000000"/>
                      <w:kern w:val="0"/>
                    </w:rPr>
                    <w:t>排放浓度(mg/m</w:t>
                  </w:r>
                  <w:r>
                    <w:rPr>
                      <w:color w:val="000000"/>
                      <w:kern w:val="0"/>
                      <w:vertAlign w:val="superscript"/>
                    </w:rPr>
                    <w:t>3</w:t>
                  </w:r>
                  <w:r>
                    <w:rPr>
                      <w:color w:val="000000"/>
                      <w:kern w:val="0"/>
                    </w:rPr>
                    <w:t>)</w:t>
                  </w:r>
                </w:p>
              </w:tc>
              <w:tc>
                <w:tcPr>
                  <w:tcW w:w="502" w:type="pct"/>
                  <w:vAlign w:val="center"/>
                </w:tcPr>
                <w:p>
                  <w:pPr>
                    <w:widowControl/>
                    <w:spacing w:line="260" w:lineRule="exact"/>
                    <w:jc w:val="center"/>
                    <w:rPr>
                      <w:color w:val="000000"/>
                      <w:kern w:val="0"/>
                    </w:rPr>
                  </w:pPr>
                  <w:r>
                    <w:rPr>
                      <w:color w:val="000000"/>
                      <w:kern w:val="0"/>
                    </w:rPr>
                    <w:t>排放速率(kg/h)</w:t>
                  </w:r>
                </w:p>
              </w:tc>
              <w:tc>
                <w:tcPr>
                  <w:tcW w:w="441" w:type="pct"/>
                  <w:vAlign w:val="center"/>
                </w:tcPr>
                <w:p>
                  <w:pPr>
                    <w:widowControl/>
                    <w:spacing w:line="260" w:lineRule="exact"/>
                    <w:jc w:val="center"/>
                    <w:rPr>
                      <w:color w:val="000000"/>
                      <w:kern w:val="0"/>
                    </w:rPr>
                  </w:pPr>
                  <w:r>
                    <w:rPr>
                      <w:color w:val="000000"/>
                      <w:kern w:val="0"/>
                    </w:rPr>
                    <w:t>排放量(</w:t>
                  </w:r>
                  <w:r>
                    <w:rPr>
                      <w:rFonts w:hint="eastAsia"/>
                      <w:color w:val="000000"/>
                      <w:kern w:val="0"/>
                    </w:rPr>
                    <w:t>t</w:t>
                  </w:r>
                  <w:r>
                    <w:rPr>
                      <w:color w:val="000000"/>
                      <w:kern w:val="0"/>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2" w:type="pct"/>
                  <w:vAlign w:val="center"/>
                </w:tcPr>
                <w:p>
                  <w:pPr>
                    <w:widowControl/>
                    <w:spacing w:line="260" w:lineRule="exact"/>
                    <w:jc w:val="center"/>
                    <w:rPr>
                      <w:color w:val="000000"/>
                      <w:kern w:val="0"/>
                    </w:rPr>
                  </w:pPr>
                  <w:r>
                    <w:rPr>
                      <w:rFonts w:hint="eastAsia"/>
                      <w:color w:val="000000"/>
                      <w:kern w:val="0"/>
                    </w:rPr>
                    <w:t>P1</w:t>
                  </w:r>
                </w:p>
              </w:tc>
              <w:tc>
                <w:tcPr>
                  <w:tcW w:w="607" w:type="pct"/>
                  <w:vAlign w:val="center"/>
                </w:tcPr>
                <w:p>
                  <w:pPr>
                    <w:widowControl/>
                    <w:spacing w:line="260" w:lineRule="exact"/>
                    <w:jc w:val="center"/>
                    <w:rPr>
                      <w:color w:val="000000"/>
                      <w:kern w:val="0"/>
                    </w:rPr>
                  </w:pPr>
                  <w:r>
                    <w:rPr>
                      <w:rFonts w:hint="eastAsia"/>
                      <w:color w:val="000000"/>
                      <w:kern w:val="0"/>
                    </w:rPr>
                    <w:t>10000</w:t>
                  </w:r>
                </w:p>
              </w:tc>
              <w:tc>
                <w:tcPr>
                  <w:tcW w:w="428" w:type="pct"/>
                  <w:vAlign w:val="center"/>
                </w:tcPr>
                <w:p>
                  <w:pPr>
                    <w:widowControl/>
                    <w:spacing w:line="260" w:lineRule="exact"/>
                    <w:jc w:val="center"/>
                    <w:rPr>
                      <w:color w:val="000000"/>
                      <w:kern w:val="0"/>
                    </w:rPr>
                  </w:pPr>
                  <w:r>
                    <w:rPr>
                      <w:rFonts w:hint="eastAsia"/>
                      <w:color w:val="000000"/>
                      <w:kern w:val="0"/>
                    </w:rPr>
                    <w:t>非甲烷总烃</w:t>
                  </w:r>
                </w:p>
              </w:tc>
              <w:tc>
                <w:tcPr>
                  <w:tcW w:w="558" w:type="pct"/>
                  <w:vAlign w:val="center"/>
                </w:tcPr>
                <w:p>
                  <w:pPr>
                    <w:widowControl/>
                    <w:spacing w:line="260" w:lineRule="exact"/>
                    <w:jc w:val="center"/>
                    <w:rPr>
                      <w:color w:val="000000"/>
                      <w:kern w:val="0"/>
                    </w:rPr>
                  </w:pPr>
                  <w:r>
                    <w:rPr>
                      <w:rFonts w:hint="eastAsia"/>
                      <w:color w:val="000000"/>
                      <w:kern w:val="0"/>
                    </w:rPr>
                    <w:t>138.5</w:t>
                  </w:r>
                </w:p>
              </w:tc>
              <w:tc>
                <w:tcPr>
                  <w:tcW w:w="490" w:type="pct"/>
                  <w:vAlign w:val="center"/>
                </w:tcPr>
                <w:p>
                  <w:pPr>
                    <w:widowControl/>
                    <w:spacing w:line="260" w:lineRule="exact"/>
                    <w:jc w:val="center"/>
                    <w:rPr>
                      <w:color w:val="000000"/>
                      <w:kern w:val="0"/>
                    </w:rPr>
                  </w:pPr>
                  <w:r>
                    <w:rPr>
                      <w:rFonts w:hint="eastAsia"/>
                      <w:color w:val="000000"/>
                      <w:kern w:val="0"/>
                    </w:rPr>
                    <w:t>1.385</w:t>
                  </w:r>
                </w:p>
              </w:tc>
              <w:tc>
                <w:tcPr>
                  <w:tcW w:w="405" w:type="pct"/>
                  <w:vAlign w:val="center"/>
                </w:tcPr>
                <w:p>
                  <w:pPr>
                    <w:widowControl/>
                    <w:spacing w:line="260" w:lineRule="exact"/>
                    <w:jc w:val="center"/>
                    <w:rPr>
                      <w:color w:val="000000"/>
                      <w:kern w:val="0"/>
                    </w:rPr>
                  </w:pPr>
                  <w:r>
                    <w:rPr>
                      <w:rFonts w:hint="eastAsia"/>
                      <w:color w:val="000000"/>
                      <w:kern w:val="0"/>
                    </w:rPr>
                    <w:t>3.325</w:t>
                  </w:r>
                </w:p>
              </w:tc>
              <w:tc>
                <w:tcPr>
                  <w:tcW w:w="478" w:type="pct"/>
                  <w:vAlign w:val="center"/>
                </w:tcPr>
                <w:p>
                  <w:pPr>
                    <w:widowControl/>
                    <w:spacing w:line="260" w:lineRule="exact"/>
                    <w:jc w:val="center"/>
                    <w:rPr>
                      <w:color w:val="000000"/>
                      <w:kern w:val="0"/>
                    </w:rPr>
                  </w:pPr>
                  <w:r>
                    <w:rPr>
                      <w:rFonts w:hint="eastAsia"/>
                      <w:color w:val="000000"/>
                      <w:kern w:val="0"/>
                    </w:rPr>
                    <w:t>8</w:t>
                  </w:r>
                  <w:r>
                    <w:rPr>
                      <w:color w:val="000000"/>
                      <w:kern w:val="0"/>
                    </w:rPr>
                    <w:t>0</w:t>
                  </w:r>
                  <w:r>
                    <w:rPr>
                      <w:rFonts w:hint="eastAsia"/>
                      <w:color w:val="000000"/>
                      <w:kern w:val="0"/>
                    </w:rPr>
                    <w:t>%</w:t>
                  </w:r>
                </w:p>
              </w:tc>
              <w:tc>
                <w:tcPr>
                  <w:tcW w:w="558" w:type="pct"/>
                  <w:vAlign w:val="center"/>
                </w:tcPr>
                <w:p>
                  <w:pPr>
                    <w:widowControl/>
                    <w:spacing w:line="260" w:lineRule="exact"/>
                    <w:jc w:val="center"/>
                    <w:rPr>
                      <w:color w:val="000000"/>
                      <w:kern w:val="0"/>
                    </w:rPr>
                  </w:pPr>
                  <w:r>
                    <w:rPr>
                      <w:rFonts w:hint="eastAsia"/>
                      <w:color w:val="000000"/>
                      <w:kern w:val="0"/>
                    </w:rPr>
                    <w:t>27.7</w:t>
                  </w:r>
                </w:p>
              </w:tc>
              <w:tc>
                <w:tcPr>
                  <w:tcW w:w="502" w:type="pct"/>
                  <w:vAlign w:val="center"/>
                </w:tcPr>
                <w:p>
                  <w:pPr>
                    <w:widowControl/>
                    <w:spacing w:line="260" w:lineRule="exact"/>
                    <w:jc w:val="center"/>
                    <w:rPr>
                      <w:color w:val="000000"/>
                      <w:kern w:val="0"/>
                    </w:rPr>
                  </w:pPr>
                  <w:r>
                    <w:rPr>
                      <w:rFonts w:hint="eastAsia"/>
                      <w:color w:val="000000"/>
                      <w:kern w:val="0"/>
                    </w:rPr>
                    <w:t>0.277</w:t>
                  </w:r>
                </w:p>
              </w:tc>
              <w:tc>
                <w:tcPr>
                  <w:tcW w:w="441" w:type="pct"/>
                  <w:vAlign w:val="center"/>
                </w:tcPr>
                <w:p>
                  <w:pPr>
                    <w:widowControl/>
                    <w:spacing w:line="260" w:lineRule="exact"/>
                    <w:jc w:val="center"/>
                    <w:rPr>
                      <w:color w:val="000000"/>
                      <w:kern w:val="0"/>
                    </w:rPr>
                  </w:pPr>
                  <w:r>
                    <w:rPr>
                      <w:rFonts w:hint="eastAsia"/>
                      <w:color w:val="000000"/>
                      <w:kern w:val="0"/>
                    </w:rPr>
                    <w:t>0.665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32" w:type="pct"/>
                  <w:vAlign w:val="center"/>
                </w:tcPr>
                <w:p>
                  <w:pPr>
                    <w:widowControl/>
                    <w:spacing w:line="260" w:lineRule="exact"/>
                    <w:jc w:val="center"/>
                    <w:rPr>
                      <w:color w:val="000000"/>
                      <w:kern w:val="0"/>
                    </w:rPr>
                  </w:pPr>
                  <w:r>
                    <w:rPr>
                      <w:rFonts w:hint="eastAsia"/>
                      <w:color w:val="000000"/>
                      <w:kern w:val="0"/>
                    </w:rPr>
                    <w:t>P2</w:t>
                  </w:r>
                </w:p>
              </w:tc>
              <w:tc>
                <w:tcPr>
                  <w:tcW w:w="607" w:type="pct"/>
                  <w:vAlign w:val="center"/>
                </w:tcPr>
                <w:p>
                  <w:pPr>
                    <w:widowControl/>
                    <w:spacing w:line="260" w:lineRule="exact"/>
                    <w:jc w:val="center"/>
                    <w:rPr>
                      <w:color w:val="000000"/>
                      <w:kern w:val="0"/>
                    </w:rPr>
                  </w:pPr>
                  <w:r>
                    <w:rPr>
                      <w:rFonts w:hint="eastAsia"/>
                      <w:color w:val="000000"/>
                      <w:kern w:val="0"/>
                    </w:rPr>
                    <w:t>5000</w:t>
                  </w:r>
                </w:p>
              </w:tc>
              <w:tc>
                <w:tcPr>
                  <w:tcW w:w="428" w:type="pct"/>
                  <w:vAlign w:val="center"/>
                </w:tcPr>
                <w:p>
                  <w:pPr>
                    <w:widowControl/>
                    <w:spacing w:line="260" w:lineRule="exact"/>
                    <w:jc w:val="center"/>
                    <w:rPr>
                      <w:color w:val="000000"/>
                      <w:kern w:val="0"/>
                    </w:rPr>
                  </w:pPr>
                  <w:r>
                    <w:rPr>
                      <w:rFonts w:hint="eastAsia"/>
                      <w:color w:val="000000"/>
                      <w:kern w:val="0"/>
                    </w:rPr>
                    <w:t>颗粒物</w:t>
                  </w:r>
                </w:p>
              </w:tc>
              <w:tc>
                <w:tcPr>
                  <w:tcW w:w="558" w:type="pct"/>
                  <w:vAlign w:val="center"/>
                </w:tcPr>
                <w:p>
                  <w:pPr>
                    <w:widowControl/>
                    <w:spacing w:line="260" w:lineRule="exact"/>
                    <w:jc w:val="center"/>
                    <w:rPr>
                      <w:color w:val="000000"/>
                      <w:kern w:val="0"/>
                    </w:rPr>
                  </w:pPr>
                  <w:r>
                    <w:rPr>
                      <w:rFonts w:hint="eastAsia"/>
                      <w:color w:val="000000"/>
                      <w:kern w:val="0"/>
                    </w:rPr>
                    <w:t>5.5</w:t>
                  </w:r>
                </w:p>
              </w:tc>
              <w:tc>
                <w:tcPr>
                  <w:tcW w:w="490" w:type="pct"/>
                  <w:vAlign w:val="center"/>
                </w:tcPr>
                <w:p>
                  <w:pPr>
                    <w:widowControl/>
                    <w:spacing w:line="260" w:lineRule="exact"/>
                    <w:jc w:val="center"/>
                    <w:rPr>
                      <w:color w:val="000000"/>
                      <w:kern w:val="0"/>
                    </w:rPr>
                  </w:pPr>
                  <w:r>
                    <w:rPr>
                      <w:rFonts w:hint="eastAsia"/>
                      <w:color w:val="000000"/>
                      <w:kern w:val="0"/>
                    </w:rPr>
                    <w:t>0.028</w:t>
                  </w:r>
                </w:p>
              </w:tc>
              <w:tc>
                <w:tcPr>
                  <w:tcW w:w="405" w:type="pct"/>
                  <w:vAlign w:val="center"/>
                </w:tcPr>
                <w:p>
                  <w:pPr>
                    <w:widowControl/>
                    <w:spacing w:line="260" w:lineRule="exact"/>
                    <w:jc w:val="center"/>
                    <w:rPr>
                      <w:color w:val="000000"/>
                      <w:kern w:val="0"/>
                    </w:rPr>
                  </w:pPr>
                  <w:r>
                    <w:rPr>
                      <w:rFonts w:hint="eastAsia"/>
                      <w:color w:val="000000"/>
                      <w:kern w:val="0"/>
                    </w:rPr>
                    <w:t>0.066</w:t>
                  </w:r>
                </w:p>
              </w:tc>
              <w:tc>
                <w:tcPr>
                  <w:tcW w:w="478" w:type="pct"/>
                  <w:vAlign w:val="center"/>
                </w:tcPr>
                <w:p>
                  <w:pPr>
                    <w:widowControl/>
                    <w:spacing w:line="260" w:lineRule="exact"/>
                    <w:jc w:val="center"/>
                    <w:rPr>
                      <w:color w:val="000000"/>
                      <w:kern w:val="0"/>
                    </w:rPr>
                  </w:pPr>
                  <w:r>
                    <w:rPr>
                      <w:rFonts w:hint="eastAsia"/>
                      <w:color w:val="000000"/>
                      <w:kern w:val="0"/>
                    </w:rPr>
                    <w:t>95%</w:t>
                  </w:r>
                </w:p>
              </w:tc>
              <w:tc>
                <w:tcPr>
                  <w:tcW w:w="558" w:type="pct"/>
                  <w:vAlign w:val="center"/>
                </w:tcPr>
                <w:p>
                  <w:pPr>
                    <w:widowControl/>
                    <w:spacing w:line="260" w:lineRule="exact"/>
                    <w:jc w:val="center"/>
                    <w:rPr>
                      <w:color w:val="000000"/>
                      <w:kern w:val="0"/>
                    </w:rPr>
                  </w:pPr>
                  <w:r>
                    <w:rPr>
                      <w:rFonts w:hint="eastAsia"/>
                      <w:color w:val="000000"/>
                      <w:kern w:val="0"/>
                    </w:rPr>
                    <w:t>0.275</w:t>
                  </w:r>
                </w:p>
              </w:tc>
              <w:tc>
                <w:tcPr>
                  <w:tcW w:w="502" w:type="pct"/>
                  <w:vAlign w:val="center"/>
                </w:tcPr>
                <w:p>
                  <w:pPr>
                    <w:widowControl/>
                    <w:spacing w:line="260" w:lineRule="exact"/>
                    <w:jc w:val="center"/>
                    <w:rPr>
                      <w:color w:val="000000"/>
                      <w:kern w:val="0"/>
                    </w:rPr>
                  </w:pPr>
                  <w:r>
                    <w:rPr>
                      <w:rFonts w:hint="eastAsia"/>
                      <w:color w:val="000000"/>
                      <w:kern w:val="0"/>
                    </w:rPr>
                    <w:t>0.0014</w:t>
                  </w:r>
                </w:p>
              </w:tc>
              <w:tc>
                <w:tcPr>
                  <w:tcW w:w="441" w:type="pct"/>
                  <w:vAlign w:val="center"/>
                </w:tcPr>
                <w:p>
                  <w:pPr>
                    <w:widowControl/>
                    <w:spacing w:line="260" w:lineRule="exact"/>
                    <w:jc w:val="center"/>
                    <w:rPr>
                      <w:color w:val="000000"/>
                      <w:kern w:val="0"/>
                    </w:rPr>
                  </w:pPr>
                  <w:r>
                    <w:rPr>
                      <w:rFonts w:hint="eastAsia"/>
                      <w:color w:val="000000"/>
                      <w:kern w:val="0"/>
                    </w:rPr>
                    <w:t>0.003</w:t>
                  </w:r>
                </w:p>
              </w:tc>
            </w:tr>
          </w:tbl>
          <w:p>
            <w:pPr>
              <w:ind w:firstLine="360"/>
              <w:jc w:val="left"/>
              <w:rPr>
                <w:color w:val="000000"/>
                <w:sz w:val="18"/>
                <w:szCs w:val="18"/>
              </w:rPr>
            </w:pPr>
            <w:r>
              <w:rPr>
                <w:color w:val="000000"/>
                <w:sz w:val="18"/>
                <w:szCs w:val="18"/>
              </w:rPr>
              <w:t>注：年工作</w:t>
            </w:r>
            <w:r>
              <w:rPr>
                <w:rFonts w:hint="eastAsia"/>
                <w:color w:val="000000"/>
                <w:sz w:val="18"/>
                <w:szCs w:val="18"/>
              </w:rPr>
              <w:t>3</w:t>
            </w:r>
            <w:r>
              <w:rPr>
                <w:color w:val="000000"/>
                <w:sz w:val="18"/>
                <w:szCs w:val="18"/>
              </w:rPr>
              <w:t>00d，日工作8h。</w:t>
            </w:r>
          </w:p>
          <w:p>
            <w:pPr>
              <w:pStyle w:val="89"/>
              <w:ind w:firstLine="480"/>
              <w:rPr>
                <w:color w:val="000000"/>
              </w:rPr>
            </w:pPr>
            <w:r>
              <w:rPr>
                <w:rFonts w:hint="eastAsia" w:ascii="宋体" w:hAnsi="宋体" w:cs="宋体"/>
                <w:color w:val="000000"/>
              </w:rPr>
              <w:t>（2）</w:t>
            </w:r>
            <w:r>
              <w:rPr>
                <w:color w:val="000000"/>
              </w:rPr>
              <w:t>无组织</w:t>
            </w:r>
            <w:r>
              <w:rPr>
                <w:rFonts w:hint="eastAsia"/>
                <w:color w:val="000000"/>
              </w:rPr>
              <w:t>有机废气</w:t>
            </w:r>
          </w:p>
          <w:p>
            <w:pPr>
              <w:pStyle w:val="89"/>
              <w:ind w:firstLine="480"/>
              <w:rPr>
                <w:color w:val="000000"/>
              </w:rPr>
            </w:pPr>
            <w:r>
              <w:rPr>
                <w:color w:val="000000"/>
              </w:rPr>
              <w:t>本项目的无组织</w:t>
            </w:r>
            <w:r>
              <w:rPr>
                <w:rFonts w:hint="eastAsia"/>
                <w:color w:val="000000"/>
              </w:rPr>
              <w:t>废气</w:t>
            </w:r>
            <w:r>
              <w:rPr>
                <w:color w:val="000000"/>
              </w:rPr>
              <w:t>产生及排放情况详见</w:t>
            </w:r>
            <w:r>
              <w:rPr>
                <w:rFonts w:hint="eastAsia"/>
                <w:bCs/>
                <w:color w:val="000000"/>
              </w:rPr>
              <w:t>表</w:t>
            </w:r>
            <w:r>
              <w:rPr>
                <w:bCs/>
                <w:color w:val="000000"/>
              </w:rPr>
              <w:t>4.2</w:t>
            </w:r>
            <w:r>
              <w:rPr>
                <w:rFonts w:hint="eastAsia"/>
                <w:bCs/>
                <w:color w:val="000000"/>
              </w:rPr>
              <w:t>-</w:t>
            </w:r>
            <w:r>
              <w:rPr>
                <w:bCs/>
                <w:color w:val="000000"/>
              </w:rPr>
              <w:t>2</w:t>
            </w:r>
            <w:r>
              <w:rPr>
                <w:color w:val="000000"/>
              </w:rPr>
              <w:t>。</w:t>
            </w:r>
          </w:p>
          <w:p>
            <w:pPr>
              <w:pStyle w:val="78"/>
              <w:numPr>
                <w:ilvl w:val="0"/>
                <w:numId w:val="0"/>
              </w:numPr>
              <w:spacing w:before="120"/>
              <w:rPr>
                <w:color w:val="000000"/>
              </w:rPr>
            </w:pPr>
            <w:bookmarkStart w:id="36" w:name="_Ref470275049"/>
            <w:bookmarkEnd w:id="36"/>
            <w:bookmarkStart w:id="37" w:name="_Ref469599790"/>
            <w:bookmarkEnd w:id="37"/>
            <w:bookmarkStart w:id="38" w:name="_Ref65688874"/>
            <w:r>
              <w:rPr>
                <w:rFonts w:hint="eastAsia"/>
                <w:color w:val="000000"/>
              </w:rPr>
              <w:t>表</w:t>
            </w:r>
            <w:r>
              <w:rPr>
                <w:color w:val="000000"/>
              </w:rPr>
              <w:t>4.2</w:t>
            </w:r>
            <w:r>
              <w:rPr>
                <w:rFonts w:hint="eastAsia"/>
                <w:color w:val="000000"/>
              </w:rPr>
              <w:t>-</w:t>
            </w:r>
            <w:r>
              <w:rPr>
                <w:color w:val="000000"/>
              </w:rPr>
              <w:t>2</w:t>
            </w:r>
            <w:r>
              <w:rPr>
                <w:rFonts w:hint="eastAsia"/>
                <w:color w:val="000000"/>
              </w:rPr>
              <w:t xml:space="preserve"> </w:t>
            </w:r>
            <w:r>
              <w:rPr>
                <w:color w:val="000000"/>
              </w:rPr>
              <w:t>本项目无组织</w:t>
            </w:r>
            <w:r>
              <w:rPr>
                <w:rFonts w:hint="eastAsia"/>
                <w:color w:val="000000"/>
              </w:rPr>
              <w:t>废气</w:t>
            </w:r>
            <w:r>
              <w:rPr>
                <w:color w:val="000000"/>
              </w:rPr>
              <w:t>产生及排放情况一览表</w:t>
            </w:r>
            <w:bookmarkEnd w:id="38"/>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396"/>
              <w:gridCol w:w="1241"/>
              <w:gridCol w:w="2032"/>
              <w:gridCol w:w="1580"/>
              <w:gridCol w:w="12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pct"/>
                  <w:vMerge w:val="restart"/>
                  <w:vAlign w:val="center"/>
                </w:tcPr>
                <w:p>
                  <w:pPr>
                    <w:widowControl/>
                    <w:jc w:val="center"/>
                    <w:rPr>
                      <w:rStyle w:val="126"/>
                      <w:rFonts w:ascii="Times New Roman" w:hAnsi="Times New Roman"/>
                      <w:color w:val="000000"/>
                    </w:rPr>
                  </w:pPr>
                  <w:r>
                    <w:rPr>
                      <w:rStyle w:val="126"/>
                      <w:rFonts w:ascii="Times New Roman"/>
                      <w:color w:val="000000"/>
                    </w:rPr>
                    <w:t>污染物</w:t>
                  </w:r>
                </w:p>
              </w:tc>
              <w:tc>
                <w:tcPr>
                  <w:tcW w:w="1551" w:type="pct"/>
                  <w:gridSpan w:val="2"/>
                  <w:vAlign w:val="center"/>
                </w:tcPr>
                <w:p>
                  <w:pPr>
                    <w:widowControl/>
                    <w:jc w:val="center"/>
                    <w:rPr>
                      <w:rStyle w:val="126"/>
                      <w:rFonts w:ascii="Times New Roman" w:hAnsi="Times New Roman"/>
                      <w:color w:val="000000"/>
                    </w:rPr>
                  </w:pPr>
                  <w:r>
                    <w:rPr>
                      <w:rStyle w:val="126"/>
                      <w:rFonts w:ascii="Times New Roman"/>
                      <w:color w:val="000000"/>
                    </w:rPr>
                    <w:t>产生情况</w:t>
                  </w:r>
                </w:p>
              </w:tc>
              <w:tc>
                <w:tcPr>
                  <w:tcW w:w="1195" w:type="pct"/>
                  <w:vMerge w:val="restart"/>
                  <w:vAlign w:val="center"/>
                </w:tcPr>
                <w:p>
                  <w:pPr>
                    <w:widowControl/>
                    <w:jc w:val="center"/>
                    <w:rPr>
                      <w:rStyle w:val="126"/>
                      <w:rFonts w:ascii="Times New Roman" w:hAnsi="Times New Roman"/>
                      <w:color w:val="000000"/>
                    </w:rPr>
                  </w:pPr>
                  <w:r>
                    <w:rPr>
                      <w:rStyle w:val="126"/>
                      <w:rFonts w:ascii="Times New Roman"/>
                      <w:color w:val="000000"/>
                    </w:rPr>
                    <w:t>治理措施及处理效率</w:t>
                  </w:r>
                </w:p>
              </w:tc>
              <w:tc>
                <w:tcPr>
                  <w:tcW w:w="1640" w:type="pct"/>
                  <w:gridSpan w:val="2"/>
                  <w:vAlign w:val="center"/>
                </w:tcPr>
                <w:p>
                  <w:pPr>
                    <w:widowControl/>
                    <w:jc w:val="center"/>
                    <w:rPr>
                      <w:rStyle w:val="126"/>
                      <w:rFonts w:ascii="Times New Roman" w:hAnsi="Times New Roman"/>
                      <w:color w:val="000000"/>
                    </w:rPr>
                  </w:pPr>
                  <w:r>
                    <w:rPr>
                      <w:rStyle w:val="126"/>
                      <w:rFonts w:ascii="Times New Roman"/>
                      <w:color w:val="000000"/>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pct"/>
                  <w:vMerge w:val="continue"/>
                  <w:vAlign w:val="center"/>
                </w:tcPr>
                <w:p>
                  <w:pPr>
                    <w:widowControl/>
                    <w:jc w:val="center"/>
                    <w:rPr>
                      <w:rStyle w:val="126"/>
                      <w:rFonts w:ascii="Times New Roman" w:hAnsi="Times New Roman"/>
                      <w:color w:val="000000"/>
                    </w:rPr>
                  </w:pPr>
                </w:p>
              </w:tc>
              <w:tc>
                <w:tcPr>
                  <w:tcW w:w="821" w:type="pct"/>
                  <w:vAlign w:val="center"/>
                </w:tcPr>
                <w:p>
                  <w:pPr>
                    <w:widowControl/>
                    <w:jc w:val="center"/>
                    <w:rPr>
                      <w:rStyle w:val="126"/>
                      <w:rFonts w:ascii="Times New Roman" w:hAnsi="Times New Roman"/>
                      <w:color w:val="000000"/>
                    </w:rPr>
                  </w:pPr>
                  <w:r>
                    <w:rPr>
                      <w:rStyle w:val="126"/>
                      <w:rFonts w:ascii="Times New Roman"/>
                      <w:color w:val="000000"/>
                    </w:rPr>
                    <w:t>产生速率</w:t>
                  </w:r>
                  <w:r>
                    <w:rPr>
                      <w:rStyle w:val="126"/>
                      <w:rFonts w:ascii="Times New Roman" w:hAnsi="Times New Roman"/>
                      <w:color w:val="000000"/>
                    </w:rPr>
                    <w:t>(kg/h)</w:t>
                  </w:r>
                </w:p>
              </w:tc>
              <w:tc>
                <w:tcPr>
                  <w:tcW w:w="730" w:type="pct"/>
                  <w:vAlign w:val="center"/>
                </w:tcPr>
                <w:p>
                  <w:pPr>
                    <w:widowControl/>
                    <w:jc w:val="center"/>
                    <w:rPr>
                      <w:rStyle w:val="126"/>
                      <w:rFonts w:ascii="Times New Roman" w:hAnsi="Times New Roman"/>
                      <w:color w:val="000000"/>
                    </w:rPr>
                  </w:pPr>
                  <w:r>
                    <w:rPr>
                      <w:rStyle w:val="126"/>
                      <w:rFonts w:ascii="Times New Roman"/>
                      <w:color w:val="000000"/>
                    </w:rPr>
                    <w:t>产生量</w:t>
                  </w:r>
                  <w:r>
                    <w:rPr>
                      <w:rStyle w:val="126"/>
                      <w:rFonts w:ascii="Times New Roman" w:hAnsi="Times New Roman"/>
                      <w:color w:val="000000"/>
                    </w:rPr>
                    <w:t>(t/a)</w:t>
                  </w:r>
                </w:p>
              </w:tc>
              <w:tc>
                <w:tcPr>
                  <w:tcW w:w="1195" w:type="pct"/>
                  <w:vMerge w:val="continue"/>
                  <w:vAlign w:val="center"/>
                </w:tcPr>
                <w:p>
                  <w:pPr>
                    <w:widowControl/>
                    <w:jc w:val="center"/>
                    <w:rPr>
                      <w:rStyle w:val="126"/>
                      <w:rFonts w:ascii="Times New Roman" w:hAnsi="Times New Roman"/>
                      <w:color w:val="000000"/>
                    </w:rPr>
                  </w:pPr>
                </w:p>
              </w:tc>
              <w:tc>
                <w:tcPr>
                  <w:tcW w:w="929" w:type="pct"/>
                  <w:vAlign w:val="center"/>
                </w:tcPr>
                <w:p>
                  <w:pPr>
                    <w:widowControl/>
                    <w:jc w:val="center"/>
                    <w:rPr>
                      <w:rStyle w:val="126"/>
                      <w:rFonts w:ascii="Times New Roman" w:hAnsi="Times New Roman"/>
                      <w:color w:val="000000"/>
                    </w:rPr>
                  </w:pPr>
                  <w:r>
                    <w:rPr>
                      <w:rStyle w:val="126"/>
                      <w:rFonts w:ascii="Times New Roman"/>
                      <w:color w:val="000000"/>
                    </w:rPr>
                    <w:t>排放速率</w:t>
                  </w:r>
                  <w:r>
                    <w:rPr>
                      <w:rStyle w:val="126"/>
                      <w:rFonts w:ascii="Times New Roman" w:hAnsi="Times New Roman"/>
                      <w:color w:val="000000"/>
                    </w:rPr>
                    <w:t>(kg/h)</w:t>
                  </w:r>
                </w:p>
              </w:tc>
              <w:tc>
                <w:tcPr>
                  <w:tcW w:w="711" w:type="pct"/>
                  <w:vAlign w:val="center"/>
                </w:tcPr>
                <w:p>
                  <w:pPr>
                    <w:widowControl/>
                    <w:jc w:val="center"/>
                    <w:rPr>
                      <w:rStyle w:val="126"/>
                      <w:rFonts w:ascii="Times New Roman" w:hAnsi="Times New Roman"/>
                      <w:color w:val="000000"/>
                    </w:rPr>
                  </w:pPr>
                  <w:r>
                    <w:rPr>
                      <w:rStyle w:val="126"/>
                      <w:rFonts w:ascii="Times New Roman"/>
                      <w:color w:val="000000"/>
                    </w:rPr>
                    <w:t>排放量（</w:t>
                  </w:r>
                  <w:r>
                    <w:rPr>
                      <w:rStyle w:val="126"/>
                      <w:rFonts w:ascii="Times New Roman" w:hAnsi="Times New Roman"/>
                      <w:color w:val="000000"/>
                    </w:rPr>
                    <w:t>t/a</w:t>
                  </w:r>
                  <w:r>
                    <w:rPr>
                      <w:rStyle w:val="126"/>
                      <w:rFonts w:ascii="Times New Roman"/>
                      <w:color w:val="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pct"/>
                  <w:vAlign w:val="center"/>
                </w:tcPr>
                <w:p>
                  <w:pPr>
                    <w:widowControl/>
                    <w:jc w:val="center"/>
                    <w:rPr>
                      <w:rStyle w:val="126"/>
                      <w:rFonts w:ascii="Times New Roman" w:hAnsi="Times New Roman"/>
                      <w:color w:val="000000"/>
                    </w:rPr>
                  </w:pPr>
                  <w:r>
                    <w:rPr>
                      <w:rStyle w:val="126"/>
                      <w:rFonts w:ascii="Times New Roman"/>
                      <w:color w:val="000000"/>
                    </w:rPr>
                    <w:t>非甲烷总烃</w:t>
                  </w:r>
                </w:p>
              </w:tc>
              <w:tc>
                <w:tcPr>
                  <w:tcW w:w="821" w:type="pct"/>
                  <w:vAlign w:val="center"/>
                </w:tcPr>
                <w:p>
                  <w:pPr>
                    <w:widowControl/>
                    <w:jc w:val="center"/>
                    <w:rPr>
                      <w:rStyle w:val="126"/>
                      <w:rFonts w:ascii="Times New Roman" w:hAnsi="Times New Roman"/>
                      <w:color w:val="000000"/>
                      <w:szCs w:val="21"/>
                    </w:rPr>
                  </w:pPr>
                  <w:r>
                    <w:rPr>
                      <w:rStyle w:val="126"/>
                      <w:rFonts w:hint="eastAsia" w:ascii="Times New Roman" w:hAnsi="Times New Roman"/>
                      <w:color w:val="000000"/>
                      <w:szCs w:val="21"/>
                    </w:rPr>
                    <w:t>0.244</w:t>
                  </w:r>
                </w:p>
              </w:tc>
              <w:tc>
                <w:tcPr>
                  <w:tcW w:w="730" w:type="pct"/>
                  <w:vAlign w:val="center"/>
                </w:tcPr>
                <w:p>
                  <w:pPr>
                    <w:widowControl/>
                    <w:jc w:val="center"/>
                    <w:rPr>
                      <w:rStyle w:val="126"/>
                      <w:rFonts w:ascii="Times New Roman" w:hAnsi="Times New Roman"/>
                      <w:color w:val="000000"/>
                      <w:szCs w:val="21"/>
                    </w:rPr>
                  </w:pPr>
                  <w:r>
                    <w:rPr>
                      <w:rFonts w:hint="eastAsia"/>
                      <w:color w:val="000000"/>
                      <w:szCs w:val="21"/>
                    </w:rPr>
                    <w:t>0.587</w:t>
                  </w:r>
                </w:p>
              </w:tc>
              <w:tc>
                <w:tcPr>
                  <w:tcW w:w="1195" w:type="pct"/>
                  <w:vMerge w:val="restart"/>
                  <w:vAlign w:val="center"/>
                </w:tcPr>
                <w:p>
                  <w:pPr>
                    <w:widowControl/>
                    <w:jc w:val="center"/>
                    <w:rPr>
                      <w:rStyle w:val="126"/>
                      <w:rFonts w:ascii="Times New Roman" w:hAnsi="Times New Roman"/>
                      <w:color w:val="000000"/>
                    </w:rPr>
                  </w:pPr>
                  <w:r>
                    <w:rPr>
                      <w:rStyle w:val="126"/>
                      <w:rFonts w:ascii="Times New Roman" w:hAnsi="Times New Roman"/>
                      <w:color w:val="000000"/>
                    </w:rPr>
                    <w:t>加强集气效率</w:t>
                  </w:r>
                </w:p>
              </w:tc>
              <w:tc>
                <w:tcPr>
                  <w:tcW w:w="929" w:type="pct"/>
                  <w:vAlign w:val="center"/>
                </w:tcPr>
                <w:p>
                  <w:pPr>
                    <w:widowControl/>
                    <w:jc w:val="center"/>
                    <w:rPr>
                      <w:rStyle w:val="126"/>
                      <w:rFonts w:ascii="Times New Roman" w:hAnsi="Times New Roman"/>
                      <w:color w:val="000000"/>
                      <w:szCs w:val="21"/>
                    </w:rPr>
                  </w:pPr>
                  <w:r>
                    <w:rPr>
                      <w:rStyle w:val="126"/>
                      <w:rFonts w:hint="eastAsia" w:ascii="Times New Roman" w:hAnsi="Times New Roman"/>
                      <w:color w:val="000000"/>
                      <w:szCs w:val="21"/>
                    </w:rPr>
                    <w:t>0.244</w:t>
                  </w:r>
                </w:p>
              </w:tc>
              <w:tc>
                <w:tcPr>
                  <w:tcW w:w="711" w:type="pct"/>
                  <w:vAlign w:val="center"/>
                </w:tcPr>
                <w:p>
                  <w:pPr>
                    <w:widowControl/>
                    <w:jc w:val="center"/>
                    <w:rPr>
                      <w:rStyle w:val="126"/>
                      <w:rFonts w:ascii="Times New Roman" w:hAnsi="Times New Roman"/>
                      <w:color w:val="000000"/>
                      <w:szCs w:val="21"/>
                    </w:rPr>
                  </w:pPr>
                  <w:r>
                    <w:rPr>
                      <w:rFonts w:hint="eastAsia"/>
                      <w:color w:val="000000"/>
                      <w:szCs w:val="21"/>
                    </w:rPr>
                    <w:t>0.587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4" w:type="pct"/>
                  <w:vAlign w:val="center"/>
                </w:tcPr>
                <w:p>
                  <w:pPr>
                    <w:widowControl/>
                    <w:jc w:val="center"/>
                    <w:rPr>
                      <w:rStyle w:val="126"/>
                      <w:rFonts w:ascii="Times New Roman" w:hAnsi="Times New Roman"/>
                      <w:color w:val="000000"/>
                    </w:rPr>
                  </w:pPr>
                  <w:r>
                    <w:rPr>
                      <w:rStyle w:val="126"/>
                      <w:rFonts w:ascii="Times New Roman"/>
                      <w:color w:val="000000"/>
                    </w:rPr>
                    <w:t>颗粒物</w:t>
                  </w:r>
                </w:p>
              </w:tc>
              <w:tc>
                <w:tcPr>
                  <w:tcW w:w="821" w:type="pct"/>
                  <w:vAlign w:val="center"/>
                </w:tcPr>
                <w:p>
                  <w:pPr>
                    <w:widowControl/>
                    <w:jc w:val="center"/>
                    <w:rPr>
                      <w:rStyle w:val="126"/>
                      <w:rFonts w:ascii="Times New Roman" w:hAnsi="Times New Roman"/>
                      <w:color w:val="000000"/>
                      <w:szCs w:val="21"/>
                    </w:rPr>
                  </w:pPr>
                  <w:r>
                    <w:rPr>
                      <w:rStyle w:val="126"/>
                      <w:rFonts w:hint="eastAsia" w:ascii="Times New Roman" w:hAnsi="Times New Roman"/>
                      <w:color w:val="000000"/>
                      <w:szCs w:val="21"/>
                    </w:rPr>
                    <w:t>0.007</w:t>
                  </w:r>
                </w:p>
              </w:tc>
              <w:tc>
                <w:tcPr>
                  <w:tcW w:w="730" w:type="pct"/>
                  <w:vAlign w:val="center"/>
                </w:tcPr>
                <w:p>
                  <w:pPr>
                    <w:widowControl/>
                    <w:jc w:val="center"/>
                    <w:rPr>
                      <w:rStyle w:val="126"/>
                      <w:rFonts w:ascii="Times New Roman" w:hAnsi="Times New Roman"/>
                      <w:color w:val="000000"/>
                      <w:szCs w:val="21"/>
                    </w:rPr>
                  </w:pPr>
                  <w:r>
                    <w:rPr>
                      <w:rFonts w:hint="eastAsia"/>
                      <w:color w:val="000000"/>
                      <w:szCs w:val="21"/>
                    </w:rPr>
                    <w:t>0.016</w:t>
                  </w:r>
                </w:p>
              </w:tc>
              <w:tc>
                <w:tcPr>
                  <w:tcW w:w="1195" w:type="pct"/>
                  <w:vMerge w:val="continue"/>
                  <w:vAlign w:val="center"/>
                </w:tcPr>
                <w:p>
                  <w:pPr>
                    <w:widowControl/>
                    <w:jc w:val="center"/>
                    <w:rPr>
                      <w:rStyle w:val="126"/>
                      <w:rFonts w:ascii="Times New Roman" w:hAnsi="Times New Roman"/>
                      <w:color w:val="000000"/>
                    </w:rPr>
                  </w:pPr>
                </w:p>
              </w:tc>
              <w:tc>
                <w:tcPr>
                  <w:tcW w:w="929" w:type="pct"/>
                  <w:vAlign w:val="center"/>
                </w:tcPr>
                <w:p>
                  <w:pPr>
                    <w:widowControl/>
                    <w:jc w:val="center"/>
                    <w:rPr>
                      <w:rStyle w:val="126"/>
                      <w:rFonts w:ascii="Times New Roman" w:hAnsi="Times New Roman"/>
                      <w:color w:val="000000"/>
                      <w:szCs w:val="21"/>
                    </w:rPr>
                  </w:pPr>
                  <w:r>
                    <w:rPr>
                      <w:rStyle w:val="126"/>
                      <w:rFonts w:hint="eastAsia" w:ascii="Times New Roman" w:hAnsi="Times New Roman"/>
                      <w:color w:val="000000"/>
                      <w:szCs w:val="21"/>
                    </w:rPr>
                    <w:t>0.007</w:t>
                  </w:r>
                </w:p>
              </w:tc>
              <w:tc>
                <w:tcPr>
                  <w:tcW w:w="711" w:type="pct"/>
                  <w:vAlign w:val="center"/>
                </w:tcPr>
                <w:p>
                  <w:pPr>
                    <w:widowControl/>
                    <w:jc w:val="center"/>
                    <w:rPr>
                      <w:rStyle w:val="126"/>
                      <w:rFonts w:ascii="Times New Roman" w:hAnsi="Times New Roman"/>
                      <w:color w:val="000000"/>
                      <w:szCs w:val="21"/>
                    </w:rPr>
                  </w:pPr>
                  <w:r>
                    <w:rPr>
                      <w:rFonts w:hint="eastAsia"/>
                      <w:color w:val="000000"/>
                      <w:szCs w:val="21"/>
                    </w:rPr>
                    <w:t>0.016</w:t>
                  </w:r>
                </w:p>
              </w:tc>
            </w:tr>
          </w:tbl>
          <w:p>
            <w:pPr>
              <w:pStyle w:val="89"/>
              <w:ind w:firstLine="480"/>
              <w:rPr>
                <w:color w:val="000000"/>
              </w:rPr>
            </w:pPr>
            <w:r>
              <w:rPr>
                <w:rFonts w:hint="eastAsia"/>
                <w:color w:val="000000"/>
              </w:rPr>
              <w:t>（3）臭气浓度</w:t>
            </w:r>
          </w:p>
          <w:p>
            <w:pPr>
              <w:spacing w:line="360" w:lineRule="auto"/>
              <w:ind w:firstLine="480" w:firstLineChars="200"/>
              <w:rPr>
                <w:color w:val="000000"/>
                <w:sz w:val="24"/>
              </w:rPr>
            </w:pPr>
            <w:r>
              <w:rPr>
                <w:rFonts w:hint="eastAsia"/>
                <w:color w:val="000000"/>
                <w:sz w:val="24"/>
              </w:rPr>
              <w:t>本项目所用原辅料造粒过程中会产生少量恶臭气体，</w:t>
            </w:r>
            <w:r>
              <w:rPr>
                <w:color w:val="000000"/>
                <w:sz w:val="24"/>
              </w:rPr>
              <w:t>本项目</w:t>
            </w:r>
            <w:r>
              <w:rPr>
                <w:rFonts w:hint="eastAsia"/>
                <w:color w:val="000000"/>
                <w:sz w:val="24"/>
              </w:rPr>
              <w:t>造粒打样</w:t>
            </w:r>
            <w:r>
              <w:rPr>
                <w:color w:val="000000"/>
                <w:sz w:val="24"/>
              </w:rPr>
              <w:t>过程中会产生恶臭，正常情况下车间内能闻到少许的气味</w:t>
            </w:r>
            <w:r>
              <w:rPr>
                <w:rFonts w:hint="eastAsia"/>
                <w:color w:val="000000"/>
                <w:sz w:val="24"/>
                <w:lang w:eastAsia="zh-CN"/>
              </w:rPr>
              <w:t>且</w:t>
            </w:r>
            <w:r>
              <w:rPr>
                <w:color w:val="000000"/>
                <w:sz w:val="24"/>
              </w:rPr>
              <w:t>能辨认气味的性质。北京环境监测中心提出了恶臭6级分级法，该分级法以感受器—嗅觉的感觉和人的主观感觉特征两个方面来描述各级特征，既明确了各级的差别，也提高了分级的准确程度。</w:t>
            </w:r>
          </w:p>
          <w:p>
            <w:pPr>
              <w:pStyle w:val="90"/>
              <w:rPr>
                <w:color w:val="000000"/>
                <w:sz w:val="24"/>
                <w:szCs w:val="28"/>
              </w:rPr>
            </w:pPr>
            <w:r>
              <w:rPr>
                <w:rFonts w:hint="eastAsia"/>
                <w:color w:val="000000"/>
                <w:sz w:val="24"/>
                <w:szCs w:val="28"/>
              </w:rPr>
              <w:t>4.2-3</w:t>
            </w:r>
            <w:r>
              <w:rPr>
                <w:color w:val="000000"/>
                <w:sz w:val="24"/>
                <w:szCs w:val="28"/>
              </w:rPr>
              <w:t>恶臭6级分级法</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6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pPr>
                    <w:jc w:val="center"/>
                    <w:rPr>
                      <w:color w:val="000000"/>
                      <w:szCs w:val="21"/>
                    </w:rPr>
                  </w:pPr>
                  <w:r>
                    <w:rPr>
                      <w:color w:val="000000"/>
                      <w:szCs w:val="21"/>
                    </w:rPr>
                    <w:t>恶臭强度级</w:t>
                  </w:r>
                </w:p>
              </w:tc>
              <w:tc>
                <w:tcPr>
                  <w:tcW w:w="6117" w:type="dxa"/>
                  <w:vAlign w:val="center"/>
                </w:tcPr>
                <w:p>
                  <w:pPr>
                    <w:jc w:val="center"/>
                    <w:rPr>
                      <w:color w:val="000000"/>
                      <w:szCs w:val="21"/>
                    </w:rPr>
                  </w:pPr>
                  <w:r>
                    <w:rPr>
                      <w:color w:val="000000"/>
                      <w:szCs w:val="21"/>
                    </w:rPr>
                    <w:t>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pPr>
                    <w:jc w:val="center"/>
                    <w:rPr>
                      <w:color w:val="000000"/>
                      <w:szCs w:val="21"/>
                    </w:rPr>
                  </w:pPr>
                  <w:r>
                    <w:rPr>
                      <w:color w:val="000000"/>
                      <w:szCs w:val="21"/>
                    </w:rPr>
                    <w:t>0</w:t>
                  </w:r>
                </w:p>
              </w:tc>
              <w:tc>
                <w:tcPr>
                  <w:tcW w:w="611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color w:val="000000"/>
                      <w:kern w:val="0"/>
                      <w:szCs w:val="21"/>
                    </w:rPr>
                  </w:pPr>
                  <w:r>
                    <w:rPr>
                      <w:color w:val="000000"/>
                      <w:kern w:val="0"/>
                      <w:szCs w:val="21"/>
                    </w:rPr>
                    <w:t>未闻到任何气体，无任何反应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pPr>
                    <w:jc w:val="center"/>
                    <w:rPr>
                      <w:color w:val="000000"/>
                      <w:szCs w:val="21"/>
                    </w:rPr>
                  </w:pPr>
                  <w:r>
                    <w:rPr>
                      <w:color w:val="000000"/>
                      <w:szCs w:val="21"/>
                    </w:rPr>
                    <w:t>1</w:t>
                  </w:r>
                </w:p>
              </w:tc>
              <w:tc>
                <w:tcPr>
                  <w:tcW w:w="6117" w:type="dxa"/>
                  <w:vAlign w:val="center"/>
                </w:tcPr>
                <w:p>
                  <w:pPr>
                    <w:widowControl/>
                    <w:jc w:val="center"/>
                    <w:rPr>
                      <w:color w:val="000000"/>
                      <w:kern w:val="0"/>
                      <w:szCs w:val="21"/>
                    </w:rPr>
                  </w:pPr>
                  <w:r>
                    <w:rPr>
                      <w:color w:val="000000"/>
                      <w:kern w:val="0"/>
                      <w:szCs w:val="21"/>
                    </w:rPr>
                    <w:t>勉强能闻到有气味，但不宜辨认气味性质(感觉阈值)认为无所谓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pPr>
                    <w:jc w:val="center"/>
                    <w:rPr>
                      <w:color w:val="000000"/>
                      <w:szCs w:val="21"/>
                    </w:rPr>
                  </w:pPr>
                  <w:r>
                    <w:rPr>
                      <w:color w:val="000000"/>
                      <w:szCs w:val="21"/>
                    </w:rPr>
                    <w:t>2</w:t>
                  </w:r>
                </w:p>
              </w:tc>
              <w:tc>
                <w:tcPr>
                  <w:tcW w:w="611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kern w:val="0"/>
                      <w:szCs w:val="21"/>
                    </w:rPr>
                  </w:pPr>
                  <w:r>
                    <w:rPr>
                      <w:color w:val="000000"/>
                      <w:kern w:val="0"/>
                      <w:szCs w:val="21"/>
                    </w:rPr>
                    <w:t>能闻到气味</w:t>
                  </w:r>
                  <w:r>
                    <w:rPr>
                      <w:rFonts w:hint="eastAsia"/>
                      <w:color w:val="000000"/>
                      <w:kern w:val="0"/>
                      <w:szCs w:val="21"/>
                      <w:lang w:eastAsia="zh-CN"/>
                    </w:rPr>
                    <w:t>且</w:t>
                  </w:r>
                  <w:r>
                    <w:rPr>
                      <w:color w:val="000000"/>
                      <w:kern w:val="0"/>
                      <w:szCs w:val="21"/>
                    </w:rPr>
                    <w:t>辨认气味的性质(识别阈值)，但感觉很正常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pPr>
                    <w:jc w:val="center"/>
                    <w:rPr>
                      <w:color w:val="000000"/>
                      <w:szCs w:val="21"/>
                    </w:rPr>
                  </w:pPr>
                  <w:r>
                    <w:rPr>
                      <w:color w:val="000000"/>
                      <w:szCs w:val="21"/>
                    </w:rPr>
                    <w:t>3</w:t>
                  </w:r>
                </w:p>
              </w:tc>
              <w:tc>
                <w:tcPr>
                  <w:tcW w:w="611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color w:val="000000"/>
                      <w:kern w:val="0"/>
                      <w:szCs w:val="21"/>
                    </w:rPr>
                  </w:pPr>
                  <w:r>
                    <w:rPr>
                      <w:color w:val="000000"/>
                      <w:kern w:val="0"/>
                      <w:szCs w:val="21"/>
                    </w:rPr>
                    <w:t>很容易闻到气味，有所不快，但不反感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pPr>
                    <w:jc w:val="center"/>
                    <w:rPr>
                      <w:color w:val="000000"/>
                      <w:szCs w:val="21"/>
                    </w:rPr>
                  </w:pPr>
                  <w:r>
                    <w:rPr>
                      <w:color w:val="000000"/>
                      <w:szCs w:val="21"/>
                    </w:rPr>
                    <w:t>4</w:t>
                  </w:r>
                </w:p>
              </w:tc>
              <w:tc>
                <w:tcPr>
                  <w:tcW w:w="611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color w:val="000000"/>
                      <w:kern w:val="0"/>
                      <w:szCs w:val="21"/>
                    </w:rPr>
                  </w:pPr>
                  <w:r>
                    <w:rPr>
                      <w:color w:val="000000"/>
                      <w:kern w:val="0"/>
                      <w:szCs w:val="21"/>
                    </w:rPr>
                    <w:t>有很强的气味，而且很反感，想离开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43" w:type="dxa"/>
                  <w:vAlign w:val="center"/>
                </w:tcPr>
                <w:p>
                  <w:pPr>
                    <w:jc w:val="center"/>
                    <w:rPr>
                      <w:color w:val="000000"/>
                      <w:szCs w:val="21"/>
                    </w:rPr>
                  </w:pPr>
                  <w:r>
                    <w:rPr>
                      <w:color w:val="000000"/>
                      <w:szCs w:val="21"/>
                    </w:rPr>
                    <w:t>5</w:t>
                  </w:r>
                </w:p>
              </w:tc>
              <w:tc>
                <w:tcPr>
                  <w:tcW w:w="611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color w:val="000000"/>
                      <w:kern w:val="0"/>
                      <w:szCs w:val="21"/>
                    </w:rPr>
                  </w:pPr>
                  <w:r>
                    <w:rPr>
                      <w:color w:val="000000"/>
                      <w:kern w:val="0"/>
                      <w:szCs w:val="21"/>
                    </w:rPr>
                    <w:t>有极强的气味，无法忍受，立即逃跑</w:t>
                  </w:r>
                </w:p>
              </w:tc>
            </w:tr>
          </w:tbl>
          <w:p>
            <w:pPr>
              <w:spacing w:line="360" w:lineRule="auto"/>
              <w:ind w:firstLine="480" w:firstLineChars="200"/>
              <w:rPr>
                <w:color w:val="000000"/>
              </w:rPr>
            </w:pPr>
            <w:r>
              <w:rPr>
                <w:color w:val="000000"/>
                <w:sz w:val="24"/>
              </w:rPr>
              <w:t>对照上表，</w:t>
            </w:r>
            <w:r>
              <w:rPr>
                <w:rFonts w:hint="eastAsia"/>
                <w:color w:val="000000"/>
                <w:sz w:val="24"/>
              </w:rPr>
              <w:t>类比同类型造粒项目，项目生产</w:t>
            </w:r>
            <w:r>
              <w:rPr>
                <w:color w:val="000000"/>
                <w:sz w:val="24"/>
              </w:rPr>
              <w:t>车间内恶臭</w:t>
            </w:r>
            <w:r>
              <w:rPr>
                <w:rFonts w:hint="eastAsia"/>
                <w:color w:val="000000"/>
                <w:sz w:val="24"/>
              </w:rPr>
              <w:t>等级</w:t>
            </w:r>
            <w:r>
              <w:rPr>
                <w:color w:val="000000"/>
                <w:sz w:val="24"/>
              </w:rPr>
              <w:t>为2-3级左右，车间外15m范围内恶臭强度一般在1级左右，对周边敏感点影响较小</w:t>
            </w:r>
            <w:r>
              <w:rPr>
                <w:rFonts w:hint="eastAsia"/>
                <w:color w:val="000000"/>
                <w:sz w:val="24"/>
              </w:rPr>
              <w:t>。</w:t>
            </w:r>
          </w:p>
          <w:p>
            <w:pPr>
              <w:pStyle w:val="89"/>
              <w:ind w:firstLine="480"/>
              <w:rPr>
                <w:color w:val="000000"/>
              </w:rPr>
            </w:pPr>
            <w:r>
              <w:rPr>
                <w:rFonts w:hint="eastAsia"/>
                <w:color w:val="000000"/>
              </w:rPr>
              <w:t>（4）</w:t>
            </w:r>
            <w:r>
              <w:rPr>
                <w:color w:val="000000"/>
              </w:rPr>
              <w:t>污染物汇总</w:t>
            </w:r>
          </w:p>
          <w:p>
            <w:pPr>
              <w:pStyle w:val="78"/>
              <w:numPr>
                <w:ilvl w:val="0"/>
                <w:numId w:val="0"/>
              </w:numPr>
              <w:spacing w:before="120"/>
              <w:rPr>
                <w:color w:val="000000"/>
              </w:rPr>
            </w:pPr>
            <w:r>
              <w:rPr>
                <w:rFonts w:hint="eastAsia"/>
                <w:color w:val="000000"/>
              </w:rPr>
              <w:t>表</w:t>
            </w:r>
            <w:r>
              <w:rPr>
                <w:color w:val="000000"/>
              </w:rPr>
              <w:t>4.2</w:t>
            </w:r>
            <w:r>
              <w:rPr>
                <w:rFonts w:hint="eastAsia"/>
                <w:color w:val="000000"/>
              </w:rPr>
              <w:t>-4 废气污染源</w:t>
            </w:r>
            <w:r>
              <w:rPr>
                <w:color w:val="000000"/>
              </w:rPr>
              <w:t>排放源汇总</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09"/>
              <w:gridCol w:w="388"/>
              <w:gridCol w:w="395"/>
              <w:gridCol w:w="687"/>
              <w:gridCol w:w="826"/>
              <w:gridCol w:w="709"/>
              <w:gridCol w:w="588"/>
              <w:gridCol w:w="541"/>
              <w:gridCol w:w="542"/>
              <w:gridCol w:w="536"/>
              <w:gridCol w:w="709"/>
              <w:gridCol w:w="588"/>
              <w:gridCol w:w="515"/>
              <w:gridCol w:w="571"/>
              <w:gridCol w:w="384"/>
              <w:gridCol w:w="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82" w:type="pct"/>
                  <w:vMerge w:val="restart"/>
                  <w:vAlign w:val="center"/>
                </w:tcPr>
                <w:p>
                  <w:pPr>
                    <w:pStyle w:val="80"/>
                    <w:rPr>
                      <w:color w:val="000000"/>
                      <w:szCs w:val="21"/>
                    </w:rPr>
                  </w:pPr>
                  <w:r>
                    <w:rPr>
                      <w:color w:val="000000"/>
                      <w:szCs w:val="21"/>
                    </w:rPr>
                    <w:t>污染源</w:t>
                  </w:r>
                </w:p>
              </w:tc>
              <w:tc>
                <w:tcPr>
                  <w:tcW w:w="229" w:type="pct"/>
                  <w:vMerge w:val="restart"/>
                  <w:vAlign w:val="center"/>
                </w:tcPr>
                <w:p>
                  <w:pPr>
                    <w:pStyle w:val="80"/>
                    <w:rPr>
                      <w:color w:val="000000"/>
                      <w:szCs w:val="21"/>
                    </w:rPr>
                  </w:pPr>
                  <w:r>
                    <w:rPr>
                      <w:color w:val="000000"/>
                      <w:szCs w:val="21"/>
                    </w:rPr>
                    <w:t>排放</w:t>
                  </w:r>
                </w:p>
                <w:p>
                  <w:pPr>
                    <w:pStyle w:val="80"/>
                    <w:rPr>
                      <w:color w:val="000000"/>
                      <w:szCs w:val="21"/>
                    </w:rPr>
                  </w:pPr>
                  <w:r>
                    <w:rPr>
                      <w:color w:val="000000"/>
                      <w:szCs w:val="21"/>
                    </w:rPr>
                    <w:t>方式</w:t>
                  </w:r>
                </w:p>
              </w:tc>
              <w:tc>
                <w:tcPr>
                  <w:tcW w:w="232" w:type="pct"/>
                  <w:vMerge w:val="restart"/>
                  <w:vAlign w:val="center"/>
                </w:tcPr>
                <w:p>
                  <w:pPr>
                    <w:pStyle w:val="80"/>
                    <w:rPr>
                      <w:color w:val="000000"/>
                      <w:szCs w:val="21"/>
                    </w:rPr>
                  </w:pPr>
                  <w:r>
                    <w:rPr>
                      <w:color w:val="000000"/>
                      <w:szCs w:val="21"/>
                    </w:rPr>
                    <w:t>污染物</w:t>
                  </w:r>
                </w:p>
              </w:tc>
              <w:tc>
                <w:tcPr>
                  <w:tcW w:w="404" w:type="pct"/>
                  <w:vMerge w:val="restart"/>
                  <w:vAlign w:val="center"/>
                </w:tcPr>
                <w:p>
                  <w:pPr>
                    <w:pStyle w:val="80"/>
                    <w:rPr>
                      <w:color w:val="000000"/>
                      <w:szCs w:val="21"/>
                    </w:rPr>
                  </w:pPr>
                  <w:r>
                    <w:rPr>
                      <w:rFonts w:hint="eastAsia"/>
                      <w:color w:val="000000"/>
                      <w:szCs w:val="21"/>
                    </w:rPr>
                    <w:t>年工作时间（h/a）</w:t>
                  </w:r>
                </w:p>
              </w:tc>
              <w:tc>
                <w:tcPr>
                  <w:tcW w:w="486" w:type="pct"/>
                  <w:vMerge w:val="restart"/>
                  <w:vAlign w:val="center"/>
                </w:tcPr>
                <w:p>
                  <w:pPr>
                    <w:pStyle w:val="80"/>
                    <w:rPr>
                      <w:color w:val="000000"/>
                      <w:szCs w:val="21"/>
                    </w:rPr>
                  </w:pPr>
                  <w:r>
                    <w:rPr>
                      <w:color w:val="000000"/>
                      <w:szCs w:val="21"/>
                    </w:rPr>
                    <w:t>废气量</w:t>
                  </w:r>
                </w:p>
                <w:p>
                  <w:pPr>
                    <w:pStyle w:val="80"/>
                    <w:rPr>
                      <w:color w:val="000000"/>
                      <w:szCs w:val="21"/>
                    </w:rPr>
                  </w:pPr>
                  <w:r>
                    <w:rPr>
                      <w:color w:val="000000"/>
                      <w:szCs w:val="21"/>
                    </w:rPr>
                    <w:t>（m</w:t>
                  </w:r>
                  <w:r>
                    <w:rPr>
                      <w:color w:val="000000"/>
                      <w:szCs w:val="21"/>
                      <w:vertAlign w:val="superscript"/>
                    </w:rPr>
                    <w:t>3</w:t>
                  </w:r>
                  <w:r>
                    <w:rPr>
                      <w:color w:val="000000"/>
                      <w:szCs w:val="21"/>
                    </w:rPr>
                    <w:t>/h）</w:t>
                  </w:r>
                </w:p>
              </w:tc>
              <w:tc>
                <w:tcPr>
                  <w:tcW w:w="1081" w:type="pct"/>
                  <w:gridSpan w:val="3"/>
                  <w:vAlign w:val="center"/>
                </w:tcPr>
                <w:p>
                  <w:pPr>
                    <w:pStyle w:val="80"/>
                    <w:rPr>
                      <w:color w:val="000000"/>
                      <w:szCs w:val="21"/>
                    </w:rPr>
                  </w:pPr>
                  <w:r>
                    <w:rPr>
                      <w:color w:val="000000"/>
                      <w:szCs w:val="21"/>
                    </w:rPr>
                    <w:t>产生情况</w:t>
                  </w:r>
                </w:p>
              </w:tc>
              <w:tc>
                <w:tcPr>
                  <w:tcW w:w="319" w:type="pct"/>
                  <w:vMerge w:val="restart"/>
                  <w:vAlign w:val="center"/>
                </w:tcPr>
                <w:p>
                  <w:pPr>
                    <w:pStyle w:val="80"/>
                    <w:rPr>
                      <w:color w:val="000000"/>
                      <w:szCs w:val="21"/>
                    </w:rPr>
                  </w:pPr>
                  <w:r>
                    <w:rPr>
                      <w:color w:val="000000"/>
                      <w:szCs w:val="21"/>
                    </w:rPr>
                    <w:t>治理措施</w:t>
                  </w:r>
                </w:p>
              </w:tc>
              <w:tc>
                <w:tcPr>
                  <w:tcW w:w="315" w:type="pct"/>
                  <w:vMerge w:val="restart"/>
                  <w:vAlign w:val="center"/>
                </w:tcPr>
                <w:p>
                  <w:pPr>
                    <w:pStyle w:val="80"/>
                    <w:rPr>
                      <w:color w:val="000000"/>
                      <w:szCs w:val="21"/>
                    </w:rPr>
                  </w:pPr>
                  <w:r>
                    <w:rPr>
                      <w:color w:val="000000"/>
                      <w:szCs w:val="21"/>
                    </w:rPr>
                    <w:t>去除率</w:t>
                  </w:r>
                </w:p>
              </w:tc>
              <w:tc>
                <w:tcPr>
                  <w:tcW w:w="1066" w:type="pct"/>
                  <w:gridSpan w:val="3"/>
                  <w:vAlign w:val="center"/>
                </w:tcPr>
                <w:p>
                  <w:pPr>
                    <w:pStyle w:val="80"/>
                    <w:rPr>
                      <w:color w:val="000000"/>
                      <w:szCs w:val="21"/>
                    </w:rPr>
                  </w:pPr>
                  <w:r>
                    <w:rPr>
                      <w:color w:val="000000"/>
                      <w:szCs w:val="21"/>
                    </w:rPr>
                    <w:t>排放情况</w:t>
                  </w:r>
                </w:p>
              </w:tc>
              <w:tc>
                <w:tcPr>
                  <w:tcW w:w="562" w:type="pct"/>
                  <w:gridSpan w:val="2"/>
                  <w:vAlign w:val="center"/>
                </w:tcPr>
                <w:p>
                  <w:pPr>
                    <w:pStyle w:val="80"/>
                    <w:rPr>
                      <w:color w:val="000000"/>
                      <w:szCs w:val="21"/>
                    </w:rPr>
                  </w:pPr>
                  <w:r>
                    <w:rPr>
                      <w:color w:val="000000"/>
                      <w:szCs w:val="21"/>
                    </w:rPr>
                    <w:t>排放标准</w:t>
                  </w:r>
                </w:p>
              </w:tc>
              <w:tc>
                <w:tcPr>
                  <w:tcW w:w="126" w:type="pct"/>
                  <w:vMerge w:val="restart"/>
                  <w:vAlign w:val="center"/>
                </w:tcPr>
                <w:p>
                  <w:pPr>
                    <w:pStyle w:val="80"/>
                    <w:rPr>
                      <w:color w:val="000000"/>
                      <w:szCs w:val="21"/>
                    </w:rPr>
                  </w:pPr>
                  <w:r>
                    <w:rPr>
                      <w:color w:val="000000"/>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82" w:type="pct"/>
                  <w:vMerge w:val="continue"/>
                  <w:vAlign w:val="center"/>
                </w:tcPr>
                <w:p>
                  <w:pPr>
                    <w:pStyle w:val="80"/>
                    <w:rPr>
                      <w:color w:val="000000"/>
                      <w:szCs w:val="21"/>
                    </w:rPr>
                  </w:pPr>
                </w:p>
              </w:tc>
              <w:tc>
                <w:tcPr>
                  <w:tcW w:w="229" w:type="pct"/>
                  <w:vMerge w:val="continue"/>
                  <w:vAlign w:val="center"/>
                </w:tcPr>
                <w:p>
                  <w:pPr>
                    <w:pStyle w:val="80"/>
                    <w:rPr>
                      <w:color w:val="000000"/>
                      <w:szCs w:val="21"/>
                    </w:rPr>
                  </w:pPr>
                </w:p>
              </w:tc>
              <w:tc>
                <w:tcPr>
                  <w:tcW w:w="232" w:type="pct"/>
                  <w:vMerge w:val="continue"/>
                  <w:vAlign w:val="center"/>
                </w:tcPr>
                <w:p>
                  <w:pPr>
                    <w:pStyle w:val="80"/>
                    <w:rPr>
                      <w:color w:val="000000"/>
                      <w:szCs w:val="21"/>
                    </w:rPr>
                  </w:pPr>
                </w:p>
              </w:tc>
              <w:tc>
                <w:tcPr>
                  <w:tcW w:w="404" w:type="pct"/>
                  <w:vMerge w:val="continue"/>
                  <w:vAlign w:val="center"/>
                </w:tcPr>
                <w:p>
                  <w:pPr>
                    <w:pStyle w:val="80"/>
                    <w:rPr>
                      <w:color w:val="000000"/>
                      <w:szCs w:val="21"/>
                    </w:rPr>
                  </w:pPr>
                </w:p>
              </w:tc>
              <w:tc>
                <w:tcPr>
                  <w:tcW w:w="486" w:type="pct"/>
                  <w:vMerge w:val="continue"/>
                  <w:vAlign w:val="center"/>
                </w:tcPr>
                <w:p>
                  <w:pPr>
                    <w:pStyle w:val="80"/>
                    <w:rPr>
                      <w:color w:val="000000"/>
                      <w:szCs w:val="21"/>
                    </w:rPr>
                  </w:pPr>
                </w:p>
              </w:tc>
              <w:tc>
                <w:tcPr>
                  <w:tcW w:w="417" w:type="pct"/>
                  <w:vAlign w:val="center"/>
                </w:tcPr>
                <w:p>
                  <w:pPr>
                    <w:pStyle w:val="80"/>
                    <w:rPr>
                      <w:color w:val="000000"/>
                      <w:szCs w:val="21"/>
                    </w:rPr>
                  </w:pPr>
                  <w:r>
                    <w:rPr>
                      <w:color w:val="000000"/>
                    </w:rPr>
                    <w:t>产生浓度(mg/m</w:t>
                  </w:r>
                  <w:r>
                    <w:rPr>
                      <w:color w:val="000000"/>
                      <w:vertAlign w:val="superscript"/>
                    </w:rPr>
                    <w:t>3</w:t>
                  </w:r>
                  <w:r>
                    <w:rPr>
                      <w:color w:val="000000"/>
                    </w:rPr>
                    <w:t>)</w:t>
                  </w:r>
                </w:p>
              </w:tc>
              <w:tc>
                <w:tcPr>
                  <w:tcW w:w="346" w:type="pct"/>
                  <w:vAlign w:val="center"/>
                </w:tcPr>
                <w:p>
                  <w:pPr>
                    <w:pStyle w:val="80"/>
                    <w:rPr>
                      <w:color w:val="000000"/>
                      <w:szCs w:val="21"/>
                    </w:rPr>
                  </w:pPr>
                  <w:r>
                    <w:rPr>
                      <w:color w:val="000000"/>
                    </w:rPr>
                    <w:t>产</w:t>
                  </w:r>
                  <w:r>
                    <w:rPr>
                      <w:rFonts w:hint="eastAsia"/>
                      <w:color w:val="000000"/>
                    </w:rPr>
                    <w:t>生</w:t>
                  </w:r>
                  <w:r>
                    <w:rPr>
                      <w:color w:val="000000"/>
                    </w:rPr>
                    <w:t>速率(kg/h)</w:t>
                  </w:r>
                </w:p>
              </w:tc>
              <w:tc>
                <w:tcPr>
                  <w:tcW w:w="317" w:type="pct"/>
                  <w:vAlign w:val="center"/>
                </w:tcPr>
                <w:p>
                  <w:pPr>
                    <w:pStyle w:val="80"/>
                    <w:rPr>
                      <w:color w:val="000000"/>
                      <w:szCs w:val="21"/>
                    </w:rPr>
                  </w:pPr>
                  <w:r>
                    <w:rPr>
                      <w:color w:val="000000"/>
                    </w:rPr>
                    <w:t>产生量(</w:t>
                  </w:r>
                  <w:r>
                    <w:rPr>
                      <w:rFonts w:hint="eastAsia"/>
                      <w:color w:val="000000"/>
                    </w:rPr>
                    <w:t>t</w:t>
                  </w:r>
                  <w:r>
                    <w:rPr>
                      <w:color w:val="000000"/>
                    </w:rPr>
                    <w:t>/a)</w:t>
                  </w:r>
                </w:p>
              </w:tc>
              <w:tc>
                <w:tcPr>
                  <w:tcW w:w="319" w:type="pct"/>
                  <w:vMerge w:val="continue"/>
                  <w:vAlign w:val="center"/>
                </w:tcPr>
                <w:p>
                  <w:pPr>
                    <w:pStyle w:val="80"/>
                    <w:rPr>
                      <w:color w:val="000000"/>
                      <w:szCs w:val="21"/>
                    </w:rPr>
                  </w:pPr>
                </w:p>
              </w:tc>
              <w:tc>
                <w:tcPr>
                  <w:tcW w:w="315" w:type="pct"/>
                  <w:vMerge w:val="continue"/>
                  <w:vAlign w:val="center"/>
                </w:tcPr>
                <w:p>
                  <w:pPr>
                    <w:pStyle w:val="80"/>
                    <w:rPr>
                      <w:color w:val="000000"/>
                      <w:szCs w:val="21"/>
                    </w:rPr>
                  </w:pPr>
                </w:p>
              </w:tc>
              <w:tc>
                <w:tcPr>
                  <w:tcW w:w="417" w:type="pct"/>
                  <w:vAlign w:val="center"/>
                </w:tcPr>
                <w:p>
                  <w:pPr>
                    <w:pStyle w:val="80"/>
                    <w:rPr>
                      <w:color w:val="000000"/>
                      <w:szCs w:val="21"/>
                    </w:rPr>
                  </w:pPr>
                  <w:r>
                    <w:rPr>
                      <w:color w:val="000000"/>
                    </w:rPr>
                    <w:t>排放浓度(mg/m</w:t>
                  </w:r>
                  <w:r>
                    <w:rPr>
                      <w:color w:val="000000"/>
                      <w:vertAlign w:val="superscript"/>
                    </w:rPr>
                    <w:t>3</w:t>
                  </w:r>
                  <w:r>
                    <w:rPr>
                      <w:color w:val="000000"/>
                    </w:rPr>
                    <w:t>)</w:t>
                  </w:r>
                </w:p>
              </w:tc>
              <w:tc>
                <w:tcPr>
                  <w:tcW w:w="346" w:type="pct"/>
                  <w:vAlign w:val="center"/>
                </w:tcPr>
                <w:p>
                  <w:pPr>
                    <w:pStyle w:val="80"/>
                    <w:rPr>
                      <w:color w:val="000000"/>
                      <w:szCs w:val="21"/>
                    </w:rPr>
                  </w:pPr>
                  <w:r>
                    <w:rPr>
                      <w:color w:val="000000"/>
                    </w:rPr>
                    <w:t>排放速率(kg/h)</w:t>
                  </w:r>
                </w:p>
              </w:tc>
              <w:tc>
                <w:tcPr>
                  <w:tcW w:w="303" w:type="pct"/>
                  <w:vAlign w:val="center"/>
                </w:tcPr>
                <w:p>
                  <w:pPr>
                    <w:pStyle w:val="80"/>
                    <w:rPr>
                      <w:color w:val="000000"/>
                      <w:szCs w:val="21"/>
                    </w:rPr>
                  </w:pPr>
                  <w:r>
                    <w:rPr>
                      <w:color w:val="000000"/>
                    </w:rPr>
                    <w:t>排放量(</w:t>
                  </w:r>
                  <w:r>
                    <w:rPr>
                      <w:rFonts w:hint="eastAsia"/>
                      <w:color w:val="000000"/>
                    </w:rPr>
                    <w:t>t</w:t>
                  </w:r>
                  <w:r>
                    <w:rPr>
                      <w:color w:val="000000"/>
                    </w:rPr>
                    <w:t>/a)</w:t>
                  </w:r>
                </w:p>
              </w:tc>
              <w:tc>
                <w:tcPr>
                  <w:tcW w:w="336" w:type="pct"/>
                  <w:vAlign w:val="center"/>
                </w:tcPr>
                <w:p>
                  <w:pPr>
                    <w:pStyle w:val="80"/>
                    <w:rPr>
                      <w:color w:val="000000"/>
                      <w:szCs w:val="21"/>
                    </w:rPr>
                  </w:pPr>
                  <w:r>
                    <w:rPr>
                      <w:color w:val="000000"/>
                      <w:szCs w:val="21"/>
                    </w:rPr>
                    <w:t>排放浓度</w:t>
                  </w:r>
                </w:p>
                <w:p>
                  <w:pPr>
                    <w:pStyle w:val="80"/>
                    <w:rPr>
                      <w:color w:val="000000"/>
                      <w:szCs w:val="21"/>
                    </w:rPr>
                  </w:pPr>
                  <w:r>
                    <w:rPr>
                      <w:color w:val="000000"/>
                      <w:szCs w:val="21"/>
                    </w:rPr>
                    <w:t>mg/m</w:t>
                  </w:r>
                  <w:r>
                    <w:rPr>
                      <w:color w:val="000000"/>
                      <w:szCs w:val="21"/>
                      <w:vertAlign w:val="superscript"/>
                    </w:rPr>
                    <w:t>3</w:t>
                  </w:r>
                </w:p>
              </w:tc>
              <w:tc>
                <w:tcPr>
                  <w:tcW w:w="226" w:type="pct"/>
                  <w:vAlign w:val="center"/>
                </w:tcPr>
                <w:p>
                  <w:pPr>
                    <w:pStyle w:val="80"/>
                    <w:rPr>
                      <w:color w:val="000000"/>
                      <w:szCs w:val="21"/>
                    </w:rPr>
                  </w:pPr>
                  <w:r>
                    <w:rPr>
                      <w:color w:val="000000"/>
                      <w:szCs w:val="21"/>
                    </w:rPr>
                    <w:t>排放速率kg/h</w:t>
                  </w:r>
                </w:p>
              </w:tc>
              <w:tc>
                <w:tcPr>
                  <w:tcW w:w="126" w:type="pct"/>
                  <w:vMerge w:val="continue"/>
                  <w:vAlign w:val="center"/>
                </w:tcPr>
                <w:p>
                  <w:pPr>
                    <w:pStyle w:val="80"/>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 w:type="pct"/>
                  <w:vAlign w:val="center"/>
                </w:tcPr>
                <w:p>
                  <w:pPr>
                    <w:pStyle w:val="80"/>
                    <w:rPr>
                      <w:color w:val="000000"/>
                      <w:szCs w:val="21"/>
                    </w:rPr>
                  </w:pPr>
                  <w:r>
                    <w:rPr>
                      <w:rFonts w:hint="eastAsia"/>
                      <w:color w:val="000000"/>
                      <w:szCs w:val="21"/>
                    </w:rPr>
                    <w:t>P1</w:t>
                  </w:r>
                </w:p>
              </w:tc>
              <w:tc>
                <w:tcPr>
                  <w:tcW w:w="229" w:type="pct"/>
                  <w:vMerge w:val="restart"/>
                  <w:vAlign w:val="center"/>
                </w:tcPr>
                <w:p>
                  <w:pPr>
                    <w:pStyle w:val="80"/>
                    <w:rPr>
                      <w:color w:val="000000"/>
                      <w:szCs w:val="21"/>
                    </w:rPr>
                  </w:pPr>
                  <w:r>
                    <w:rPr>
                      <w:color w:val="000000"/>
                      <w:szCs w:val="21"/>
                    </w:rPr>
                    <w:t>连续排放</w:t>
                  </w:r>
                </w:p>
              </w:tc>
              <w:tc>
                <w:tcPr>
                  <w:tcW w:w="232" w:type="pct"/>
                  <w:vAlign w:val="center"/>
                </w:tcPr>
                <w:p>
                  <w:pPr>
                    <w:pStyle w:val="80"/>
                    <w:rPr>
                      <w:color w:val="000000"/>
                      <w:szCs w:val="21"/>
                    </w:rPr>
                  </w:pPr>
                  <w:r>
                    <w:rPr>
                      <w:color w:val="000000"/>
                      <w:szCs w:val="21"/>
                    </w:rPr>
                    <w:t>非甲烷总烃</w:t>
                  </w:r>
                </w:p>
              </w:tc>
              <w:tc>
                <w:tcPr>
                  <w:tcW w:w="404" w:type="pct"/>
                  <w:vMerge w:val="restart"/>
                  <w:vAlign w:val="center"/>
                </w:tcPr>
                <w:p>
                  <w:pPr>
                    <w:pStyle w:val="80"/>
                    <w:rPr>
                      <w:color w:val="000000"/>
                      <w:szCs w:val="21"/>
                    </w:rPr>
                  </w:pPr>
                  <w:r>
                    <w:rPr>
                      <w:rFonts w:hint="eastAsia"/>
                      <w:color w:val="000000"/>
                      <w:szCs w:val="21"/>
                    </w:rPr>
                    <w:t>2400</w:t>
                  </w:r>
                </w:p>
              </w:tc>
              <w:tc>
                <w:tcPr>
                  <w:tcW w:w="486" w:type="pct"/>
                  <w:vAlign w:val="center"/>
                </w:tcPr>
                <w:p>
                  <w:pPr>
                    <w:pStyle w:val="80"/>
                    <w:rPr>
                      <w:color w:val="000000"/>
                      <w:szCs w:val="21"/>
                    </w:rPr>
                  </w:pPr>
                  <w:r>
                    <w:rPr>
                      <w:rFonts w:hint="eastAsia"/>
                      <w:color w:val="000000"/>
                      <w:szCs w:val="21"/>
                    </w:rPr>
                    <w:t>10000</w:t>
                  </w:r>
                </w:p>
              </w:tc>
              <w:tc>
                <w:tcPr>
                  <w:tcW w:w="417" w:type="pct"/>
                  <w:vAlign w:val="center"/>
                </w:tcPr>
                <w:p>
                  <w:pPr>
                    <w:widowControl/>
                    <w:spacing w:line="260" w:lineRule="exact"/>
                    <w:jc w:val="center"/>
                    <w:rPr>
                      <w:color w:val="000000"/>
                      <w:kern w:val="0"/>
                    </w:rPr>
                  </w:pPr>
                  <w:r>
                    <w:rPr>
                      <w:rFonts w:hint="eastAsia"/>
                      <w:color w:val="000000"/>
                      <w:kern w:val="0"/>
                    </w:rPr>
                    <w:t>138.5</w:t>
                  </w:r>
                </w:p>
              </w:tc>
              <w:tc>
                <w:tcPr>
                  <w:tcW w:w="346" w:type="pct"/>
                  <w:vAlign w:val="center"/>
                </w:tcPr>
                <w:p>
                  <w:pPr>
                    <w:widowControl/>
                    <w:spacing w:line="260" w:lineRule="exact"/>
                    <w:jc w:val="center"/>
                    <w:rPr>
                      <w:color w:val="000000"/>
                      <w:kern w:val="0"/>
                    </w:rPr>
                  </w:pPr>
                  <w:r>
                    <w:rPr>
                      <w:rFonts w:hint="eastAsia"/>
                      <w:color w:val="000000"/>
                      <w:kern w:val="0"/>
                    </w:rPr>
                    <w:t>1.385</w:t>
                  </w:r>
                </w:p>
              </w:tc>
              <w:tc>
                <w:tcPr>
                  <w:tcW w:w="317" w:type="pct"/>
                  <w:vAlign w:val="center"/>
                </w:tcPr>
                <w:p>
                  <w:pPr>
                    <w:widowControl/>
                    <w:spacing w:line="260" w:lineRule="exact"/>
                    <w:jc w:val="center"/>
                    <w:rPr>
                      <w:color w:val="000000"/>
                      <w:kern w:val="0"/>
                    </w:rPr>
                  </w:pPr>
                  <w:r>
                    <w:rPr>
                      <w:rFonts w:hint="eastAsia"/>
                      <w:color w:val="000000"/>
                      <w:kern w:val="0"/>
                    </w:rPr>
                    <w:t>3.325</w:t>
                  </w:r>
                </w:p>
              </w:tc>
              <w:tc>
                <w:tcPr>
                  <w:tcW w:w="319" w:type="pct"/>
                  <w:vAlign w:val="center"/>
                </w:tcPr>
                <w:p>
                  <w:pPr>
                    <w:pStyle w:val="80"/>
                    <w:rPr>
                      <w:color w:val="000000"/>
                      <w:szCs w:val="21"/>
                    </w:rPr>
                  </w:pPr>
                  <w:r>
                    <w:rPr>
                      <w:color w:val="000000"/>
                      <w:szCs w:val="21"/>
                    </w:rPr>
                    <w:t>活性炭吸附</w:t>
                  </w:r>
                </w:p>
              </w:tc>
              <w:tc>
                <w:tcPr>
                  <w:tcW w:w="315" w:type="pct"/>
                  <w:vAlign w:val="center"/>
                </w:tcPr>
                <w:p>
                  <w:pPr>
                    <w:pStyle w:val="80"/>
                    <w:rPr>
                      <w:color w:val="000000"/>
                      <w:szCs w:val="21"/>
                    </w:rPr>
                  </w:pPr>
                  <w:r>
                    <w:rPr>
                      <w:rFonts w:hint="eastAsia"/>
                      <w:color w:val="000000"/>
                      <w:szCs w:val="21"/>
                    </w:rPr>
                    <w:t>80</w:t>
                  </w:r>
                  <w:r>
                    <w:rPr>
                      <w:color w:val="000000"/>
                      <w:szCs w:val="21"/>
                    </w:rPr>
                    <w:t>%</w:t>
                  </w:r>
                </w:p>
              </w:tc>
              <w:tc>
                <w:tcPr>
                  <w:tcW w:w="417" w:type="pct"/>
                  <w:vAlign w:val="center"/>
                </w:tcPr>
                <w:p>
                  <w:pPr>
                    <w:widowControl/>
                    <w:spacing w:line="260" w:lineRule="exact"/>
                    <w:jc w:val="center"/>
                    <w:rPr>
                      <w:color w:val="000000"/>
                      <w:kern w:val="0"/>
                    </w:rPr>
                  </w:pPr>
                  <w:r>
                    <w:rPr>
                      <w:rFonts w:hint="eastAsia"/>
                      <w:color w:val="000000"/>
                      <w:kern w:val="0"/>
                    </w:rPr>
                    <w:t>27.7</w:t>
                  </w:r>
                </w:p>
              </w:tc>
              <w:tc>
                <w:tcPr>
                  <w:tcW w:w="346" w:type="pct"/>
                  <w:vAlign w:val="center"/>
                </w:tcPr>
                <w:p>
                  <w:pPr>
                    <w:widowControl/>
                    <w:spacing w:line="260" w:lineRule="exact"/>
                    <w:jc w:val="center"/>
                    <w:rPr>
                      <w:color w:val="000000"/>
                      <w:kern w:val="0"/>
                    </w:rPr>
                  </w:pPr>
                  <w:r>
                    <w:rPr>
                      <w:rFonts w:hint="eastAsia"/>
                      <w:color w:val="000000"/>
                      <w:kern w:val="0"/>
                    </w:rPr>
                    <w:t>0.277</w:t>
                  </w:r>
                </w:p>
              </w:tc>
              <w:tc>
                <w:tcPr>
                  <w:tcW w:w="303" w:type="pct"/>
                  <w:vAlign w:val="center"/>
                </w:tcPr>
                <w:p>
                  <w:pPr>
                    <w:widowControl/>
                    <w:spacing w:line="260" w:lineRule="exact"/>
                    <w:jc w:val="center"/>
                    <w:rPr>
                      <w:color w:val="000000"/>
                      <w:kern w:val="0"/>
                    </w:rPr>
                  </w:pPr>
                  <w:r>
                    <w:rPr>
                      <w:rFonts w:hint="eastAsia"/>
                      <w:color w:val="000000"/>
                      <w:kern w:val="0"/>
                    </w:rPr>
                    <w:t>0.665</w:t>
                  </w:r>
                </w:p>
              </w:tc>
              <w:tc>
                <w:tcPr>
                  <w:tcW w:w="336" w:type="pct"/>
                  <w:vAlign w:val="center"/>
                </w:tcPr>
                <w:p>
                  <w:pPr>
                    <w:pStyle w:val="80"/>
                    <w:rPr>
                      <w:color w:val="000000"/>
                      <w:szCs w:val="21"/>
                    </w:rPr>
                  </w:pPr>
                  <w:r>
                    <w:rPr>
                      <w:rFonts w:hint="eastAsia"/>
                      <w:color w:val="000000"/>
                      <w:szCs w:val="21"/>
                    </w:rPr>
                    <w:t>60</w:t>
                  </w:r>
                </w:p>
              </w:tc>
              <w:tc>
                <w:tcPr>
                  <w:tcW w:w="226" w:type="pct"/>
                  <w:vAlign w:val="center"/>
                </w:tcPr>
                <w:p>
                  <w:pPr>
                    <w:pStyle w:val="80"/>
                    <w:rPr>
                      <w:color w:val="000000"/>
                      <w:szCs w:val="21"/>
                    </w:rPr>
                  </w:pPr>
                  <w:r>
                    <w:rPr>
                      <w:color w:val="000000"/>
                      <w:szCs w:val="21"/>
                    </w:rPr>
                    <w:t>/</w:t>
                  </w:r>
                </w:p>
              </w:tc>
              <w:tc>
                <w:tcPr>
                  <w:tcW w:w="126" w:type="pct"/>
                  <w:vAlign w:val="center"/>
                </w:tcPr>
                <w:p>
                  <w:pPr>
                    <w:pStyle w:val="80"/>
                    <w:rPr>
                      <w:color w:val="000000"/>
                      <w:szCs w:val="21"/>
                    </w:rPr>
                  </w:pPr>
                  <w:r>
                    <w:rPr>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 w:type="pct"/>
                  <w:vAlign w:val="center"/>
                </w:tcPr>
                <w:p>
                  <w:pPr>
                    <w:pStyle w:val="80"/>
                    <w:rPr>
                      <w:color w:val="000000"/>
                      <w:szCs w:val="21"/>
                    </w:rPr>
                  </w:pPr>
                  <w:r>
                    <w:rPr>
                      <w:rFonts w:hint="eastAsia"/>
                      <w:color w:val="000000"/>
                      <w:szCs w:val="21"/>
                    </w:rPr>
                    <w:t>P2</w:t>
                  </w:r>
                </w:p>
              </w:tc>
              <w:tc>
                <w:tcPr>
                  <w:tcW w:w="229" w:type="pct"/>
                  <w:vMerge w:val="continue"/>
                  <w:vAlign w:val="center"/>
                </w:tcPr>
                <w:p>
                  <w:pPr>
                    <w:pStyle w:val="80"/>
                    <w:rPr>
                      <w:color w:val="000000"/>
                      <w:szCs w:val="21"/>
                    </w:rPr>
                  </w:pPr>
                </w:p>
              </w:tc>
              <w:tc>
                <w:tcPr>
                  <w:tcW w:w="232" w:type="pct"/>
                  <w:vAlign w:val="center"/>
                </w:tcPr>
                <w:p>
                  <w:pPr>
                    <w:pStyle w:val="80"/>
                    <w:rPr>
                      <w:color w:val="000000"/>
                      <w:szCs w:val="21"/>
                    </w:rPr>
                  </w:pPr>
                  <w:r>
                    <w:rPr>
                      <w:rFonts w:hint="eastAsia"/>
                      <w:color w:val="000000"/>
                      <w:szCs w:val="21"/>
                    </w:rPr>
                    <w:t>颗粒物</w:t>
                  </w:r>
                </w:p>
              </w:tc>
              <w:tc>
                <w:tcPr>
                  <w:tcW w:w="404" w:type="pct"/>
                  <w:vMerge w:val="continue"/>
                  <w:vAlign w:val="center"/>
                </w:tcPr>
                <w:p>
                  <w:pPr>
                    <w:pStyle w:val="80"/>
                    <w:rPr>
                      <w:color w:val="000000"/>
                      <w:szCs w:val="21"/>
                    </w:rPr>
                  </w:pPr>
                </w:p>
              </w:tc>
              <w:tc>
                <w:tcPr>
                  <w:tcW w:w="486" w:type="pct"/>
                  <w:vAlign w:val="center"/>
                </w:tcPr>
                <w:p>
                  <w:pPr>
                    <w:pStyle w:val="80"/>
                    <w:rPr>
                      <w:color w:val="000000"/>
                      <w:szCs w:val="21"/>
                    </w:rPr>
                  </w:pPr>
                  <w:r>
                    <w:rPr>
                      <w:rFonts w:hint="eastAsia"/>
                      <w:color w:val="000000"/>
                      <w:szCs w:val="21"/>
                    </w:rPr>
                    <w:t>5000</w:t>
                  </w:r>
                </w:p>
              </w:tc>
              <w:tc>
                <w:tcPr>
                  <w:tcW w:w="417" w:type="pct"/>
                  <w:vAlign w:val="center"/>
                </w:tcPr>
                <w:p>
                  <w:pPr>
                    <w:widowControl/>
                    <w:spacing w:line="260" w:lineRule="exact"/>
                    <w:jc w:val="center"/>
                    <w:rPr>
                      <w:color w:val="000000"/>
                      <w:kern w:val="0"/>
                    </w:rPr>
                  </w:pPr>
                  <w:r>
                    <w:rPr>
                      <w:rFonts w:hint="eastAsia"/>
                      <w:color w:val="000000"/>
                      <w:kern w:val="0"/>
                    </w:rPr>
                    <w:t>5.5</w:t>
                  </w:r>
                </w:p>
              </w:tc>
              <w:tc>
                <w:tcPr>
                  <w:tcW w:w="346" w:type="pct"/>
                  <w:vAlign w:val="center"/>
                </w:tcPr>
                <w:p>
                  <w:pPr>
                    <w:widowControl/>
                    <w:spacing w:line="260" w:lineRule="exact"/>
                    <w:jc w:val="center"/>
                    <w:rPr>
                      <w:color w:val="000000"/>
                      <w:kern w:val="0"/>
                    </w:rPr>
                  </w:pPr>
                  <w:r>
                    <w:rPr>
                      <w:rFonts w:hint="eastAsia"/>
                      <w:color w:val="000000"/>
                      <w:kern w:val="0"/>
                    </w:rPr>
                    <w:t>0.028</w:t>
                  </w:r>
                </w:p>
              </w:tc>
              <w:tc>
                <w:tcPr>
                  <w:tcW w:w="317" w:type="pct"/>
                  <w:vAlign w:val="center"/>
                </w:tcPr>
                <w:p>
                  <w:pPr>
                    <w:widowControl/>
                    <w:spacing w:line="260" w:lineRule="exact"/>
                    <w:jc w:val="center"/>
                    <w:rPr>
                      <w:color w:val="000000"/>
                      <w:kern w:val="0"/>
                    </w:rPr>
                  </w:pPr>
                  <w:r>
                    <w:rPr>
                      <w:rFonts w:hint="eastAsia"/>
                      <w:color w:val="000000"/>
                      <w:kern w:val="0"/>
                    </w:rPr>
                    <w:t>0.066</w:t>
                  </w:r>
                </w:p>
              </w:tc>
              <w:tc>
                <w:tcPr>
                  <w:tcW w:w="319" w:type="pct"/>
                  <w:vAlign w:val="center"/>
                </w:tcPr>
                <w:p>
                  <w:pPr>
                    <w:pStyle w:val="80"/>
                    <w:rPr>
                      <w:color w:val="000000"/>
                      <w:szCs w:val="21"/>
                    </w:rPr>
                  </w:pPr>
                  <w:r>
                    <w:rPr>
                      <w:rFonts w:hint="eastAsia"/>
                      <w:color w:val="000000"/>
                      <w:szCs w:val="21"/>
                    </w:rPr>
                    <w:t>布袋除尘</w:t>
                  </w:r>
                </w:p>
              </w:tc>
              <w:tc>
                <w:tcPr>
                  <w:tcW w:w="315" w:type="pct"/>
                  <w:vAlign w:val="center"/>
                </w:tcPr>
                <w:p>
                  <w:pPr>
                    <w:pStyle w:val="80"/>
                    <w:rPr>
                      <w:color w:val="000000"/>
                      <w:szCs w:val="21"/>
                    </w:rPr>
                  </w:pPr>
                  <w:r>
                    <w:rPr>
                      <w:rFonts w:hint="eastAsia"/>
                      <w:color w:val="000000"/>
                      <w:szCs w:val="21"/>
                    </w:rPr>
                    <w:t>95%</w:t>
                  </w:r>
                </w:p>
              </w:tc>
              <w:tc>
                <w:tcPr>
                  <w:tcW w:w="417" w:type="pct"/>
                  <w:vAlign w:val="center"/>
                </w:tcPr>
                <w:p>
                  <w:pPr>
                    <w:widowControl/>
                    <w:spacing w:line="260" w:lineRule="exact"/>
                    <w:jc w:val="center"/>
                    <w:rPr>
                      <w:color w:val="000000"/>
                      <w:kern w:val="0"/>
                    </w:rPr>
                  </w:pPr>
                  <w:r>
                    <w:rPr>
                      <w:rFonts w:hint="eastAsia"/>
                      <w:color w:val="000000"/>
                      <w:kern w:val="0"/>
                    </w:rPr>
                    <w:t>0.275</w:t>
                  </w:r>
                </w:p>
              </w:tc>
              <w:tc>
                <w:tcPr>
                  <w:tcW w:w="346" w:type="pct"/>
                  <w:vAlign w:val="center"/>
                </w:tcPr>
                <w:p>
                  <w:pPr>
                    <w:widowControl/>
                    <w:spacing w:line="260" w:lineRule="exact"/>
                    <w:jc w:val="center"/>
                    <w:rPr>
                      <w:color w:val="000000"/>
                      <w:kern w:val="0"/>
                    </w:rPr>
                  </w:pPr>
                  <w:r>
                    <w:rPr>
                      <w:rFonts w:hint="eastAsia"/>
                      <w:color w:val="000000"/>
                      <w:kern w:val="0"/>
                    </w:rPr>
                    <w:t>0.0014</w:t>
                  </w:r>
                </w:p>
              </w:tc>
              <w:tc>
                <w:tcPr>
                  <w:tcW w:w="303" w:type="pct"/>
                  <w:vAlign w:val="center"/>
                </w:tcPr>
                <w:p>
                  <w:pPr>
                    <w:widowControl/>
                    <w:spacing w:line="260" w:lineRule="exact"/>
                    <w:jc w:val="center"/>
                    <w:rPr>
                      <w:color w:val="000000"/>
                      <w:kern w:val="0"/>
                    </w:rPr>
                  </w:pPr>
                  <w:r>
                    <w:rPr>
                      <w:rFonts w:hint="eastAsia"/>
                      <w:color w:val="000000"/>
                      <w:kern w:val="0"/>
                    </w:rPr>
                    <w:t>0.003</w:t>
                  </w:r>
                </w:p>
              </w:tc>
              <w:tc>
                <w:tcPr>
                  <w:tcW w:w="336" w:type="pct"/>
                  <w:vAlign w:val="center"/>
                </w:tcPr>
                <w:p>
                  <w:pPr>
                    <w:pStyle w:val="80"/>
                    <w:rPr>
                      <w:color w:val="000000"/>
                      <w:szCs w:val="21"/>
                    </w:rPr>
                  </w:pPr>
                  <w:r>
                    <w:rPr>
                      <w:rFonts w:hint="eastAsia"/>
                      <w:color w:val="000000"/>
                      <w:szCs w:val="21"/>
                    </w:rPr>
                    <w:t>20</w:t>
                  </w:r>
                </w:p>
              </w:tc>
              <w:tc>
                <w:tcPr>
                  <w:tcW w:w="226" w:type="pct"/>
                  <w:vAlign w:val="center"/>
                </w:tcPr>
                <w:p>
                  <w:pPr>
                    <w:pStyle w:val="80"/>
                    <w:rPr>
                      <w:color w:val="000000"/>
                      <w:szCs w:val="21"/>
                    </w:rPr>
                  </w:pPr>
                  <w:r>
                    <w:rPr>
                      <w:color w:val="000000"/>
                      <w:szCs w:val="21"/>
                    </w:rPr>
                    <w:t>/</w:t>
                  </w:r>
                </w:p>
              </w:tc>
              <w:tc>
                <w:tcPr>
                  <w:tcW w:w="126" w:type="pct"/>
                  <w:vAlign w:val="center"/>
                </w:tcPr>
                <w:p>
                  <w:pPr>
                    <w:pStyle w:val="80"/>
                    <w:rPr>
                      <w:color w:val="000000"/>
                      <w:szCs w:val="21"/>
                    </w:rPr>
                  </w:pPr>
                  <w:r>
                    <w:rPr>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82" w:type="pct"/>
                  <w:vMerge w:val="restart"/>
                  <w:vAlign w:val="center"/>
                </w:tcPr>
                <w:p>
                  <w:pPr>
                    <w:pStyle w:val="80"/>
                    <w:rPr>
                      <w:color w:val="000000"/>
                      <w:szCs w:val="21"/>
                    </w:rPr>
                  </w:pPr>
                  <w:r>
                    <w:rPr>
                      <w:rFonts w:hint="eastAsia"/>
                      <w:color w:val="000000"/>
                      <w:szCs w:val="21"/>
                    </w:rPr>
                    <w:t>生产车间</w:t>
                  </w:r>
                </w:p>
              </w:tc>
              <w:tc>
                <w:tcPr>
                  <w:tcW w:w="229" w:type="pct"/>
                  <w:vMerge w:val="restart"/>
                  <w:vAlign w:val="center"/>
                </w:tcPr>
                <w:p>
                  <w:pPr>
                    <w:pStyle w:val="80"/>
                    <w:rPr>
                      <w:color w:val="000000"/>
                      <w:szCs w:val="21"/>
                    </w:rPr>
                  </w:pPr>
                  <w:r>
                    <w:rPr>
                      <w:color w:val="000000"/>
                      <w:szCs w:val="21"/>
                    </w:rPr>
                    <w:t>连续排放</w:t>
                  </w:r>
                </w:p>
              </w:tc>
              <w:tc>
                <w:tcPr>
                  <w:tcW w:w="232" w:type="pct"/>
                  <w:vAlign w:val="center"/>
                </w:tcPr>
                <w:p>
                  <w:pPr>
                    <w:pStyle w:val="80"/>
                    <w:rPr>
                      <w:color w:val="000000"/>
                      <w:szCs w:val="21"/>
                    </w:rPr>
                  </w:pPr>
                  <w:r>
                    <w:rPr>
                      <w:color w:val="000000"/>
                      <w:szCs w:val="21"/>
                    </w:rPr>
                    <w:t>非甲烷总烃</w:t>
                  </w:r>
                </w:p>
              </w:tc>
              <w:tc>
                <w:tcPr>
                  <w:tcW w:w="404" w:type="pct"/>
                  <w:vMerge w:val="continue"/>
                  <w:vAlign w:val="center"/>
                </w:tcPr>
                <w:p>
                  <w:pPr>
                    <w:pStyle w:val="80"/>
                    <w:rPr>
                      <w:color w:val="000000"/>
                      <w:szCs w:val="21"/>
                    </w:rPr>
                  </w:pPr>
                </w:p>
              </w:tc>
              <w:tc>
                <w:tcPr>
                  <w:tcW w:w="486" w:type="pct"/>
                  <w:vAlign w:val="center"/>
                </w:tcPr>
                <w:p>
                  <w:pPr>
                    <w:pStyle w:val="80"/>
                    <w:rPr>
                      <w:color w:val="000000"/>
                      <w:szCs w:val="21"/>
                    </w:rPr>
                  </w:pPr>
                  <w:r>
                    <w:rPr>
                      <w:color w:val="000000"/>
                      <w:szCs w:val="21"/>
                    </w:rPr>
                    <w:t>/</w:t>
                  </w:r>
                </w:p>
              </w:tc>
              <w:tc>
                <w:tcPr>
                  <w:tcW w:w="417" w:type="pct"/>
                  <w:vAlign w:val="center"/>
                </w:tcPr>
                <w:p>
                  <w:pPr>
                    <w:pStyle w:val="80"/>
                    <w:rPr>
                      <w:color w:val="000000"/>
                      <w:szCs w:val="21"/>
                    </w:rPr>
                  </w:pPr>
                  <w:r>
                    <w:rPr>
                      <w:color w:val="000000"/>
                      <w:szCs w:val="21"/>
                    </w:rPr>
                    <w:t>/</w:t>
                  </w:r>
                </w:p>
              </w:tc>
              <w:tc>
                <w:tcPr>
                  <w:tcW w:w="346" w:type="pct"/>
                  <w:vAlign w:val="center"/>
                </w:tcPr>
                <w:p>
                  <w:pPr>
                    <w:widowControl/>
                    <w:jc w:val="center"/>
                    <w:rPr>
                      <w:rStyle w:val="126"/>
                      <w:rFonts w:ascii="Times New Roman" w:hAnsi="Times New Roman"/>
                      <w:color w:val="000000"/>
                      <w:szCs w:val="21"/>
                    </w:rPr>
                  </w:pPr>
                  <w:r>
                    <w:rPr>
                      <w:rStyle w:val="126"/>
                      <w:rFonts w:hint="eastAsia" w:ascii="Times New Roman" w:hAnsi="Times New Roman"/>
                      <w:color w:val="000000"/>
                      <w:szCs w:val="21"/>
                    </w:rPr>
                    <w:t>0.244</w:t>
                  </w:r>
                </w:p>
              </w:tc>
              <w:tc>
                <w:tcPr>
                  <w:tcW w:w="317" w:type="pct"/>
                  <w:vAlign w:val="center"/>
                </w:tcPr>
                <w:p>
                  <w:pPr>
                    <w:widowControl/>
                    <w:jc w:val="center"/>
                    <w:rPr>
                      <w:rStyle w:val="126"/>
                      <w:rFonts w:ascii="Times New Roman" w:hAnsi="Times New Roman"/>
                      <w:color w:val="000000"/>
                      <w:szCs w:val="21"/>
                    </w:rPr>
                  </w:pPr>
                  <w:r>
                    <w:rPr>
                      <w:rFonts w:hint="eastAsia"/>
                      <w:color w:val="000000"/>
                      <w:szCs w:val="21"/>
                    </w:rPr>
                    <w:t>0.587</w:t>
                  </w:r>
                </w:p>
              </w:tc>
              <w:tc>
                <w:tcPr>
                  <w:tcW w:w="319" w:type="pct"/>
                  <w:vMerge w:val="restart"/>
                  <w:vAlign w:val="center"/>
                </w:tcPr>
                <w:p>
                  <w:pPr>
                    <w:pStyle w:val="80"/>
                    <w:rPr>
                      <w:color w:val="000000"/>
                      <w:szCs w:val="21"/>
                    </w:rPr>
                  </w:pPr>
                  <w:r>
                    <w:rPr>
                      <w:color w:val="000000"/>
                      <w:szCs w:val="21"/>
                    </w:rPr>
                    <w:t>加强车间密闭措施</w:t>
                  </w:r>
                </w:p>
              </w:tc>
              <w:tc>
                <w:tcPr>
                  <w:tcW w:w="315" w:type="pct"/>
                  <w:vAlign w:val="center"/>
                </w:tcPr>
                <w:p>
                  <w:pPr>
                    <w:pStyle w:val="80"/>
                    <w:rPr>
                      <w:color w:val="000000"/>
                      <w:szCs w:val="21"/>
                    </w:rPr>
                  </w:pPr>
                  <w:r>
                    <w:rPr>
                      <w:color w:val="000000"/>
                      <w:szCs w:val="21"/>
                    </w:rPr>
                    <w:t>/</w:t>
                  </w:r>
                </w:p>
              </w:tc>
              <w:tc>
                <w:tcPr>
                  <w:tcW w:w="417" w:type="pct"/>
                  <w:vAlign w:val="center"/>
                </w:tcPr>
                <w:p>
                  <w:pPr>
                    <w:pStyle w:val="80"/>
                    <w:rPr>
                      <w:color w:val="000000"/>
                      <w:szCs w:val="21"/>
                    </w:rPr>
                  </w:pPr>
                  <w:r>
                    <w:rPr>
                      <w:color w:val="000000"/>
                      <w:szCs w:val="21"/>
                    </w:rPr>
                    <w:t>/</w:t>
                  </w:r>
                </w:p>
              </w:tc>
              <w:tc>
                <w:tcPr>
                  <w:tcW w:w="346" w:type="pct"/>
                  <w:vAlign w:val="center"/>
                </w:tcPr>
                <w:p>
                  <w:pPr>
                    <w:widowControl/>
                    <w:jc w:val="center"/>
                    <w:rPr>
                      <w:rStyle w:val="126"/>
                      <w:rFonts w:ascii="Times New Roman" w:hAnsi="Times New Roman"/>
                      <w:color w:val="000000"/>
                      <w:szCs w:val="21"/>
                    </w:rPr>
                  </w:pPr>
                  <w:r>
                    <w:rPr>
                      <w:rStyle w:val="126"/>
                      <w:rFonts w:hint="eastAsia" w:ascii="Times New Roman" w:hAnsi="Times New Roman"/>
                      <w:color w:val="000000"/>
                      <w:szCs w:val="21"/>
                    </w:rPr>
                    <w:t>0.244</w:t>
                  </w:r>
                </w:p>
              </w:tc>
              <w:tc>
                <w:tcPr>
                  <w:tcW w:w="303" w:type="pct"/>
                  <w:vAlign w:val="center"/>
                </w:tcPr>
                <w:p>
                  <w:pPr>
                    <w:widowControl/>
                    <w:jc w:val="center"/>
                    <w:rPr>
                      <w:rStyle w:val="126"/>
                      <w:rFonts w:ascii="Times New Roman" w:hAnsi="Times New Roman"/>
                      <w:color w:val="000000"/>
                      <w:szCs w:val="21"/>
                    </w:rPr>
                  </w:pPr>
                  <w:r>
                    <w:rPr>
                      <w:rFonts w:hint="eastAsia"/>
                      <w:color w:val="000000"/>
                      <w:szCs w:val="21"/>
                    </w:rPr>
                    <w:t>0.587</w:t>
                  </w:r>
                </w:p>
              </w:tc>
              <w:tc>
                <w:tcPr>
                  <w:tcW w:w="336" w:type="pct"/>
                  <w:vAlign w:val="center"/>
                </w:tcPr>
                <w:p>
                  <w:pPr>
                    <w:pStyle w:val="80"/>
                    <w:rPr>
                      <w:color w:val="000000"/>
                      <w:szCs w:val="21"/>
                    </w:rPr>
                  </w:pPr>
                  <w:r>
                    <w:rPr>
                      <w:color w:val="000000"/>
                      <w:szCs w:val="21"/>
                    </w:rPr>
                    <w:t>/</w:t>
                  </w:r>
                </w:p>
              </w:tc>
              <w:tc>
                <w:tcPr>
                  <w:tcW w:w="226" w:type="pct"/>
                  <w:vAlign w:val="center"/>
                </w:tcPr>
                <w:p>
                  <w:pPr>
                    <w:pStyle w:val="80"/>
                    <w:rPr>
                      <w:color w:val="000000"/>
                      <w:szCs w:val="21"/>
                    </w:rPr>
                  </w:pPr>
                  <w:r>
                    <w:rPr>
                      <w:color w:val="000000"/>
                      <w:szCs w:val="21"/>
                    </w:rPr>
                    <w:t>/</w:t>
                  </w:r>
                </w:p>
              </w:tc>
              <w:tc>
                <w:tcPr>
                  <w:tcW w:w="126" w:type="pct"/>
                  <w:vAlign w:val="center"/>
                </w:tcPr>
                <w:p>
                  <w:pPr>
                    <w:pStyle w:val="80"/>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82" w:type="pct"/>
                  <w:vMerge w:val="continue"/>
                  <w:vAlign w:val="center"/>
                </w:tcPr>
                <w:p>
                  <w:pPr>
                    <w:pStyle w:val="80"/>
                    <w:rPr>
                      <w:color w:val="000000"/>
                      <w:szCs w:val="21"/>
                    </w:rPr>
                  </w:pPr>
                </w:p>
              </w:tc>
              <w:tc>
                <w:tcPr>
                  <w:tcW w:w="229" w:type="pct"/>
                  <w:vMerge w:val="continue"/>
                  <w:vAlign w:val="center"/>
                </w:tcPr>
                <w:p>
                  <w:pPr>
                    <w:pStyle w:val="80"/>
                    <w:rPr>
                      <w:color w:val="000000"/>
                      <w:szCs w:val="21"/>
                    </w:rPr>
                  </w:pPr>
                </w:p>
              </w:tc>
              <w:tc>
                <w:tcPr>
                  <w:tcW w:w="232" w:type="pct"/>
                  <w:vAlign w:val="center"/>
                </w:tcPr>
                <w:p>
                  <w:pPr>
                    <w:pStyle w:val="80"/>
                    <w:rPr>
                      <w:color w:val="000000"/>
                      <w:szCs w:val="21"/>
                    </w:rPr>
                  </w:pPr>
                  <w:r>
                    <w:rPr>
                      <w:rFonts w:hint="eastAsia"/>
                      <w:color w:val="000000"/>
                      <w:szCs w:val="21"/>
                    </w:rPr>
                    <w:t>颗粒物</w:t>
                  </w:r>
                </w:p>
              </w:tc>
              <w:tc>
                <w:tcPr>
                  <w:tcW w:w="404" w:type="pct"/>
                  <w:vMerge w:val="continue"/>
                  <w:vAlign w:val="center"/>
                </w:tcPr>
                <w:p>
                  <w:pPr>
                    <w:pStyle w:val="80"/>
                    <w:rPr>
                      <w:color w:val="000000"/>
                      <w:szCs w:val="21"/>
                    </w:rPr>
                  </w:pPr>
                </w:p>
              </w:tc>
              <w:tc>
                <w:tcPr>
                  <w:tcW w:w="486" w:type="pct"/>
                  <w:vAlign w:val="center"/>
                </w:tcPr>
                <w:p>
                  <w:pPr>
                    <w:pStyle w:val="80"/>
                    <w:rPr>
                      <w:color w:val="000000"/>
                      <w:szCs w:val="21"/>
                    </w:rPr>
                  </w:pPr>
                  <w:r>
                    <w:rPr>
                      <w:color w:val="000000"/>
                      <w:szCs w:val="21"/>
                    </w:rPr>
                    <w:t>/</w:t>
                  </w:r>
                </w:p>
              </w:tc>
              <w:tc>
                <w:tcPr>
                  <w:tcW w:w="417" w:type="pct"/>
                  <w:vAlign w:val="center"/>
                </w:tcPr>
                <w:p>
                  <w:pPr>
                    <w:pStyle w:val="80"/>
                    <w:rPr>
                      <w:color w:val="000000"/>
                      <w:szCs w:val="21"/>
                    </w:rPr>
                  </w:pPr>
                  <w:r>
                    <w:rPr>
                      <w:color w:val="000000"/>
                      <w:szCs w:val="21"/>
                    </w:rPr>
                    <w:t>/</w:t>
                  </w:r>
                </w:p>
              </w:tc>
              <w:tc>
                <w:tcPr>
                  <w:tcW w:w="346" w:type="pct"/>
                  <w:vAlign w:val="center"/>
                </w:tcPr>
                <w:p>
                  <w:pPr>
                    <w:widowControl/>
                    <w:jc w:val="center"/>
                    <w:rPr>
                      <w:rStyle w:val="126"/>
                      <w:rFonts w:ascii="Times New Roman" w:hAnsi="Times New Roman"/>
                      <w:color w:val="000000"/>
                      <w:szCs w:val="21"/>
                    </w:rPr>
                  </w:pPr>
                  <w:r>
                    <w:rPr>
                      <w:rStyle w:val="126"/>
                      <w:rFonts w:hint="eastAsia" w:ascii="Times New Roman" w:hAnsi="Times New Roman"/>
                      <w:color w:val="000000"/>
                      <w:szCs w:val="21"/>
                    </w:rPr>
                    <w:t>0.007</w:t>
                  </w:r>
                </w:p>
              </w:tc>
              <w:tc>
                <w:tcPr>
                  <w:tcW w:w="317" w:type="pct"/>
                  <w:vAlign w:val="center"/>
                </w:tcPr>
                <w:p>
                  <w:pPr>
                    <w:widowControl/>
                    <w:jc w:val="center"/>
                    <w:rPr>
                      <w:rStyle w:val="126"/>
                      <w:rFonts w:ascii="Times New Roman" w:hAnsi="Times New Roman"/>
                      <w:color w:val="000000"/>
                      <w:szCs w:val="21"/>
                    </w:rPr>
                  </w:pPr>
                  <w:r>
                    <w:rPr>
                      <w:rFonts w:hint="eastAsia"/>
                      <w:color w:val="000000"/>
                      <w:szCs w:val="21"/>
                    </w:rPr>
                    <w:t>0.016</w:t>
                  </w:r>
                </w:p>
              </w:tc>
              <w:tc>
                <w:tcPr>
                  <w:tcW w:w="319" w:type="pct"/>
                  <w:vMerge w:val="continue"/>
                  <w:vAlign w:val="center"/>
                </w:tcPr>
                <w:p>
                  <w:pPr>
                    <w:pStyle w:val="80"/>
                    <w:rPr>
                      <w:color w:val="000000"/>
                      <w:szCs w:val="21"/>
                    </w:rPr>
                  </w:pPr>
                </w:p>
              </w:tc>
              <w:tc>
                <w:tcPr>
                  <w:tcW w:w="315" w:type="pct"/>
                  <w:vAlign w:val="center"/>
                </w:tcPr>
                <w:p>
                  <w:pPr>
                    <w:pStyle w:val="80"/>
                    <w:rPr>
                      <w:color w:val="000000"/>
                      <w:szCs w:val="21"/>
                    </w:rPr>
                  </w:pPr>
                  <w:r>
                    <w:rPr>
                      <w:color w:val="000000"/>
                      <w:szCs w:val="21"/>
                    </w:rPr>
                    <w:t>/</w:t>
                  </w:r>
                </w:p>
              </w:tc>
              <w:tc>
                <w:tcPr>
                  <w:tcW w:w="417" w:type="pct"/>
                  <w:vAlign w:val="center"/>
                </w:tcPr>
                <w:p>
                  <w:pPr>
                    <w:pStyle w:val="80"/>
                    <w:rPr>
                      <w:color w:val="000000"/>
                      <w:szCs w:val="21"/>
                    </w:rPr>
                  </w:pPr>
                  <w:r>
                    <w:rPr>
                      <w:color w:val="000000"/>
                      <w:szCs w:val="21"/>
                    </w:rPr>
                    <w:t>/</w:t>
                  </w:r>
                </w:p>
              </w:tc>
              <w:tc>
                <w:tcPr>
                  <w:tcW w:w="346" w:type="pct"/>
                  <w:vAlign w:val="center"/>
                </w:tcPr>
                <w:p>
                  <w:pPr>
                    <w:widowControl/>
                    <w:jc w:val="center"/>
                    <w:rPr>
                      <w:rStyle w:val="126"/>
                      <w:rFonts w:ascii="Times New Roman" w:hAnsi="Times New Roman"/>
                      <w:color w:val="000000"/>
                      <w:szCs w:val="21"/>
                    </w:rPr>
                  </w:pPr>
                  <w:r>
                    <w:rPr>
                      <w:rStyle w:val="126"/>
                      <w:rFonts w:hint="eastAsia" w:ascii="Times New Roman" w:hAnsi="Times New Roman"/>
                      <w:color w:val="000000"/>
                      <w:szCs w:val="21"/>
                    </w:rPr>
                    <w:t>0.007</w:t>
                  </w:r>
                </w:p>
              </w:tc>
              <w:tc>
                <w:tcPr>
                  <w:tcW w:w="303" w:type="pct"/>
                  <w:vAlign w:val="center"/>
                </w:tcPr>
                <w:p>
                  <w:pPr>
                    <w:widowControl/>
                    <w:jc w:val="center"/>
                    <w:rPr>
                      <w:rStyle w:val="126"/>
                      <w:rFonts w:ascii="Times New Roman" w:hAnsi="Times New Roman"/>
                      <w:color w:val="000000"/>
                      <w:szCs w:val="21"/>
                    </w:rPr>
                  </w:pPr>
                  <w:r>
                    <w:rPr>
                      <w:rFonts w:hint="eastAsia"/>
                      <w:color w:val="000000"/>
                      <w:szCs w:val="21"/>
                    </w:rPr>
                    <w:t>0.016</w:t>
                  </w:r>
                </w:p>
              </w:tc>
              <w:tc>
                <w:tcPr>
                  <w:tcW w:w="336" w:type="pct"/>
                  <w:vAlign w:val="center"/>
                </w:tcPr>
                <w:p>
                  <w:pPr>
                    <w:pStyle w:val="80"/>
                    <w:rPr>
                      <w:color w:val="000000"/>
                      <w:szCs w:val="21"/>
                    </w:rPr>
                  </w:pPr>
                  <w:r>
                    <w:rPr>
                      <w:color w:val="000000"/>
                      <w:szCs w:val="21"/>
                    </w:rPr>
                    <w:t>/</w:t>
                  </w:r>
                </w:p>
              </w:tc>
              <w:tc>
                <w:tcPr>
                  <w:tcW w:w="226" w:type="pct"/>
                  <w:vAlign w:val="center"/>
                </w:tcPr>
                <w:p>
                  <w:pPr>
                    <w:pStyle w:val="80"/>
                    <w:rPr>
                      <w:color w:val="000000"/>
                      <w:szCs w:val="21"/>
                    </w:rPr>
                  </w:pPr>
                  <w:r>
                    <w:rPr>
                      <w:color w:val="000000"/>
                      <w:szCs w:val="21"/>
                    </w:rPr>
                    <w:t>/</w:t>
                  </w:r>
                </w:p>
              </w:tc>
              <w:tc>
                <w:tcPr>
                  <w:tcW w:w="126" w:type="pct"/>
                  <w:vAlign w:val="center"/>
                </w:tcPr>
                <w:p>
                  <w:pPr>
                    <w:pStyle w:val="80"/>
                    <w:rPr>
                      <w:color w:val="000000"/>
                      <w:szCs w:val="21"/>
                    </w:rPr>
                  </w:pPr>
                  <w:r>
                    <w:rPr>
                      <w:color w:val="000000"/>
                      <w:szCs w:val="21"/>
                    </w:rPr>
                    <w:t>/</w:t>
                  </w:r>
                </w:p>
              </w:tc>
            </w:tr>
          </w:tbl>
          <w:p>
            <w:pPr>
              <w:pStyle w:val="78"/>
              <w:numPr>
                <w:ilvl w:val="0"/>
                <w:numId w:val="0"/>
              </w:numPr>
              <w:spacing w:before="120"/>
              <w:rPr>
                <w:color w:val="000000"/>
              </w:rPr>
            </w:pPr>
            <w:r>
              <w:rPr>
                <w:rFonts w:hint="eastAsia"/>
                <w:color w:val="000000"/>
              </w:rPr>
              <w:t>表</w:t>
            </w:r>
            <w:r>
              <w:rPr>
                <w:color w:val="000000"/>
              </w:rPr>
              <w:t>4.2</w:t>
            </w:r>
            <w:r>
              <w:rPr>
                <w:rFonts w:hint="eastAsia"/>
                <w:color w:val="000000"/>
              </w:rPr>
              <w:t xml:space="preserve">-5 </w:t>
            </w:r>
            <w:r>
              <w:rPr>
                <w:color w:val="000000"/>
              </w:rPr>
              <w:t>大气排放口基本情况</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660"/>
              <w:gridCol w:w="2017"/>
              <w:gridCol w:w="1163"/>
              <w:gridCol w:w="1303"/>
              <w:gridCol w:w="11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pPr>
                    <w:pStyle w:val="64"/>
                    <w:rPr>
                      <w:rStyle w:val="126"/>
                      <w:rFonts w:hint="eastAsia"/>
                      <w:color w:val="000000"/>
                    </w:rPr>
                  </w:pPr>
                  <w:r>
                    <w:rPr>
                      <w:rStyle w:val="126"/>
                      <w:rFonts w:hint="eastAsia"/>
                      <w:color w:val="000000"/>
                    </w:rPr>
                    <w:t>排气筒</w:t>
                  </w:r>
                  <w:r>
                    <w:rPr>
                      <w:rStyle w:val="126"/>
                      <w:color w:val="000000"/>
                    </w:rPr>
                    <w:t>编号</w:t>
                  </w:r>
                </w:p>
              </w:tc>
              <w:tc>
                <w:tcPr>
                  <w:tcW w:w="976" w:type="pct"/>
                  <w:vAlign w:val="center"/>
                </w:tcPr>
                <w:p>
                  <w:pPr>
                    <w:pStyle w:val="64"/>
                    <w:rPr>
                      <w:rStyle w:val="126"/>
                      <w:rFonts w:hint="eastAsia"/>
                      <w:color w:val="000000"/>
                    </w:rPr>
                  </w:pPr>
                  <w:r>
                    <w:rPr>
                      <w:rStyle w:val="126"/>
                      <w:color w:val="000000"/>
                    </w:rPr>
                    <w:t>排放口名称</w:t>
                  </w:r>
                </w:p>
              </w:tc>
              <w:tc>
                <w:tcPr>
                  <w:tcW w:w="1186" w:type="pct"/>
                  <w:vAlign w:val="center"/>
                </w:tcPr>
                <w:p>
                  <w:pPr>
                    <w:pStyle w:val="64"/>
                    <w:rPr>
                      <w:rStyle w:val="126"/>
                      <w:rFonts w:hint="eastAsia"/>
                      <w:color w:val="000000"/>
                    </w:rPr>
                  </w:pPr>
                  <w:r>
                    <w:rPr>
                      <w:rStyle w:val="126"/>
                      <w:color w:val="000000"/>
                    </w:rPr>
                    <w:t>污染物种类</w:t>
                  </w:r>
                </w:p>
              </w:tc>
              <w:tc>
                <w:tcPr>
                  <w:tcW w:w="684" w:type="pct"/>
                  <w:vAlign w:val="center"/>
                </w:tcPr>
                <w:p>
                  <w:pPr>
                    <w:pStyle w:val="64"/>
                    <w:rPr>
                      <w:rStyle w:val="126"/>
                      <w:rFonts w:hint="eastAsia"/>
                      <w:color w:val="000000"/>
                    </w:rPr>
                  </w:pPr>
                  <w:r>
                    <w:rPr>
                      <w:rStyle w:val="126"/>
                      <w:color w:val="000000"/>
                    </w:rPr>
                    <w:t>排气筒高度(m)</w:t>
                  </w:r>
                </w:p>
              </w:tc>
              <w:tc>
                <w:tcPr>
                  <w:tcW w:w="766" w:type="pct"/>
                  <w:vAlign w:val="center"/>
                </w:tcPr>
                <w:p>
                  <w:pPr>
                    <w:pStyle w:val="64"/>
                    <w:rPr>
                      <w:rStyle w:val="126"/>
                      <w:rFonts w:hint="eastAsia"/>
                      <w:color w:val="000000"/>
                    </w:rPr>
                  </w:pPr>
                  <w:r>
                    <w:rPr>
                      <w:rStyle w:val="126"/>
                      <w:color w:val="000000"/>
                    </w:rPr>
                    <w:t>排</w:t>
                  </w:r>
                  <w:r>
                    <w:rPr>
                      <w:rStyle w:val="126"/>
                      <w:color w:val="000000"/>
                    </w:rPr>
                    <w:cr/>
                  </w:r>
                  <w:r>
                    <w:rPr>
                      <w:rStyle w:val="126"/>
                      <w:color w:val="000000"/>
                    </w:rPr>
                    <w:t>筒出口内径(m)</w:t>
                  </w:r>
                </w:p>
              </w:tc>
              <w:tc>
                <w:tcPr>
                  <w:tcW w:w="677" w:type="pct"/>
                  <w:vAlign w:val="center"/>
                </w:tcPr>
                <w:p>
                  <w:pPr>
                    <w:pStyle w:val="64"/>
                    <w:rPr>
                      <w:rStyle w:val="126"/>
                      <w:rFonts w:hint="eastAsia"/>
                      <w:color w:val="000000"/>
                    </w:rPr>
                  </w:pPr>
                  <w:r>
                    <w:rPr>
                      <w:rStyle w:val="126"/>
                      <w:color w:val="000000"/>
                    </w:rPr>
                    <w:t>排气温度(℃)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pPr>
                    <w:pStyle w:val="71"/>
                    <w:rPr>
                      <w:color w:val="000000"/>
                    </w:rPr>
                  </w:pPr>
                  <w:r>
                    <w:rPr>
                      <w:color w:val="000000"/>
                    </w:rPr>
                    <w:t>P</w:t>
                  </w:r>
                  <w:r>
                    <w:rPr>
                      <w:rFonts w:hint="eastAsia"/>
                      <w:color w:val="000000"/>
                    </w:rPr>
                    <w:t>1</w:t>
                  </w:r>
                </w:p>
              </w:tc>
              <w:tc>
                <w:tcPr>
                  <w:tcW w:w="976" w:type="pct"/>
                  <w:vAlign w:val="center"/>
                </w:tcPr>
                <w:p>
                  <w:pPr>
                    <w:pStyle w:val="71"/>
                    <w:rPr>
                      <w:color w:val="000000"/>
                    </w:rPr>
                  </w:pPr>
                  <w:r>
                    <w:rPr>
                      <w:rFonts w:hint="eastAsia"/>
                      <w:color w:val="000000"/>
                    </w:rPr>
                    <w:t>造粒、打样</w:t>
                  </w:r>
                  <w:r>
                    <w:rPr>
                      <w:color w:val="000000"/>
                    </w:rPr>
                    <w:t>废气排放口</w:t>
                  </w:r>
                </w:p>
              </w:tc>
              <w:tc>
                <w:tcPr>
                  <w:tcW w:w="1186" w:type="pct"/>
                  <w:vAlign w:val="center"/>
                </w:tcPr>
                <w:p>
                  <w:pPr>
                    <w:pStyle w:val="71"/>
                    <w:rPr>
                      <w:color w:val="000000"/>
                    </w:rPr>
                  </w:pPr>
                  <w:r>
                    <w:rPr>
                      <w:color w:val="000000"/>
                    </w:rPr>
                    <w:t>非甲烷总烃</w:t>
                  </w:r>
                  <w:r>
                    <w:rPr>
                      <w:rFonts w:hint="eastAsia"/>
                      <w:color w:val="000000"/>
                    </w:rPr>
                    <w:t>、臭气浓度</w:t>
                  </w:r>
                </w:p>
              </w:tc>
              <w:tc>
                <w:tcPr>
                  <w:tcW w:w="684" w:type="pct"/>
                  <w:vAlign w:val="center"/>
                </w:tcPr>
                <w:p>
                  <w:pPr>
                    <w:pStyle w:val="64"/>
                    <w:rPr>
                      <w:rStyle w:val="126"/>
                      <w:rFonts w:ascii="Times New Roman" w:hAnsi="Times New Roman"/>
                      <w:color w:val="000000"/>
                    </w:rPr>
                  </w:pPr>
                  <w:r>
                    <w:rPr>
                      <w:rStyle w:val="126"/>
                      <w:rFonts w:ascii="Times New Roman" w:hAnsi="Times New Roman"/>
                      <w:color w:val="000000"/>
                    </w:rPr>
                    <w:t>15</w:t>
                  </w:r>
                </w:p>
              </w:tc>
              <w:tc>
                <w:tcPr>
                  <w:tcW w:w="766" w:type="pct"/>
                  <w:vAlign w:val="center"/>
                </w:tcPr>
                <w:p>
                  <w:pPr>
                    <w:pStyle w:val="64"/>
                    <w:rPr>
                      <w:rStyle w:val="126"/>
                      <w:rFonts w:ascii="Times New Roman" w:hAnsi="Times New Roman"/>
                      <w:color w:val="000000"/>
                    </w:rPr>
                  </w:pPr>
                  <w:r>
                    <w:rPr>
                      <w:rStyle w:val="126"/>
                      <w:rFonts w:ascii="Times New Roman" w:hAnsi="Times New Roman"/>
                      <w:color w:val="000000"/>
                    </w:rPr>
                    <w:t>0.</w:t>
                  </w:r>
                  <w:r>
                    <w:rPr>
                      <w:rStyle w:val="126"/>
                      <w:rFonts w:hint="eastAsia" w:ascii="Times New Roman" w:hAnsi="Times New Roman"/>
                      <w:color w:val="000000"/>
                    </w:rPr>
                    <w:t>8</w:t>
                  </w:r>
                </w:p>
              </w:tc>
              <w:tc>
                <w:tcPr>
                  <w:tcW w:w="677" w:type="pct"/>
                  <w:vAlign w:val="center"/>
                </w:tcPr>
                <w:p>
                  <w:pPr>
                    <w:pStyle w:val="64"/>
                    <w:rPr>
                      <w:rStyle w:val="126"/>
                      <w:rFonts w:ascii="Times New Roman" w:hAnsi="Times New Roman"/>
                      <w:color w:val="000000"/>
                    </w:rPr>
                  </w:pPr>
                  <w:r>
                    <w:rPr>
                      <w:rStyle w:val="126"/>
                      <w:rFonts w:ascii="Times New Roman" w:hAnsi="Times New Roman"/>
                      <w:color w:val="000000"/>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pPr>
                    <w:pStyle w:val="71"/>
                    <w:rPr>
                      <w:color w:val="000000"/>
                    </w:rPr>
                  </w:pPr>
                  <w:r>
                    <w:rPr>
                      <w:rFonts w:hint="eastAsia"/>
                      <w:color w:val="000000"/>
                    </w:rPr>
                    <w:t>P2</w:t>
                  </w:r>
                </w:p>
              </w:tc>
              <w:tc>
                <w:tcPr>
                  <w:tcW w:w="976" w:type="pct"/>
                  <w:vAlign w:val="center"/>
                </w:tcPr>
                <w:p>
                  <w:pPr>
                    <w:pStyle w:val="71"/>
                    <w:rPr>
                      <w:color w:val="000000"/>
                    </w:rPr>
                  </w:pPr>
                  <w:r>
                    <w:rPr>
                      <w:rFonts w:hint="eastAsia"/>
                      <w:color w:val="000000"/>
                    </w:rPr>
                    <w:t>投料废气排放口</w:t>
                  </w:r>
                </w:p>
              </w:tc>
              <w:tc>
                <w:tcPr>
                  <w:tcW w:w="1186" w:type="pct"/>
                  <w:vAlign w:val="center"/>
                </w:tcPr>
                <w:p>
                  <w:pPr>
                    <w:pStyle w:val="71"/>
                    <w:rPr>
                      <w:color w:val="000000"/>
                    </w:rPr>
                  </w:pPr>
                  <w:r>
                    <w:rPr>
                      <w:rFonts w:hint="eastAsia"/>
                      <w:color w:val="000000"/>
                    </w:rPr>
                    <w:t>颗粒物</w:t>
                  </w:r>
                </w:p>
              </w:tc>
              <w:tc>
                <w:tcPr>
                  <w:tcW w:w="684" w:type="pct"/>
                  <w:vAlign w:val="center"/>
                </w:tcPr>
                <w:p>
                  <w:pPr>
                    <w:pStyle w:val="64"/>
                    <w:rPr>
                      <w:rStyle w:val="126"/>
                      <w:rFonts w:ascii="Times New Roman" w:hAnsi="Times New Roman"/>
                      <w:color w:val="000000"/>
                    </w:rPr>
                  </w:pPr>
                  <w:r>
                    <w:rPr>
                      <w:rStyle w:val="126"/>
                      <w:rFonts w:ascii="Times New Roman" w:hAnsi="Times New Roman"/>
                      <w:color w:val="000000"/>
                    </w:rPr>
                    <w:t>15</w:t>
                  </w:r>
                </w:p>
              </w:tc>
              <w:tc>
                <w:tcPr>
                  <w:tcW w:w="766" w:type="pct"/>
                  <w:vAlign w:val="center"/>
                </w:tcPr>
                <w:p>
                  <w:pPr>
                    <w:pStyle w:val="64"/>
                    <w:rPr>
                      <w:rStyle w:val="126"/>
                      <w:rFonts w:ascii="Times New Roman" w:hAnsi="Times New Roman"/>
                      <w:color w:val="000000"/>
                    </w:rPr>
                  </w:pPr>
                  <w:r>
                    <w:rPr>
                      <w:rStyle w:val="126"/>
                      <w:rFonts w:hint="eastAsia" w:ascii="Times New Roman" w:hAnsi="Times New Roman"/>
                      <w:color w:val="000000"/>
                    </w:rPr>
                    <w:t>0.5</w:t>
                  </w:r>
                </w:p>
              </w:tc>
              <w:tc>
                <w:tcPr>
                  <w:tcW w:w="677" w:type="pct"/>
                  <w:vAlign w:val="center"/>
                </w:tcPr>
                <w:p>
                  <w:pPr>
                    <w:pStyle w:val="64"/>
                    <w:rPr>
                      <w:rStyle w:val="126"/>
                      <w:rFonts w:ascii="Times New Roman" w:hAnsi="Times New Roman"/>
                      <w:color w:val="000000"/>
                    </w:rPr>
                  </w:pPr>
                  <w:r>
                    <w:rPr>
                      <w:rStyle w:val="126"/>
                      <w:rFonts w:hint="eastAsia" w:ascii="Times New Roman" w:hAnsi="Times New Roman"/>
                      <w:color w:val="000000"/>
                    </w:rPr>
                    <w:t>25</w:t>
                  </w:r>
                </w:p>
              </w:tc>
            </w:tr>
          </w:tbl>
          <w:p>
            <w:pPr>
              <w:pStyle w:val="5"/>
              <w:spacing w:before="72" w:after="48"/>
              <w:rPr>
                <w:color w:val="000000"/>
                <w:lang w:val="en-US" w:eastAsia="zh-CN"/>
              </w:rPr>
            </w:pPr>
            <w:r>
              <w:rPr>
                <w:rFonts w:hint="eastAsia"/>
                <w:color w:val="000000"/>
                <w:lang w:val="en-US" w:eastAsia="zh-CN"/>
              </w:rPr>
              <w:t>4.2.1.2废气达标排放分析</w:t>
            </w:r>
          </w:p>
          <w:p>
            <w:pPr>
              <w:pStyle w:val="96"/>
              <w:ind w:firstLine="480"/>
              <w:rPr>
                <w:rFonts w:hint="eastAsia" w:cs="宋体"/>
                <w:color w:val="000000"/>
                <w:lang w:val="en-US" w:eastAsia="zh-CN"/>
              </w:rPr>
            </w:pPr>
            <w:r>
              <w:rPr>
                <w:rFonts w:hint="eastAsia" w:cs="宋体"/>
                <w:color w:val="000000"/>
                <w:lang w:val="en-US" w:eastAsia="zh-CN"/>
              </w:rPr>
              <w:t>根据表4.2-</w:t>
            </w:r>
            <w:r>
              <w:rPr>
                <w:rFonts w:cs="宋体"/>
                <w:color w:val="000000"/>
                <w:lang w:val="en-US" w:eastAsia="zh-CN"/>
              </w:rPr>
              <w:t>1</w:t>
            </w:r>
            <w:r>
              <w:rPr>
                <w:rFonts w:hint="eastAsia" w:cs="宋体"/>
                <w:color w:val="000000"/>
                <w:lang w:val="en-US" w:eastAsia="zh-CN"/>
              </w:rPr>
              <w:t>中对本项目新增大气污染物达标排放情况分析可知：</w:t>
            </w:r>
          </w:p>
          <w:p>
            <w:pPr>
              <w:spacing w:line="360" w:lineRule="auto"/>
              <w:ind w:firstLine="480" w:firstLineChars="200"/>
              <w:rPr>
                <w:color w:val="000000"/>
                <w:sz w:val="24"/>
              </w:rPr>
            </w:pPr>
            <w:r>
              <w:rPr>
                <w:color w:val="000000"/>
                <w:sz w:val="24"/>
              </w:rPr>
              <w:t>本项目P</w:t>
            </w:r>
            <w:r>
              <w:rPr>
                <w:rFonts w:hint="eastAsia"/>
                <w:color w:val="000000"/>
                <w:sz w:val="24"/>
              </w:rPr>
              <w:t>1</w:t>
            </w:r>
            <w:r>
              <w:rPr>
                <w:color w:val="000000"/>
                <w:sz w:val="24"/>
              </w:rPr>
              <w:t>排气筒（15m高）有组织排放的非甲烷总烃排放浓度符合《合成树脂工业污染物排放标准》（GB31572-2015）（含2024修改单）中表5大气污染物特别排放限值：非甲烷总烃有组织排放限值≤60mg/m</w:t>
            </w:r>
            <w:r>
              <w:rPr>
                <w:color w:val="000000"/>
                <w:sz w:val="24"/>
                <w:vertAlign w:val="superscript"/>
              </w:rPr>
              <w:t>3</w:t>
            </w:r>
            <w:r>
              <w:rPr>
                <w:rFonts w:hint="eastAsia"/>
                <w:color w:val="000000"/>
                <w:sz w:val="24"/>
              </w:rPr>
              <w:t>。臭气浓度符合</w:t>
            </w:r>
            <w:r>
              <w:rPr>
                <w:color w:val="000000"/>
                <w:sz w:val="24"/>
              </w:rPr>
              <w:t>《恶臭污染物排放标准》（GB14554-93）</w:t>
            </w:r>
            <w:r>
              <w:rPr>
                <w:rFonts w:hint="eastAsia"/>
                <w:color w:val="000000"/>
                <w:sz w:val="24"/>
              </w:rPr>
              <w:t>表2</w:t>
            </w:r>
            <w:r>
              <w:rPr>
                <w:color w:val="000000"/>
                <w:sz w:val="24"/>
              </w:rPr>
              <w:t>排放限值</w:t>
            </w:r>
            <w:r>
              <w:rPr>
                <w:rFonts w:hint="eastAsia"/>
                <w:color w:val="000000"/>
                <w:sz w:val="24"/>
              </w:rPr>
              <w:t>：臭气浓度</w:t>
            </w:r>
            <w:r>
              <w:rPr>
                <w:color w:val="000000"/>
                <w:sz w:val="24"/>
              </w:rPr>
              <w:t>≤</w:t>
            </w:r>
            <w:r>
              <w:rPr>
                <w:rFonts w:hint="eastAsia"/>
                <w:color w:val="000000"/>
                <w:sz w:val="24"/>
              </w:rPr>
              <w:t>2000（无量纲）</w:t>
            </w:r>
            <w:r>
              <w:rPr>
                <w:color w:val="000000"/>
                <w:sz w:val="24"/>
              </w:rPr>
              <w:t>，详见表</w:t>
            </w:r>
            <w:r>
              <w:rPr>
                <w:rFonts w:hint="eastAsia"/>
                <w:color w:val="000000"/>
                <w:sz w:val="24"/>
              </w:rPr>
              <w:t>3.3-3。</w:t>
            </w:r>
          </w:p>
          <w:p>
            <w:pPr>
              <w:spacing w:line="360" w:lineRule="auto"/>
              <w:ind w:firstLine="480" w:firstLineChars="200"/>
              <w:rPr>
                <w:color w:val="000000"/>
                <w:sz w:val="24"/>
              </w:rPr>
            </w:pPr>
            <w:r>
              <w:rPr>
                <w:color w:val="000000"/>
                <w:sz w:val="24"/>
              </w:rPr>
              <w:t>本项目P</w:t>
            </w:r>
            <w:r>
              <w:rPr>
                <w:rFonts w:hint="eastAsia"/>
                <w:color w:val="000000"/>
                <w:sz w:val="24"/>
              </w:rPr>
              <w:t>2</w:t>
            </w:r>
            <w:r>
              <w:rPr>
                <w:color w:val="000000"/>
                <w:sz w:val="24"/>
              </w:rPr>
              <w:t>排气筒（15m高）有组织排放的</w:t>
            </w:r>
            <w:r>
              <w:rPr>
                <w:rFonts w:hint="eastAsia"/>
                <w:color w:val="000000"/>
                <w:sz w:val="24"/>
              </w:rPr>
              <w:t>颗粒物</w:t>
            </w:r>
            <w:r>
              <w:rPr>
                <w:color w:val="000000"/>
                <w:sz w:val="24"/>
              </w:rPr>
              <w:t>排放浓度符合《合成树脂工业污染物排放标准》（GB31572-2015）（含2024修改单）中表5大气污染物特别排放限值：非甲烷总烃有组织排放限值≤</w:t>
            </w:r>
            <w:r>
              <w:rPr>
                <w:rFonts w:hint="eastAsia"/>
                <w:color w:val="000000"/>
                <w:sz w:val="24"/>
              </w:rPr>
              <w:t>2</w:t>
            </w:r>
            <w:r>
              <w:rPr>
                <w:color w:val="000000"/>
                <w:sz w:val="24"/>
              </w:rPr>
              <w:t>0mg/m</w:t>
            </w:r>
            <w:r>
              <w:rPr>
                <w:color w:val="000000"/>
                <w:sz w:val="24"/>
                <w:vertAlign w:val="superscript"/>
              </w:rPr>
              <w:t>3</w:t>
            </w:r>
            <w:r>
              <w:rPr>
                <w:rFonts w:hint="eastAsia"/>
                <w:color w:val="000000"/>
                <w:sz w:val="24"/>
              </w:rPr>
              <w:t>。</w:t>
            </w:r>
          </w:p>
          <w:p>
            <w:pPr>
              <w:spacing w:line="360" w:lineRule="auto"/>
              <w:ind w:firstLine="480" w:firstLineChars="200"/>
              <w:rPr>
                <w:color w:val="000000"/>
                <w:sz w:val="24"/>
              </w:rPr>
            </w:pPr>
            <w:r>
              <w:rPr>
                <w:rFonts w:hint="eastAsia"/>
                <w:color w:val="000000"/>
                <w:sz w:val="24"/>
              </w:rPr>
              <w:t>项目厂界无组织颗粒物、非甲烷总烃排放浓度能达到</w:t>
            </w:r>
            <w:r>
              <w:rPr>
                <w:color w:val="000000"/>
                <w:sz w:val="24"/>
              </w:rPr>
              <w:t>《合成树脂工业污染物排放标准》（GB31572-2015）（含2024修改单）中表</w:t>
            </w:r>
            <w:r>
              <w:rPr>
                <w:rFonts w:hint="eastAsia"/>
                <w:color w:val="000000"/>
                <w:sz w:val="24"/>
              </w:rPr>
              <w:t>9</w:t>
            </w:r>
            <w:r>
              <w:rPr>
                <w:color w:val="000000"/>
                <w:sz w:val="24"/>
              </w:rPr>
              <w:t>大气污染物特别排放限值</w:t>
            </w:r>
            <w:r>
              <w:rPr>
                <w:rFonts w:hint="eastAsia"/>
                <w:color w:val="000000"/>
                <w:sz w:val="24"/>
              </w:rPr>
              <w:t>；项目厂区内非甲烷总烃能达到《</w:t>
            </w:r>
            <w:r>
              <w:rPr>
                <w:color w:val="000000"/>
                <w:sz w:val="24"/>
              </w:rPr>
              <w:t>挥发性有机物无组织排放控制标准》</w:t>
            </w:r>
            <w:r>
              <w:rPr>
                <w:rFonts w:hint="eastAsia"/>
                <w:color w:val="000000"/>
                <w:sz w:val="24"/>
              </w:rPr>
              <w:t>(</w:t>
            </w:r>
            <w:r>
              <w:rPr>
                <w:color w:val="000000"/>
                <w:sz w:val="24"/>
              </w:rPr>
              <w:t>GB37822-2019</w:t>
            </w:r>
            <w:r>
              <w:rPr>
                <w:rFonts w:hint="eastAsia"/>
                <w:color w:val="000000"/>
                <w:sz w:val="24"/>
              </w:rPr>
              <w:t>)</w:t>
            </w:r>
            <w:r>
              <w:rPr>
                <w:color w:val="000000"/>
                <w:sz w:val="24"/>
              </w:rPr>
              <w:t>中附录A表A.1标准限值</w:t>
            </w:r>
            <w:r>
              <w:rPr>
                <w:rFonts w:hint="eastAsia"/>
                <w:color w:val="000000"/>
                <w:sz w:val="24"/>
              </w:rPr>
              <w:t>；臭气浓度能达到</w:t>
            </w:r>
            <w:r>
              <w:rPr>
                <w:color w:val="000000"/>
                <w:sz w:val="24"/>
              </w:rPr>
              <w:t>《恶臭污染物排放标准》（GB14554-93）</w:t>
            </w:r>
            <w:r>
              <w:rPr>
                <w:rFonts w:hint="eastAsia"/>
                <w:color w:val="000000"/>
                <w:sz w:val="24"/>
              </w:rPr>
              <w:t>表1二级新改扩建</w:t>
            </w:r>
            <w:r>
              <w:rPr>
                <w:color w:val="000000"/>
                <w:sz w:val="24"/>
              </w:rPr>
              <w:t>限值</w:t>
            </w:r>
            <w:r>
              <w:rPr>
                <w:rFonts w:hint="eastAsia"/>
                <w:color w:val="000000"/>
                <w:sz w:val="24"/>
              </w:rPr>
              <w:t>：臭气浓度</w:t>
            </w:r>
            <w:r>
              <w:rPr>
                <w:color w:val="000000"/>
                <w:sz w:val="24"/>
              </w:rPr>
              <w:t>≤</w:t>
            </w:r>
            <w:r>
              <w:rPr>
                <w:rFonts w:hint="eastAsia"/>
                <w:color w:val="000000"/>
                <w:sz w:val="24"/>
              </w:rPr>
              <w:t>20（无量纲）。</w:t>
            </w:r>
          </w:p>
          <w:p>
            <w:pPr>
              <w:spacing w:line="360" w:lineRule="auto"/>
              <w:ind w:firstLine="482"/>
              <w:rPr>
                <w:rFonts w:hint="eastAsia" w:ascii="TimesNewRoman" w:hAnsi="TimesNewRoman" w:cs="宋体"/>
                <w:color w:val="000000"/>
                <w:kern w:val="0"/>
                <w:sz w:val="24"/>
                <w:szCs w:val="20"/>
              </w:rPr>
            </w:pPr>
            <w:r>
              <w:rPr>
                <w:rFonts w:hint="eastAsia"/>
                <w:color w:val="000000"/>
                <w:sz w:val="24"/>
              </w:rPr>
              <w:t>综上所述，</w:t>
            </w:r>
            <w:r>
              <w:rPr>
                <w:color w:val="000000"/>
                <w:sz w:val="24"/>
              </w:rPr>
              <w:t>在废气处理设施正常运行情况下，本项目产生的废气可实现达标</w:t>
            </w:r>
            <w:r>
              <w:rPr>
                <w:rFonts w:ascii="TimesNewRoman" w:hAnsi="TimesNewRoman" w:cs="宋体"/>
                <w:color w:val="000000"/>
                <w:kern w:val="0"/>
                <w:sz w:val="24"/>
                <w:szCs w:val="20"/>
              </w:rPr>
              <w:t>排放</w:t>
            </w:r>
            <w:r>
              <w:rPr>
                <w:rFonts w:hint="eastAsia" w:ascii="TimesNewRoman" w:hAnsi="TimesNewRoman" w:cs="宋体"/>
                <w:color w:val="000000"/>
                <w:kern w:val="0"/>
                <w:sz w:val="24"/>
                <w:szCs w:val="20"/>
              </w:rPr>
              <w:t>；</w:t>
            </w:r>
            <w:r>
              <w:rPr>
                <w:rFonts w:ascii="TimesNewRoman" w:hAnsi="TimesNewRoman" w:cs="宋体"/>
                <w:color w:val="000000"/>
                <w:kern w:val="0"/>
                <w:sz w:val="24"/>
                <w:szCs w:val="20"/>
              </w:rPr>
              <w:t>本项目所在区域环境空气质量现状符合二类功能区要求，本工程正常排放废气对环境影响可以接受</w:t>
            </w:r>
            <w:r>
              <w:rPr>
                <w:rFonts w:hint="eastAsia" w:ascii="TimesNewRoman" w:hAnsi="TimesNewRoman" w:cs="宋体"/>
                <w:color w:val="000000"/>
                <w:kern w:val="0"/>
                <w:sz w:val="24"/>
                <w:szCs w:val="20"/>
              </w:rPr>
              <w:t>；</w:t>
            </w:r>
            <w:r>
              <w:rPr>
                <w:rFonts w:ascii="TimesNewRoman" w:hAnsi="TimesNewRoman" w:cs="宋体"/>
                <w:color w:val="000000"/>
                <w:kern w:val="0"/>
                <w:sz w:val="24"/>
                <w:szCs w:val="20"/>
              </w:rPr>
              <w:t>建设单位应落实本评价提出的大气污染防治措施，加强环保设施运行管理，避免事故排放发生后，从环境空气影响角度分析，本项目建设是可行的。</w:t>
            </w:r>
          </w:p>
          <w:p>
            <w:pPr>
              <w:pStyle w:val="5"/>
              <w:spacing w:before="72" w:after="48"/>
              <w:rPr>
                <w:color w:val="000000"/>
                <w:lang w:val="en-US" w:eastAsia="zh-CN"/>
              </w:rPr>
            </w:pPr>
            <w:r>
              <w:rPr>
                <w:rFonts w:hint="eastAsia"/>
                <w:color w:val="000000"/>
                <w:lang w:val="en-US" w:eastAsia="zh-CN"/>
              </w:rPr>
              <w:t>4.2.1.3废气治理措施可行性分析</w:t>
            </w:r>
          </w:p>
          <w:p>
            <w:pPr>
              <w:pStyle w:val="31"/>
              <w:ind w:firstLine="480"/>
              <w:jc w:val="left"/>
              <w:rPr>
                <w:color w:val="000000"/>
                <w:sz w:val="24"/>
              </w:rPr>
            </w:pPr>
            <w:r>
              <w:rPr>
                <w:rFonts w:hint="eastAsia"/>
                <w:color w:val="000000"/>
                <w:sz w:val="24"/>
              </w:rPr>
              <w:t>本项目共新增2个排气筒，P1造粒、打样废气排气筒。废气治理方案见图4.</w:t>
            </w:r>
            <w:r>
              <w:rPr>
                <w:color w:val="000000"/>
                <w:sz w:val="24"/>
              </w:rPr>
              <w:t>2-</w:t>
            </w:r>
            <w:r>
              <w:rPr>
                <w:rFonts w:hint="eastAsia"/>
                <w:color w:val="000000"/>
                <w:sz w:val="24"/>
              </w:rPr>
              <w:t>1。</w:t>
            </w:r>
          </w:p>
          <w:p>
            <w:pPr>
              <w:pStyle w:val="31"/>
              <w:ind w:firstLine="400"/>
              <w:jc w:val="left"/>
              <w:rPr>
                <w:color w:val="000000"/>
                <w:sz w:val="24"/>
              </w:rPr>
            </w:pPr>
            <w:r>
              <mc:AlternateContent>
                <mc:Choice Requires="wps">
                  <w:drawing>
                    <wp:anchor distT="0" distB="0" distL="114300" distR="114300" simplePos="0" relativeHeight="251662336" behindDoc="0" locked="0" layoutInCell="1" allowOverlap="1">
                      <wp:simplePos x="0" y="0"/>
                      <wp:positionH relativeFrom="column">
                        <wp:posOffset>1092835</wp:posOffset>
                      </wp:positionH>
                      <wp:positionV relativeFrom="paragraph">
                        <wp:posOffset>207010</wp:posOffset>
                      </wp:positionV>
                      <wp:extent cx="3585210" cy="536575"/>
                      <wp:effectExtent l="0" t="0" r="0" b="0"/>
                      <wp:wrapNone/>
                      <wp:docPr id="1493073910" name="矩形 168"/>
                      <wp:cNvGraphicFramePr/>
                      <a:graphic xmlns:a="http://schemas.openxmlformats.org/drawingml/2006/main">
                        <a:graphicData uri="http://schemas.microsoft.com/office/word/2010/wordprocessingShape">
                          <wps:wsp>
                            <wps:cNvSpPr/>
                            <wps:spPr>
                              <a:xfrm>
                                <a:off x="0" y="0"/>
                                <a:ext cx="3585210" cy="536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68" o:spid="_x0000_s1026" o:spt="1" style="position:absolute;left:0pt;margin-left:86.05pt;margin-top:16.3pt;height:42.25pt;width:282.3pt;z-index:251662336;v-text-anchor:middle;mso-width-relative:page;mso-height-relative:page;" filled="f" stroked="t" coordsize="21600,21600" o:gfxdata="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Kt4LI9cAAAAKAQAADwAAAAAAAAAB&#10;ACAAAAAiAAAAZHJzL2Rvd25yZXYueG1sUEsBAhQAFAAAAAgAh07iQIKW1BqDAgAA+AQAAA4AAAAA&#10;AAAAAQAgAAAAJgEAAGRycy9lMm9Eb2MueG1sUEsFBgAAAAAGAAYAWQEAABsGAAAAAA==&#10;">
                      <v:fill on="f" focussize="0,0"/>
                      <v:stroke weight="1pt" color="#000000" miterlimit="8" joinstyle="miter"/>
                      <v:imagedata o:title=""/>
                      <o:lock v:ext="edit" aspectratio="f"/>
                    </v:rect>
                  </w:pict>
                </mc:Fallback>
              </mc:AlternateContent>
            </w:r>
          </w:p>
          <w:p>
            <w:pPr>
              <w:pStyle w:val="31"/>
              <w:ind w:firstLine="420"/>
              <w:jc w:val="center"/>
              <w:rPr>
                <w:color w:val="000000"/>
                <w:kern w:val="2"/>
                <w:sz w:val="21"/>
                <w:szCs w:val="24"/>
              </w:rPr>
            </w:pPr>
            <w:r>
              <w:rPr>
                <w:rFonts w:hint="eastAsia"/>
                <w:color w:val="000000"/>
                <w:kern w:val="2"/>
                <w:sz w:val="21"/>
                <w:szCs w:val="24"/>
              </w:rPr>
              <w:t>注塑</w:t>
            </w:r>
            <w:r>
              <w:rPr>
                <w:color w:val="000000"/>
                <w:kern w:val="2"/>
                <w:sz w:val="21"/>
                <w:szCs w:val="24"/>
              </w:rPr>
              <w:t>废气→ 集气罩 →活性炭装置 →15m排气筒</w:t>
            </w:r>
            <w:r>
              <w:rPr>
                <w:rFonts w:hint="eastAsia"/>
                <w:color w:val="000000"/>
                <w:kern w:val="2"/>
                <w:sz w:val="21"/>
                <w:szCs w:val="24"/>
              </w:rPr>
              <w:t>P1</w:t>
            </w:r>
          </w:p>
          <w:p>
            <w:pPr>
              <w:pStyle w:val="31"/>
              <w:ind w:firstLine="420"/>
              <w:jc w:val="center"/>
              <w:rPr>
                <w:color w:val="000000"/>
                <w:kern w:val="2"/>
                <w:sz w:val="21"/>
                <w:szCs w:val="24"/>
              </w:rPr>
            </w:pPr>
            <w:r>
              <w:rPr>
                <w:rFonts w:hint="eastAsia"/>
                <w:color w:val="000000"/>
                <w:kern w:val="2"/>
                <w:sz w:val="21"/>
                <w:szCs w:val="24"/>
              </w:rPr>
              <w:t>投料</w:t>
            </w:r>
            <w:r>
              <w:rPr>
                <w:color w:val="000000"/>
                <w:kern w:val="2"/>
                <w:sz w:val="21"/>
                <w:szCs w:val="24"/>
              </w:rPr>
              <w:t>废气→ 集气罩 →</w:t>
            </w:r>
            <w:r>
              <w:rPr>
                <w:rFonts w:hint="eastAsia"/>
                <w:color w:val="000000"/>
                <w:kern w:val="2"/>
                <w:sz w:val="21"/>
                <w:szCs w:val="24"/>
              </w:rPr>
              <w:t>布袋除尘</w:t>
            </w:r>
            <w:r>
              <w:rPr>
                <w:color w:val="000000"/>
                <w:kern w:val="2"/>
                <w:sz w:val="21"/>
                <w:szCs w:val="24"/>
              </w:rPr>
              <w:t xml:space="preserve"> →15m排气筒</w:t>
            </w:r>
            <w:r>
              <w:rPr>
                <w:rFonts w:hint="eastAsia"/>
                <w:color w:val="000000"/>
                <w:kern w:val="2"/>
                <w:sz w:val="21"/>
                <w:szCs w:val="24"/>
              </w:rPr>
              <w:t>P2</w:t>
            </w:r>
          </w:p>
          <w:p>
            <w:pPr>
              <w:pStyle w:val="33"/>
              <w:spacing w:before="60"/>
              <w:rPr>
                <w:color w:val="000000"/>
                <w:lang w:val="en-US" w:eastAsia="zh-CN"/>
              </w:rPr>
            </w:pPr>
            <w:r>
              <w:rPr>
                <w:rFonts w:hint="eastAsia"/>
                <w:color w:val="000000"/>
                <w:lang w:val="en-US" w:eastAsia="zh-CN"/>
              </w:rPr>
              <w:t>图4.2-1废气处理流程图</w:t>
            </w:r>
          </w:p>
          <w:p>
            <w:pPr>
              <w:spacing w:line="360" w:lineRule="auto"/>
              <w:ind w:firstLine="480" w:firstLineChars="200"/>
              <w:rPr>
                <w:color w:val="000000"/>
                <w:sz w:val="24"/>
              </w:rPr>
            </w:pPr>
            <w:r>
              <w:rPr>
                <w:color w:val="000000"/>
                <w:sz w:val="24"/>
              </w:rPr>
              <w:t>根据《排污许可证申请与核发技术规范 橡胶和塑料制品工业》（HJ1122-2020）附录A塑料制品工业排污单位废气污染防治可行技术参考表</w:t>
            </w:r>
            <w:r>
              <w:rPr>
                <w:bCs/>
                <w:color w:val="000000"/>
                <w:kern w:val="28"/>
                <w:sz w:val="24"/>
              </w:rPr>
              <w:t>对本项目涉及相关废气的治理措施要求</w:t>
            </w:r>
            <w:r>
              <w:rPr>
                <w:rFonts w:hint="eastAsia"/>
                <w:bCs/>
                <w:color w:val="000000"/>
                <w:kern w:val="28"/>
                <w:sz w:val="24"/>
              </w:rPr>
              <w:t>，</w:t>
            </w:r>
            <w:r>
              <w:rPr>
                <w:bCs/>
                <w:color w:val="000000"/>
                <w:kern w:val="28"/>
                <w:sz w:val="24"/>
              </w:rPr>
              <w:t>如表4.2</w:t>
            </w:r>
            <w:r>
              <w:rPr>
                <w:rFonts w:hint="eastAsia"/>
                <w:bCs/>
                <w:color w:val="000000"/>
                <w:kern w:val="28"/>
                <w:sz w:val="24"/>
              </w:rPr>
              <w:t>-11</w:t>
            </w:r>
            <w:r>
              <w:rPr>
                <w:bCs/>
                <w:color w:val="000000"/>
                <w:kern w:val="28"/>
                <w:sz w:val="24"/>
              </w:rPr>
              <w:t>所示如</w:t>
            </w:r>
            <w:r>
              <w:rPr>
                <w:rFonts w:hint="eastAsia"/>
                <w:bCs/>
                <w:color w:val="000000"/>
                <w:kern w:val="28"/>
                <w:sz w:val="24"/>
              </w:rPr>
              <w:t>所</w:t>
            </w:r>
            <w:r>
              <w:rPr>
                <w:bCs/>
                <w:color w:val="000000"/>
                <w:kern w:val="28"/>
                <w:sz w:val="24"/>
              </w:rPr>
              <w:t>示。</w:t>
            </w:r>
          </w:p>
          <w:p>
            <w:pPr>
              <w:spacing w:line="360" w:lineRule="auto"/>
              <w:jc w:val="center"/>
              <w:rPr>
                <w:b/>
                <w:bCs/>
                <w:color w:val="000000"/>
                <w:shd w:val="clear" w:color="auto" w:fill="FFFFFF"/>
              </w:rPr>
            </w:pPr>
            <w:r>
              <w:rPr>
                <w:b/>
                <w:bCs/>
                <w:color w:val="000000"/>
                <w:shd w:val="clear" w:color="auto" w:fill="FFFFFF"/>
              </w:rPr>
              <w:t>表4.2</w:t>
            </w:r>
            <w:r>
              <w:rPr>
                <w:rFonts w:hint="eastAsia"/>
                <w:b/>
                <w:bCs/>
                <w:color w:val="000000"/>
                <w:shd w:val="clear" w:color="auto" w:fill="FFFFFF"/>
              </w:rPr>
              <w:t>-11</w:t>
            </w:r>
            <w:r>
              <w:rPr>
                <w:b/>
                <w:bCs/>
                <w:color w:val="000000"/>
                <w:shd w:val="clear" w:color="auto" w:fill="FFFFFF"/>
              </w:rPr>
              <w:t>与排污单位废气可行技术比较分析</w:t>
            </w:r>
          </w:p>
          <w:tbl>
            <w:tblPr>
              <w:tblStyle w:val="20"/>
              <w:tblW w:w="4984"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234"/>
              <w:gridCol w:w="2105"/>
              <w:gridCol w:w="1444"/>
              <w:gridCol w:w="1699"/>
              <w:gridCol w:w="101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tcBorders>
                    <w:tl2br w:val="nil"/>
                    <w:tr2bl w:val="nil"/>
                  </w:tcBorders>
                  <w:vAlign w:val="center"/>
                </w:tcPr>
                <w:p>
                  <w:pPr>
                    <w:widowControl/>
                    <w:jc w:val="center"/>
                    <w:rPr>
                      <w:b/>
                      <w:color w:val="000000"/>
                      <w:kern w:val="0"/>
                      <w:szCs w:val="21"/>
                    </w:rPr>
                  </w:pPr>
                  <w:r>
                    <w:rPr>
                      <w:b/>
                      <w:color w:val="000000"/>
                      <w:kern w:val="0"/>
                      <w:szCs w:val="21"/>
                    </w:rPr>
                    <w:t>产污环节</w:t>
                  </w:r>
                </w:p>
              </w:tc>
              <w:tc>
                <w:tcPr>
                  <w:tcW w:w="728" w:type="pct"/>
                  <w:tcBorders>
                    <w:tl2br w:val="nil"/>
                    <w:tr2bl w:val="nil"/>
                  </w:tcBorders>
                  <w:vAlign w:val="center"/>
                </w:tcPr>
                <w:p>
                  <w:pPr>
                    <w:widowControl/>
                    <w:jc w:val="center"/>
                    <w:rPr>
                      <w:b/>
                      <w:color w:val="000000"/>
                      <w:kern w:val="0"/>
                      <w:szCs w:val="21"/>
                    </w:rPr>
                  </w:pPr>
                  <w:r>
                    <w:rPr>
                      <w:b/>
                      <w:color w:val="000000"/>
                      <w:kern w:val="0"/>
                      <w:szCs w:val="21"/>
                    </w:rPr>
                    <w:t>主要污染物项目</w:t>
                  </w:r>
                </w:p>
              </w:tc>
              <w:tc>
                <w:tcPr>
                  <w:tcW w:w="1242" w:type="pct"/>
                  <w:tcBorders>
                    <w:tl2br w:val="nil"/>
                    <w:tr2bl w:val="nil"/>
                  </w:tcBorders>
                  <w:vAlign w:val="center"/>
                </w:tcPr>
                <w:p>
                  <w:pPr>
                    <w:widowControl/>
                    <w:jc w:val="center"/>
                    <w:rPr>
                      <w:b/>
                      <w:color w:val="000000"/>
                      <w:kern w:val="0"/>
                      <w:szCs w:val="21"/>
                    </w:rPr>
                  </w:pPr>
                  <w:r>
                    <w:rPr>
                      <w:b/>
                      <w:color w:val="000000"/>
                      <w:kern w:val="0"/>
                      <w:szCs w:val="21"/>
                    </w:rPr>
                    <w:t>可行技术</w:t>
                  </w:r>
                </w:p>
              </w:tc>
              <w:tc>
                <w:tcPr>
                  <w:tcW w:w="852" w:type="pct"/>
                  <w:tcBorders>
                    <w:tl2br w:val="nil"/>
                    <w:tr2bl w:val="nil"/>
                  </w:tcBorders>
                  <w:vAlign w:val="center"/>
                </w:tcPr>
                <w:p>
                  <w:pPr>
                    <w:widowControl/>
                    <w:jc w:val="center"/>
                    <w:rPr>
                      <w:b/>
                      <w:color w:val="000000"/>
                      <w:kern w:val="0"/>
                      <w:szCs w:val="21"/>
                    </w:rPr>
                  </w:pPr>
                  <w:r>
                    <w:rPr>
                      <w:b/>
                      <w:color w:val="000000"/>
                      <w:kern w:val="0"/>
                      <w:szCs w:val="21"/>
                    </w:rPr>
                    <w:t>本项目涉及工序</w:t>
                  </w:r>
                </w:p>
              </w:tc>
              <w:tc>
                <w:tcPr>
                  <w:tcW w:w="1002" w:type="pct"/>
                  <w:tcBorders>
                    <w:tl2br w:val="nil"/>
                    <w:tr2bl w:val="nil"/>
                  </w:tcBorders>
                  <w:vAlign w:val="center"/>
                </w:tcPr>
                <w:p>
                  <w:pPr>
                    <w:widowControl/>
                    <w:jc w:val="center"/>
                    <w:rPr>
                      <w:b/>
                      <w:color w:val="000000"/>
                      <w:kern w:val="0"/>
                      <w:szCs w:val="21"/>
                    </w:rPr>
                  </w:pPr>
                  <w:r>
                    <w:rPr>
                      <w:b/>
                      <w:color w:val="000000"/>
                      <w:kern w:val="0"/>
                      <w:szCs w:val="21"/>
                    </w:rPr>
                    <w:t>本项目采取治理技术</w:t>
                  </w:r>
                </w:p>
              </w:tc>
              <w:tc>
                <w:tcPr>
                  <w:tcW w:w="597" w:type="pct"/>
                  <w:tcBorders>
                    <w:tl2br w:val="nil"/>
                    <w:tr2bl w:val="nil"/>
                  </w:tcBorders>
                  <w:vAlign w:val="center"/>
                </w:tcPr>
                <w:p>
                  <w:pPr>
                    <w:widowControl/>
                    <w:jc w:val="center"/>
                    <w:rPr>
                      <w:b/>
                      <w:color w:val="000000"/>
                      <w:kern w:val="0"/>
                      <w:szCs w:val="21"/>
                    </w:rPr>
                  </w:pPr>
                  <w:r>
                    <w:rPr>
                      <w:b/>
                      <w:color w:val="000000"/>
                      <w:kern w:val="0"/>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restart"/>
                  <w:tcBorders>
                    <w:tl2br w:val="nil"/>
                    <w:tr2bl w:val="nil"/>
                  </w:tcBorders>
                  <w:vAlign w:val="center"/>
                </w:tcPr>
                <w:p>
                  <w:pPr>
                    <w:pStyle w:val="123"/>
                    <w:adjustRightInd w:val="0"/>
                    <w:snapToGrid w:val="0"/>
                    <w:jc w:val="center"/>
                    <w:rPr>
                      <w:color w:val="000000"/>
                      <w:kern w:val="0"/>
                      <w:sz w:val="21"/>
                    </w:rPr>
                  </w:pPr>
                  <w:r>
                    <w:rPr>
                      <w:color w:val="000000"/>
                      <w:kern w:val="0"/>
                      <w:sz w:val="21"/>
                    </w:rPr>
                    <w:t>塑料零件及其他塑料制品制造废气</w:t>
                  </w:r>
                </w:p>
              </w:tc>
              <w:tc>
                <w:tcPr>
                  <w:tcW w:w="728" w:type="pct"/>
                  <w:tcBorders>
                    <w:tl2br w:val="nil"/>
                    <w:tr2bl w:val="nil"/>
                  </w:tcBorders>
                  <w:vAlign w:val="center"/>
                </w:tcPr>
                <w:p>
                  <w:pPr>
                    <w:pStyle w:val="123"/>
                    <w:adjustRightInd w:val="0"/>
                    <w:snapToGrid w:val="0"/>
                    <w:jc w:val="center"/>
                    <w:rPr>
                      <w:color w:val="000000"/>
                      <w:kern w:val="0"/>
                      <w:sz w:val="21"/>
                    </w:rPr>
                  </w:pPr>
                  <w:r>
                    <w:rPr>
                      <w:color w:val="000000"/>
                      <w:kern w:val="0"/>
                      <w:sz w:val="21"/>
                    </w:rPr>
                    <w:t>挥发性有机物</w:t>
                  </w:r>
                </w:p>
              </w:tc>
              <w:tc>
                <w:tcPr>
                  <w:tcW w:w="1242" w:type="pct"/>
                  <w:tcBorders>
                    <w:tl2br w:val="nil"/>
                    <w:tr2bl w:val="nil"/>
                  </w:tcBorders>
                  <w:vAlign w:val="center"/>
                </w:tcPr>
                <w:p>
                  <w:pPr>
                    <w:pStyle w:val="123"/>
                    <w:adjustRightInd w:val="0"/>
                    <w:snapToGrid w:val="0"/>
                    <w:jc w:val="center"/>
                    <w:rPr>
                      <w:color w:val="000000"/>
                      <w:kern w:val="0"/>
                      <w:sz w:val="21"/>
                    </w:rPr>
                  </w:pPr>
                  <w:r>
                    <w:rPr>
                      <w:color w:val="000000"/>
                      <w:kern w:val="0"/>
                      <w:sz w:val="21"/>
                    </w:rPr>
                    <w:t>喷淋；吸附；吸附浓缩+热力燃烧/催化燃烧</w:t>
                  </w:r>
                </w:p>
              </w:tc>
              <w:tc>
                <w:tcPr>
                  <w:tcW w:w="852" w:type="pct"/>
                  <w:tcBorders>
                    <w:tl2br w:val="nil"/>
                    <w:tr2bl w:val="nil"/>
                  </w:tcBorders>
                  <w:vAlign w:val="center"/>
                </w:tcPr>
                <w:p>
                  <w:pPr>
                    <w:pStyle w:val="123"/>
                    <w:adjustRightInd w:val="0"/>
                    <w:snapToGrid w:val="0"/>
                    <w:jc w:val="center"/>
                    <w:rPr>
                      <w:color w:val="000000"/>
                      <w:kern w:val="0"/>
                      <w:sz w:val="21"/>
                    </w:rPr>
                  </w:pPr>
                  <w:r>
                    <w:rPr>
                      <w:rFonts w:hint="eastAsia"/>
                      <w:color w:val="000000"/>
                      <w:kern w:val="0"/>
                      <w:sz w:val="21"/>
                    </w:rPr>
                    <w:t>造粒、打样</w:t>
                  </w:r>
                </w:p>
              </w:tc>
              <w:tc>
                <w:tcPr>
                  <w:tcW w:w="1002" w:type="pct"/>
                  <w:tcBorders>
                    <w:tl2br w:val="nil"/>
                    <w:tr2bl w:val="nil"/>
                  </w:tcBorders>
                  <w:vAlign w:val="center"/>
                </w:tcPr>
                <w:p>
                  <w:pPr>
                    <w:pStyle w:val="123"/>
                    <w:adjustRightInd w:val="0"/>
                    <w:snapToGrid w:val="0"/>
                    <w:jc w:val="center"/>
                    <w:rPr>
                      <w:color w:val="000000"/>
                      <w:kern w:val="0"/>
                      <w:sz w:val="21"/>
                    </w:rPr>
                  </w:pPr>
                  <w:r>
                    <w:rPr>
                      <w:color w:val="000000"/>
                      <w:sz w:val="21"/>
                    </w:rPr>
                    <w:t>活性炭吸附</w:t>
                  </w:r>
                </w:p>
              </w:tc>
              <w:tc>
                <w:tcPr>
                  <w:tcW w:w="597" w:type="pct"/>
                  <w:tcBorders>
                    <w:tl2br w:val="nil"/>
                    <w:tr2bl w:val="nil"/>
                  </w:tcBorders>
                  <w:vAlign w:val="center"/>
                </w:tcPr>
                <w:p>
                  <w:pPr>
                    <w:pStyle w:val="123"/>
                    <w:adjustRightInd w:val="0"/>
                    <w:snapToGrid w:val="0"/>
                    <w:jc w:val="center"/>
                    <w:rPr>
                      <w:color w:val="000000"/>
                      <w:kern w:val="0"/>
                      <w:sz w:val="21"/>
                    </w:rPr>
                  </w:pPr>
                  <w:r>
                    <w:rPr>
                      <w:color w:val="000000"/>
                      <w:kern w:val="0"/>
                      <w:sz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pPr>
                    <w:pStyle w:val="123"/>
                    <w:adjustRightInd w:val="0"/>
                    <w:snapToGrid w:val="0"/>
                    <w:jc w:val="center"/>
                    <w:rPr>
                      <w:color w:val="000000"/>
                      <w:kern w:val="0"/>
                      <w:sz w:val="21"/>
                    </w:rPr>
                  </w:pPr>
                </w:p>
              </w:tc>
              <w:tc>
                <w:tcPr>
                  <w:tcW w:w="728" w:type="pct"/>
                  <w:tcBorders>
                    <w:tl2br w:val="nil"/>
                    <w:tr2bl w:val="nil"/>
                  </w:tcBorders>
                  <w:vAlign w:val="center"/>
                </w:tcPr>
                <w:p>
                  <w:pPr>
                    <w:pStyle w:val="123"/>
                    <w:adjustRightInd w:val="0"/>
                    <w:snapToGrid w:val="0"/>
                    <w:jc w:val="center"/>
                    <w:rPr>
                      <w:color w:val="000000"/>
                      <w:kern w:val="0"/>
                      <w:sz w:val="21"/>
                    </w:rPr>
                  </w:pPr>
                  <w:r>
                    <w:rPr>
                      <w:color w:val="000000"/>
                      <w:kern w:val="0"/>
                      <w:sz w:val="21"/>
                    </w:rPr>
                    <w:t>颗粒物</w:t>
                  </w:r>
                </w:p>
              </w:tc>
              <w:tc>
                <w:tcPr>
                  <w:tcW w:w="1242" w:type="pct"/>
                  <w:tcBorders>
                    <w:tl2br w:val="nil"/>
                    <w:tr2bl w:val="nil"/>
                  </w:tcBorders>
                  <w:vAlign w:val="center"/>
                </w:tcPr>
                <w:p>
                  <w:pPr>
                    <w:pStyle w:val="123"/>
                    <w:adjustRightInd w:val="0"/>
                    <w:snapToGrid w:val="0"/>
                    <w:jc w:val="center"/>
                    <w:rPr>
                      <w:color w:val="000000"/>
                      <w:kern w:val="0"/>
                      <w:sz w:val="21"/>
                    </w:rPr>
                  </w:pPr>
                  <w:r>
                    <w:rPr>
                      <w:color w:val="000000"/>
                      <w:kern w:val="0"/>
                      <w:sz w:val="21"/>
                    </w:rPr>
                    <w:t>袋式除尘；滤筒/滤芯除尘</w:t>
                  </w:r>
                </w:p>
              </w:tc>
              <w:tc>
                <w:tcPr>
                  <w:tcW w:w="852" w:type="pct"/>
                  <w:tcBorders>
                    <w:tl2br w:val="nil"/>
                    <w:tr2bl w:val="nil"/>
                  </w:tcBorders>
                  <w:vAlign w:val="center"/>
                </w:tcPr>
                <w:p>
                  <w:pPr>
                    <w:pStyle w:val="123"/>
                    <w:adjustRightInd w:val="0"/>
                    <w:snapToGrid w:val="0"/>
                    <w:jc w:val="center"/>
                    <w:rPr>
                      <w:color w:val="000000"/>
                      <w:kern w:val="0"/>
                      <w:sz w:val="21"/>
                    </w:rPr>
                  </w:pPr>
                  <w:r>
                    <w:rPr>
                      <w:color w:val="000000"/>
                      <w:kern w:val="0"/>
                      <w:sz w:val="21"/>
                    </w:rPr>
                    <w:t>投料粉尘</w:t>
                  </w:r>
                </w:p>
              </w:tc>
              <w:tc>
                <w:tcPr>
                  <w:tcW w:w="1002" w:type="pct"/>
                  <w:tcBorders>
                    <w:tl2br w:val="nil"/>
                    <w:tr2bl w:val="nil"/>
                  </w:tcBorders>
                  <w:vAlign w:val="center"/>
                </w:tcPr>
                <w:p>
                  <w:pPr>
                    <w:pStyle w:val="123"/>
                    <w:adjustRightInd w:val="0"/>
                    <w:snapToGrid w:val="0"/>
                    <w:jc w:val="center"/>
                    <w:rPr>
                      <w:color w:val="000000"/>
                      <w:kern w:val="0"/>
                      <w:sz w:val="21"/>
                    </w:rPr>
                  </w:pPr>
                  <w:r>
                    <w:rPr>
                      <w:color w:val="000000"/>
                      <w:sz w:val="21"/>
                    </w:rPr>
                    <w:t>袋式除尘</w:t>
                  </w:r>
                </w:p>
              </w:tc>
              <w:tc>
                <w:tcPr>
                  <w:tcW w:w="597" w:type="pct"/>
                  <w:tcBorders>
                    <w:tl2br w:val="nil"/>
                    <w:tr2bl w:val="nil"/>
                  </w:tcBorders>
                  <w:vAlign w:val="center"/>
                </w:tcPr>
                <w:p>
                  <w:pPr>
                    <w:pStyle w:val="123"/>
                    <w:adjustRightInd w:val="0"/>
                    <w:snapToGrid w:val="0"/>
                    <w:jc w:val="center"/>
                    <w:rPr>
                      <w:color w:val="000000"/>
                      <w:kern w:val="0"/>
                      <w:sz w:val="21"/>
                    </w:rPr>
                  </w:pPr>
                  <w:r>
                    <w:rPr>
                      <w:color w:val="000000"/>
                      <w:kern w:val="0"/>
                      <w:sz w:val="21"/>
                    </w:rPr>
                    <w:t>符合</w:t>
                  </w:r>
                </w:p>
              </w:tc>
            </w:tr>
          </w:tbl>
          <w:p>
            <w:pPr>
              <w:spacing w:line="360" w:lineRule="auto"/>
              <w:ind w:firstLine="480" w:firstLineChars="200"/>
              <w:rPr>
                <w:bCs/>
                <w:color w:val="000000"/>
                <w:kern w:val="28"/>
                <w:sz w:val="24"/>
              </w:rPr>
            </w:pPr>
            <w:r>
              <w:rPr>
                <w:bCs/>
                <w:color w:val="000000"/>
                <w:kern w:val="28"/>
                <w:sz w:val="24"/>
              </w:rPr>
              <w:t>根据表4.2</w:t>
            </w:r>
            <w:r>
              <w:rPr>
                <w:rFonts w:hint="eastAsia"/>
                <w:bCs/>
                <w:color w:val="000000"/>
                <w:kern w:val="28"/>
                <w:sz w:val="24"/>
              </w:rPr>
              <w:t>-11</w:t>
            </w:r>
            <w:r>
              <w:rPr>
                <w:bCs/>
                <w:color w:val="000000"/>
                <w:kern w:val="28"/>
                <w:sz w:val="24"/>
              </w:rPr>
              <w:t xml:space="preserve">可知，本项目各工序采取的废气治理措施可以满足《排污许可证申请与核发技术规范 </w:t>
            </w:r>
            <w:r>
              <w:rPr>
                <w:rFonts w:hint="eastAsia"/>
                <w:bCs/>
                <w:color w:val="000000"/>
                <w:kern w:val="28"/>
                <w:sz w:val="24"/>
              </w:rPr>
              <w:t>橡</w:t>
            </w:r>
            <w:r>
              <w:rPr>
                <w:bCs/>
                <w:color w:val="000000"/>
                <w:kern w:val="28"/>
                <w:sz w:val="24"/>
              </w:rPr>
              <w:t>胶和塑料制品工业》（HJ1122-2020）</w:t>
            </w:r>
            <w:r>
              <w:rPr>
                <w:rFonts w:hint="eastAsia"/>
                <w:bCs/>
                <w:color w:val="000000"/>
                <w:kern w:val="28"/>
                <w:sz w:val="24"/>
              </w:rPr>
              <w:t>的</w:t>
            </w:r>
            <w:r>
              <w:rPr>
                <w:bCs/>
                <w:color w:val="000000"/>
                <w:kern w:val="28"/>
                <w:sz w:val="24"/>
              </w:rPr>
              <w:t>相关要求。</w:t>
            </w:r>
          </w:p>
          <w:p>
            <w:pPr>
              <w:pStyle w:val="31"/>
              <w:ind w:firstLine="480"/>
              <w:rPr>
                <w:color w:val="000000"/>
                <w:kern w:val="2"/>
                <w:sz w:val="24"/>
                <w:szCs w:val="24"/>
              </w:rPr>
            </w:pPr>
            <w:r>
              <w:rPr>
                <w:bCs/>
                <w:color w:val="000000"/>
                <w:kern w:val="28"/>
                <w:sz w:val="24"/>
                <w:szCs w:val="24"/>
              </w:rPr>
              <w:t>因此项目废气经上述措施处理后排放量小，措施可行。</w:t>
            </w:r>
          </w:p>
          <w:p>
            <w:pPr>
              <w:pStyle w:val="31"/>
              <w:ind w:firstLine="480"/>
              <w:rPr>
                <w:color w:val="000000"/>
                <w:kern w:val="2"/>
                <w:sz w:val="24"/>
                <w:szCs w:val="24"/>
              </w:rPr>
            </w:pPr>
            <w:r>
              <w:rPr>
                <w:color w:val="000000"/>
                <w:kern w:val="2"/>
                <w:sz w:val="24"/>
                <w:szCs w:val="24"/>
              </w:rPr>
              <w:t>综上，项目运营期废气处理措施可行。</w:t>
            </w:r>
          </w:p>
          <w:p>
            <w:pPr>
              <w:spacing w:line="360" w:lineRule="auto"/>
              <w:ind w:firstLine="480" w:firstLineChars="200"/>
              <w:jc w:val="left"/>
              <w:rPr>
                <w:rFonts w:cs="宋体"/>
                <w:color w:val="000000"/>
              </w:rPr>
            </w:pPr>
            <w:r>
              <w:rPr>
                <w:rFonts w:hint="eastAsia"/>
                <w:color w:val="000000"/>
                <w:sz w:val="24"/>
              </w:rPr>
              <w:t>因此本项目对周边环境影响很小。</w:t>
            </w:r>
          </w:p>
          <w:p>
            <w:pPr>
              <w:widowControl/>
              <w:spacing w:line="360" w:lineRule="auto"/>
              <w:jc w:val="left"/>
              <w:outlineLvl w:val="2"/>
              <w:rPr>
                <w:b/>
                <w:color w:val="000000"/>
                <w:kern w:val="0"/>
                <w:sz w:val="28"/>
                <w:szCs w:val="28"/>
              </w:rPr>
            </w:pPr>
            <w:r>
              <w:rPr>
                <w:b/>
                <w:color w:val="000000"/>
                <w:kern w:val="0"/>
                <w:sz w:val="28"/>
                <w:szCs w:val="28"/>
              </w:rPr>
              <w:t>4.2.2废水</w:t>
            </w:r>
          </w:p>
          <w:p>
            <w:pPr>
              <w:adjustRightInd w:val="0"/>
              <w:snapToGrid w:val="0"/>
              <w:spacing w:line="360" w:lineRule="auto"/>
              <w:ind w:firstLine="480" w:firstLineChars="200"/>
              <w:rPr>
                <w:color w:val="000000"/>
                <w:kern w:val="0"/>
                <w:sz w:val="24"/>
              </w:rPr>
            </w:pPr>
            <w:r>
              <w:rPr>
                <w:color w:val="000000"/>
                <w:kern w:val="0"/>
                <w:sz w:val="24"/>
              </w:rPr>
              <w:t>本项目产生的废水主要为生活污水。</w:t>
            </w:r>
          </w:p>
          <w:p>
            <w:pPr>
              <w:adjustRightInd w:val="0"/>
              <w:snapToGrid w:val="0"/>
              <w:spacing w:line="360" w:lineRule="auto"/>
              <w:ind w:firstLine="480" w:firstLineChars="200"/>
              <w:rPr>
                <w:color w:val="000000"/>
                <w:sz w:val="24"/>
              </w:rPr>
            </w:pPr>
            <w:r>
              <w:rPr>
                <w:color w:val="000000"/>
                <w:kern w:val="0"/>
                <w:sz w:val="24"/>
              </w:rPr>
              <w:t>（1）生活污水项目劳动定员</w:t>
            </w:r>
            <w:r>
              <w:rPr>
                <w:rFonts w:hint="eastAsia"/>
                <w:color w:val="000000"/>
                <w:kern w:val="0"/>
                <w:sz w:val="24"/>
              </w:rPr>
              <w:t>15</w:t>
            </w:r>
            <w:r>
              <w:rPr>
                <w:color w:val="000000"/>
                <w:kern w:val="0"/>
                <w:sz w:val="24"/>
              </w:rPr>
              <w:t>人。每日用水量参照</w:t>
            </w:r>
            <w:r>
              <w:rPr>
                <w:rFonts w:hint="eastAsia"/>
                <w:color w:val="000000"/>
                <w:sz w:val="24"/>
              </w:rPr>
              <w:t>《建筑给水排水设计规范》(GB50015-2010</w:t>
            </w:r>
            <w:r>
              <w:rPr>
                <w:color w:val="000000"/>
                <w:kern w:val="0"/>
                <w:sz w:val="24"/>
              </w:rPr>
              <w:t>员工生活用水量按</w:t>
            </w:r>
            <w:r>
              <w:rPr>
                <w:rFonts w:hint="eastAsia"/>
                <w:color w:val="000000"/>
                <w:kern w:val="0"/>
                <w:sz w:val="24"/>
              </w:rPr>
              <w:t>50L</w:t>
            </w:r>
            <w:r>
              <w:rPr>
                <w:color w:val="000000"/>
                <w:kern w:val="0"/>
                <w:sz w:val="24"/>
              </w:rPr>
              <w:t>/d人，则本次项目生活用水量约</w:t>
            </w:r>
            <w:r>
              <w:rPr>
                <w:rFonts w:hint="eastAsia"/>
                <w:color w:val="000000"/>
                <w:kern w:val="0"/>
                <w:sz w:val="24"/>
              </w:rPr>
              <w:t>0.75</w:t>
            </w:r>
            <w:r>
              <w:rPr>
                <w:color w:val="000000"/>
                <w:kern w:val="0"/>
                <w:sz w:val="24"/>
              </w:rPr>
              <w:t>m</w:t>
            </w:r>
            <w:r>
              <w:rPr>
                <w:color w:val="000000"/>
                <w:kern w:val="0"/>
                <w:sz w:val="24"/>
                <w:vertAlign w:val="superscript"/>
              </w:rPr>
              <w:t>3</w:t>
            </w:r>
            <w:r>
              <w:rPr>
                <w:color w:val="000000"/>
                <w:kern w:val="0"/>
                <w:sz w:val="24"/>
              </w:rPr>
              <w:t>/d，即</w:t>
            </w:r>
            <w:r>
              <w:rPr>
                <w:rFonts w:hint="eastAsia"/>
                <w:color w:val="000000"/>
                <w:kern w:val="0"/>
                <w:sz w:val="24"/>
              </w:rPr>
              <w:t>225</w:t>
            </w:r>
            <w:r>
              <w:rPr>
                <w:color w:val="000000"/>
                <w:kern w:val="0"/>
                <w:sz w:val="24"/>
              </w:rPr>
              <w:t>m</w:t>
            </w:r>
            <w:r>
              <w:rPr>
                <w:color w:val="000000"/>
                <w:kern w:val="0"/>
                <w:sz w:val="24"/>
                <w:vertAlign w:val="superscript"/>
              </w:rPr>
              <w:t>3</w:t>
            </w:r>
            <w:r>
              <w:rPr>
                <w:color w:val="000000"/>
                <w:kern w:val="0"/>
                <w:sz w:val="24"/>
              </w:rPr>
              <w:t>/a（按300天计）。排水系数取0.8，则员工生活污水排放量为</w:t>
            </w:r>
            <w:r>
              <w:rPr>
                <w:rFonts w:hint="eastAsia"/>
                <w:color w:val="000000"/>
                <w:kern w:val="0"/>
                <w:sz w:val="24"/>
              </w:rPr>
              <w:t>0.6</w:t>
            </w:r>
            <w:r>
              <w:rPr>
                <w:color w:val="000000"/>
                <w:kern w:val="0"/>
                <w:sz w:val="24"/>
              </w:rPr>
              <w:t>m</w:t>
            </w:r>
            <w:r>
              <w:rPr>
                <w:color w:val="000000"/>
                <w:kern w:val="0"/>
                <w:sz w:val="24"/>
                <w:vertAlign w:val="superscript"/>
              </w:rPr>
              <w:t>3</w:t>
            </w:r>
            <w:r>
              <w:rPr>
                <w:color w:val="000000"/>
                <w:kern w:val="0"/>
                <w:sz w:val="24"/>
              </w:rPr>
              <w:t>/d，即</w:t>
            </w:r>
            <w:r>
              <w:rPr>
                <w:rFonts w:hint="eastAsia"/>
                <w:color w:val="000000"/>
                <w:kern w:val="0"/>
                <w:sz w:val="24"/>
              </w:rPr>
              <w:t>180</w:t>
            </w:r>
            <w:r>
              <w:rPr>
                <w:color w:val="000000"/>
                <w:kern w:val="0"/>
                <w:sz w:val="24"/>
              </w:rPr>
              <w:t>m</w:t>
            </w:r>
            <w:r>
              <w:rPr>
                <w:color w:val="000000"/>
                <w:kern w:val="0"/>
                <w:sz w:val="24"/>
                <w:vertAlign w:val="superscript"/>
              </w:rPr>
              <w:t>3</w:t>
            </w:r>
            <w:r>
              <w:rPr>
                <w:color w:val="000000"/>
                <w:kern w:val="0"/>
                <w:sz w:val="24"/>
              </w:rPr>
              <w:t>/a（按300天计）。</w:t>
            </w:r>
            <w:r>
              <w:rPr>
                <w:color w:val="000000"/>
                <w:sz w:val="24"/>
              </w:rPr>
              <w:t>参照《给排水设计手册》本项目生活污水污染指标浓度选取为COD：400mg/L，BOD</w:t>
            </w:r>
            <w:r>
              <w:rPr>
                <w:color w:val="000000"/>
                <w:sz w:val="24"/>
                <w:vertAlign w:val="subscript"/>
              </w:rPr>
              <w:t>5</w:t>
            </w:r>
            <w:r>
              <w:rPr>
                <w:color w:val="000000"/>
                <w:sz w:val="24"/>
              </w:rPr>
              <w:t>：200mg/L，NH</w:t>
            </w:r>
            <w:r>
              <w:rPr>
                <w:color w:val="000000"/>
                <w:sz w:val="24"/>
                <w:vertAlign w:val="subscript"/>
              </w:rPr>
              <w:t>3</w:t>
            </w:r>
            <w:r>
              <w:rPr>
                <w:color w:val="000000"/>
                <w:sz w:val="24"/>
              </w:rPr>
              <w:t>-N：35mg/L，SS：220mg/L，则项目生活污水产排情况详见表4.2</w:t>
            </w:r>
            <w:r>
              <w:rPr>
                <w:rFonts w:hint="eastAsia"/>
                <w:color w:val="000000"/>
                <w:sz w:val="24"/>
              </w:rPr>
              <w:t>-11</w:t>
            </w:r>
            <w:r>
              <w:rPr>
                <w:color w:val="000000"/>
                <w:sz w:val="24"/>
              </w:rPr>
              <w:t>。</w:t>
            </w:r>
          </w:p>
          <w:p>
            <w:pPr>
              <w:adjustRightInd w:val="0"/>
              <w:snapToGrid w:val="0"/>
              <w:spacing w:line="360" w:lineRule="auto"/>
              <w:ind w:firstLine="480" w:firstLineChars="200"/>
              <w:rPr>
                <w:color w:val="000000"/>
                <w:kern w:val="0"/>
                <w:sz w:val="24"/>
              </w:rPr>
            </w:pPr>
            <w:r>
              <w:rPr>
                <w:color w:val="000000"/>
                <w:kern w:val="0"/>
                <w:sz w:val="24"/>
              </w:rPr>
              <w:t>综上，项目的废水及其污染物产生情况见表4.2</w:t>
            </w:r>
            <w:r>
              <w:rPr>
                <w:rFonts w:hint="eastAsia"/>
                <w:color w:val="000000"/>
                <w:kern w:val="0"/>
                <w:sz w:val="24"/>
              </w:rPr>
              <w:t>-11</w:t>
            </w:r>
            <w:r>
              <w:rPr>
                <w:color w:val="000000"/>
                <w:kern w:val="0"/>
                <w:sz w:val="24"/>
              </w:rPr>
              <w:t>，污水经</w:t>
            </w:r>
            <w:r>
              <w:rPr>
                <w:rFonts w:hint="eastAsia"/>
                <w:color w:val="000000"/>
                <w:kern w:val="0"/>
                <w:sz w:val="24"/>
              </w:rPr>
              <w:t>厂区内</w:t>
            </w:r>
            <w:r>
              <w:rPr>
                <w:color w:val="000000"/>
                <w:kern w:val="0"/>
                <w:sz w:val="24"/>
              </w:rPr>
              <w:t>化粪池</w:t>
            </w:r>
            <w:r>
              <w:rPr>
                <w:rFonts w:hint="eastAsia"/>
                <w:color w:val="000000"/>
                <w:kern w:val="0"/>
                <w:sz w:val="24"/>
              </w:rPr>
              <w:t>（</w:t>
            </w:r>
            <w:r>
              <w:rPr>
                <w:color w:val="000000"/>
                <w:kern w:val="0"/>
                <w:sz w:val="24"/>
              </w:rPr>
              <w:t>预处理后达到《污水综合排放标准》(GB8978-1996)表4中三级标准后排入</w:t>
            </w:r>
            <w:r>
              <w:rPr>
                <w:rFonts w:hint="eastAsia"/>
                <w:color w:val="000000"/>
                <w:kern w:val="0"/>
                <w:sz w:val="24"/>
              </w:rPr>
              <w:t>市政</w:t>
            </w:r>
            <w:r>
              <w:rPr>
                <w:color w:val="000000"/>
                <w:kern w:val="0"/>
                <w:sz w:val="24"/>
              </w:rPr>
              <w:t>污水管网，最终排入</w:t>
            </w:r>
            <w:r>
              <w:rPr>
                <w:rFonts w:hint="eastAsia"/>
                <w:color w:val="000000"/>
                <w:kern w:val="0"/>
                <w:sz w:val="24"/>
              </w:rPr>
              <w:t>融元污水处理厂</w:t>
            </w:r>
            <w:r>
              <w:rPr>
                <w:color w:val="000000"/>
                <w:kern w:val="0"/>
                <w:sz w:val="24"/>
              </w:rPr>
              <w:t>。</w:t>
            </w:r>
          </w:p>
          <w:p>
            <w:pPr>
              <w:adjustRightInd w:val="0"/>
              <w:snapToGrid w:val="0"/>
              <w:jc w:val="center"/>
              <w:rPr>
                <w:b/>
                <w:color w:val="000000"/>
              </w:rPr>
            </w:pPr>
            <w:bookmarkStart w:id="39" w:name="_Toc18192_WPSOffice_Level2"/>
            <w:r>
              <w:rPr>
                <w:b/>
                <w:color w:val="000000"/>
              </w:rPr>
              <w:t>表4.2</w:t>
            </w:r>
            <w:r>
              <w:rPr>
                <w:rFonts w:hint="eastAsia"/>
                <w:b/>
                <w:color w:val="000000"/>
              </w:rPr>
              <w:t>-11</w:t>
            </w:r>
            <w:r>
              <w:rPr>
                <w:b/>
                <w:color w:val="000000"/>
              </w:rPr>
              <w:t xml:space="preserve">  项目运营期生活污水中主要污染物产排情况一览表</w:t>
            </w:r>
            <w:bookmarkEnd w:id="39"/>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2"/>
              <w:gridCol w:w="1370"/>
              <w:gridCol w:w="9"/>
              <w:gridCol w:w="1363"/>
              <w:gridCol w:w="32"/>
              <w:gridCol w:w="1348"/>
              <w:gridCol w:w="1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项目</w:t>
                  </w:r>
                </w:p>
              </w:tc>
              <w:tc>
                <w:tcPr>
                  <w:tcW w:w="806" w:type="pct"/>
                  <w:vAlign w:val="center"/>
                </w:tcPr>
                <w:p>
                  <w:pPr>
                    <w:adjustRightInd w:val="0"/>
                    <w:snapToGrid w:val="0"/>
                    <w:spacing w:line="340" w:lineRule="exact"/>
                    <w:jc w:val="center"/>
                    <w:rPr>
                      <w:color w:val="000000"/>
                      <w:szCs w:val="21"/>
                    </w:rPr>
                  </w:pPr>
                  <w:r>
                    <w:rPr>
                      <w:color w:val="000000"/>
                      <w:szCs w:val="21"/>
                    </w:rPr>
                    <w:t>COD</w:t>
                  </w:r>
                  <w:r>
                    <w:rPr>
                      <w:color w:val="000000"/>
                      <w:szCs w:val="21"/>
                      <w:vertAlign w:val="subscript"/>
                    </w:rPr>
                    <w:t>Cr</w:t>
                  </w:r>
                </w:p>
              </w:tc>
              <w:tc>
                <w:tcPr>
                  <w:tcW w:w="807" w:type="pct"/>
                  <w:gridSpan w:val="2"/>
                  <w:vAlign w:val="center"/>
                </w:tcPr>
                <w:p>
                  <w:pPr>
                    <w:adjustRightInd w:val="0"/>
                    <w:snapToGrid w:val="0"/>
                    <w:spacing w:line="340" w:lineRule="exact"/>
                    <w:jc w:val="center"/>
                    <w:rPr>
                      <w:color w:val="000000"/>
                      <w:szCs w:val="21"/>
                    </w:rPr>
                  </w:pPr>
                  <w:r>
                    <w:rPr>
                      <w:color w:val="000000"/>
                      <w:szCs w:val="21"/>
                    </w:rPr>
                    <w:t>BOD</w:t>
                  </w:r>
                  <w:r>
                    <w:rPr>
                      <w:color w:val="000000"/>
                      <w:szCs w:val="21"/>
                      <w:vertAlign w:val="subscript"/>
                    </w:rPr>
                    <w:t>5</w:t>
                  </w:r>
                </w:p>
              </w:tc>
              <w:tc>
                <w:tcPr>
                  <w:tcW w:w="812" w:type="pct"/>
                  <w:gridSpan w:val="2"/>
                  <w:vAlign w:val="center"/>
                </w:tcPr>
                <w:p>
                  <w:pPr>
                    <w:adjustRightInd w:val="0"/>
                    <w:snapToGrid w:val="0"/>
                    <w:spacing w:line="340" w:lineRule="exact"/>
                    <w:jc w:val="center"/>
                    <w:rPr>
                      <w:color w:val="000000"/>
                      <w:szCs w:val="21"/>
                    </w:rPr>
                  </w:pPr>
                  <w:r>
                    <w:rPr>
                      <w:color w:val="000000"/>
                      <w:szCs w:val="21"/>
                    </w:rPr>
                    <w:t>SS</w:t>
                  </w:r>
                </w:p>
              </w:tc>
              <w:tc>
                <w:tcPr>
                  <w:tcW w:w="809" w:type="pct"/>
                  <w:vAlign w:val="center"/>
                </w:tcPr>
                <w:p>
                  <w:pPr>
                    <w:adjustRightInd w:val="0"/>
                    <w:snapToGrid w:val="0"/>
                    <w:spacing w:line="340" w:lineRule="exact"/>
                    <w:jc w:val="center"/>
                    <w:rPr>
                      <w:color w:val="000000"/>
                      <w:szCs w:val="21"/>
                    </w:rPr>
                  </w:pPr>
                  <w:r>
                    <w:rPr>
                      <w:color w:val="000000"/>
                      <w:szCs w:val="21"/>
                    </w:rPr>
                    <w:t>NH</w:t>
                  </w:r>
                  <w:r>
                    <w:rPr>
                      <w:color w:val="000000"/>
                      <w:szCs w:val="21"/>
                      <w:vertAlign w:val="subscript"/>
                    </w:rPr>
                    <w:t>3</w:t>
                  </w:r>
                  <w:r>
                    <w:rPr>
                      <w:color w:val="000000"/>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生活污水量(m</w:t>
                  </w:r>
                  <w:r>
                    <w:rPr>
                      <w:color w:val="000000"/>
                      <w:szCs w:val="21"/>
                      <w:vertAlign w:val="superscript"/>
                    </w:rPr>
                    <w:t>3</w:t>
                  </w:r>
                  <w:r>
                    <w:rPr>
                      <w:color w:val="000000"/>
                      <w:szCs w:val="21"/>
                    </w:rPr>
                    <w:t>/a)</w:t>
                  </w:r>
                </w:p>
              </w:tc>
              <w:tc>
                <w:tcPr>
                  <w:tcW w:w="3234" w:type="pct"/>
                  <w:gridSpan w:val="6"/>
                  <w:vAlign w:val="center"/>
                </w:tcPr>
                <w:p>
                  <w:pPr>
                    <w:adjustRightInd w:val="0"/>
                    <w:snapToGrid w:val="0"/>
                    <w:jc w:val="center"/>
                    <w:rPr>
                      <w:color w:val="000000"/>
                      <w:szCs w:val="21"/>
                    </w:rPr>
                  </w:pPr>
                  <w:r>
                    <w:rPr>
                      <w:rFonts w:hint="eastAsia"/>
                      <w:color w:val="000000"/>
                      <w:szCs w:val="21"/>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产生浓度值(mg/L)</w:t>
                  </w:r>
                </w:p>
              </w:tc>
              <w:tc>
                <w:tcPr>
                  <w:tcW w:w="811" w:type="pct"/>
                  <w:gridSpan w:val="2"/>
                  <w:vAlign w:val="center"/>
                </w:tcPr>
                <w:p>
                  <w:pPr>
                    <w:widowControl/>
                    <w:adjustRightInd w:val="0"/>
                    <w:snapToGrid w:val="0"/>
                    <w:jc w:val="center"/>
                    <w:textAlignment w:val="center"/>
                    <w:rPr>
                      <w:color w:val="000000"/>
                      <w:szCs w:val="21"/>
                    </w:rPr>
                  </w:pPr>
                  <w:r>
                    <w:rPr>
                      <w:color w:val="000000"/>
                      <w:kern w:val="0"/>
                      <w:szCs w:val="21"/>
                    </w:rPr>
                    <w:t>400</w:t>
                  </w:r>
                </w:p>
              </w:tc>
              <w:tc>
                <w:tcPr>
                  <w:tcW w:w="821" w:type="pct"/>
                  <w:gridSpan w:val="2"/>
                  <w:vAlign w:val="center"/>
                </w:tcPr>
                <w:p>
                  <w:pPr>
                    <w:widowControl/>
                    <w:adjustRightInd w:val="0"/>
                    <w:snapToGrid w:val="0"/>
                    <w:jc w:val="center"/>
                    <w:textAlignment w:val="center"/>
                    <w:rPr>
                      <w:color w:val="000000"/>
                      <w:szCs w:val="21"/>
                    </w:rPr>
                  </w:pPr>
                  <w:r>
                    <w:rPr>
                      <w:color w:val="000000"/>
                      <w:kern w:val="0"/>
                      <w:szCs w:val="21"/>
                    </w:rPr>
                    <w:t>220</w:t>
                  </w:r>
                </w:p>
              </w:tc>
              <w:tc>
                <w:tcPr>
                  <w:tcW w:w="793" w:type="pct"/>
                  <w:vAlign w:val="center"/>
                </w:tcPr>
                <w:p>
                  <w:pPr>
                    <w:widowControl/>
                    <w:adjustRightInd w:val="0"/>
                    <w:snapToGrid w:val="0"/>
                    <w:jc w:val="center"/>
                    <w:textAlignment w:val="center"/>
                    <w:rPr>
                      <w:color w:val="000000"/>
                      <w:szCs w:val="21"/>
                    </w:rPr>
                  </w:pPr>
                  <w:r>
                    <w:rPr>
                      <w:color w:val="000000"/>
                      <w:kern w:val="0"/>
                      <w:szCs w:val="21"/>
                    </w:rPr>
                    <w:t>200</w:t>
                  </w:r>
                </w:p>
              </w:tc>
              <w:tc>
                <w:tcPr>
                  <w:tcW w:w="809" w:type="pct"/>
                  <w:vAlign w:val="center"/>
                </w:tcPr>
                <w:p>
                  <w:pPr>
                    <w:widowControl/>
                    <w:adjustRightInd w:val="0"/>
                    <w:snapToGrid w:val="0"/>
                    <w:jc w:val="center"/>
                    <w:textAlignment w:val="center"/>
                    <w:rPr>
                      <w:color w:val="000000"/>
                      <w:szCs w:val="21"/>
                    </w:rPr>
                  </w:pPr>
                  <w:r>
                    <w:rPr>
                      <w:color w:val="000000"/>
                      <w:kern w:val="0"/>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产生量(t/a)</w:t>
                  </w:r>
                </w:p>
              </w:tc>
              <w:tc>
                <w:tcPr>
                  <w:tcW w:w="811" w:type="pct"/>
                  <w:gridSpan w:val="2"/>
                  <w:vAlign w:val="center"/>
                </w:tcPr>
                <w:p>
                  <w:pPr>
                    <w:adjustRightInd w:val="0"/>
                    <w:snapToGrid w:val="0"/>
                    <w:jc w:val="center"/>
                    <w:rPr>
                      <w:rFonts w:hint="eastAsia" w:ascii="宋体" w:hAnsi="宋体" w:cs="宋体"/>
                      <w:color w:val="000000"/>
                      <w:sz w:val="24"/>
                    </w:rPr>
                  </w:pPr>
                  <w:r>
                    <w:rPr>
                      <w:rFonts w:hint="eastAsia"/>
                      <w:color w:val="000000"/>
                    </w:rPr>
                    <w:t>0.072</w:t>
                  </w:r>
                </w:p>
              </w:tc>
              <w:tc>
                <w:tcPr>
                  <w:tcW w:w="821" w:type="pct"/>
                  <w:gridSpan w:val="2"/>
                  <w:vAlign w:val="center"/>
                </w:tcPr>
                <w:p>
                  <w:pPr>
                    <w:adjustRightInd w:val="0"/>
                    <w:snapToGrid w:val="0"/>
                    <w:jc w:val="center"/>
                    <w:rPr>
                      <w:rFonts w:hint="eastAsia" w:ascii="宋体" w:hAnsi="宋体" w:cs="宋体"/>
                      <w:color w:val="000000"/>
                      <w:sz w:val="24"/>
                    </w:rPr>
                  </w:pPr>
                  <w:r>
                    <w:rPr>
                      <w:rFonts w:hint="eastAsia"/>
                      <w:color w:val="000000"/>
                    </w:rPr>
                    <w:t>0.0396</w:t>
                  </w:r>
                </w:p>
              </w:tc>
              <w:tc>
                <w:tcPr>
                  <w:tcW w:w="793" w:type="pct"/>
                  <w:vAlign w:val="center"/>
                </w:tcPr>
                <w:p>
                  <w:pPr>
                    <w:adjustRightInd w:val="0"/>
                    <w:snapToGrid w:val="0"/>
                    <w:jc w:val="center"/>
                    <w:rPr>
                      <w:rFonts w:hint="eastAsia" w:ascii="宋体" w:hAnsi="宋体" w:cs="宋体"/>
                      <w:color w:val="000000"/>
                      <w:sz w:val="24"/>
                    </w:rPr>
                  </w:pPr>
                  <w:r>
                    <w:rPr>
                      <w:rFonts w:hint="eastAsia"/>
                      <w:color w:val="000000"/>
                    </w:rPr>
                    <w:t>0.036</w:t>
                  </w:r>
                </w:p>
              </w:tc>
              <w:tc>
                <w:tcPr>
                  <w:tcW w:w="809" w:type="pct"/>
                  <w:vAlign w:val="center"/>
                </w:tcPr>
                <w:p>
                  <w:pPr>
                    <w:adjustRightInd w:val="0"/>
                    <w:snapToGrid w:val="0"/>
                    <w:jc w:val="center"/>
                    <w:rPr>
                      <w:rFonts w:hint="eastAsia" w:ascii="宋体" w:hAnsi="宋体" w:cs="宋体"/>
                      <w:color w:val="000000"/>
                      <w:sz w:val="24"/>
                    </w:rPr>
                  </w:pPr>
                  <w:r>
                    <w:rPr>
                      <w:rFonts w:hint="eastAsia"/>
                      <w:color w:val="000000"/>
                    </w:rPr>
                    <w:t>0.0063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处理措施</w:t>
                  </w:r>
                </w:p>
              </w:tc>
              <w:tc>
                <w:tcPr>
                  <w:tcW w:w="3234" w:type="pct"/>
                  <w:gridSpan w:val="6"/>
                  <w:vAlign w:val="center"/>
                </w:tcPr>
                <w:p>
                  <w:pPr>
                    <w:autoSpaceDE w:val="0"/>
                    <w:autoSpaceDN w:val="0"/>
                    <w:adjustRightInd w:val="0"/>
                    <w:snapToGrid w:val="0"/>
                    <w:textAlignment w:val="bottom"/>
                    <w:rPr>
                      <w:color w:val="000000"/>
                      <w:szCs w:val="21"/>
                    </w:rPr>
                  </w:pPr>
                  <w:r>
                    <w:rPr>
                      <w:color w:val="000000"/>
                      <w:szCs w:val="21"/>
                    </w:rPr>
                    <w:t>经</w:t>
                  </w:r>
                  <w:r>
                    <w:rPr>
                      <w:rFonts w:hint="eastAsia"/>
                      <w:color w:val="000000"/>
                      <w:szCs w:val="21"/>
                    </w:rPr>
                    <w:t>厂</w:t>
                  </w:r>
                  <w:r>
                    <w:rPr>
                      <w:color w:val="000000"/>
                      <w:szCs w:val="21"/>
                    </w:rPr>
                    <w:t>区已建化粪池处理后接入市政污水管网送往</w:t>
                  </w:r>
                  <w:r>
                    <w:rPr>
                      <w:rFonts w:hint="eastAsia"/>
                      <w:color w:val="000000"/>
                      <w:szCs w:val="21"/>
                    </w:rPr>
                    <w:t>融元污水处理厂</w:t>
                  </w:r>
                  <w:r>
                    <w:rPr>
                      <w:color w:val="000000"/>
                      <w:szCs w:val="21"/>
                    </w:rPr>
                    <w:t>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预测排放浓度(mg/L)</w:t>
                  </w:r>
                </w:p>
              </w:tc>
              <w:tc>
                <w:tcPr>
                  <w:tcW w:w="806" w:type="pct"/>
                  <w:vAlign w:val="center"/>
                </w:tcPr>
                <w:p>
                  <w:pPr>
                    <w:widowControl/>
                    <w:adjustRightInd w:val="0"/>
                    <w:snapToGrid w:val="0"/>
                    <w:jc w:val="center"/>
                    <w:textAlignment w:val="center"/>
                    <w:rPr>
                      <w:color w:val="000000"/>
                      <w:szCs w:val="21"/>
                    </w:rPr>
                  </w:pPr>
                  <w:r>
                    <w:rPr>
                      <w:color w:val="000000"/>
                      <w:kern w:val="0"/>
                      <w:szCs w:val="21"/>
                    </w:rPr>
                    <w:t>280</w:t>
                  </w:r>
                </w:p>
              </w:tc>
              <w:tc>
                <w:tcPr>
                  <w:tcW w:w="807" w:type="pct"/>
                  <w:gridSpan w:val="2"/>
                  <w:vAlign w:val="center"/>
                </w:tcPr>
                <w:p>
                  <w:pPr>
                    <w:widowControl/>
                    <w:adjustRightInd w:val="0"/>
                    <w:snapToGrid w:val="0"/>
                    <w:jc w:val="center"/>
                    <w:textAlignment w:val="center"/>
                    <w:rPr>
                      <w:color w:val="000000"/>
                      <w:szCs w:val="21"/>
                    </w:rPr>
                  </w:pPr>
                  <w:r>
                    <w:rPr>
                      <w:color w:val="000000"/>
                      <w:kern w:val="0"/>
                      <w:szCs w:val="21"/>
                    </w:rPr>
                    <w:t>154</w:t>
                  </w:r>
                </w:p>
              </w:tc>
              <w:tc>
                <w:tcPr>
                  <w:tcW w:w="812" w:type="pct"/>
                  <w:gridSpan w:val="2"/>
                  <w:vAlign w:val="center"/>
                </w:tcPr>
                <w:p>
                  <w:pPr>
                    <w:widowControl/>
                    <w:adjustRightInd w:val="0"/>
                    <w:snapToGrid w:val="0"/>
                    <w:jc w:val="center"/>
                    <w:textAlignment w:val="center"/>
                    <w:rPr>
                      <w:color w:val="000000"/>
                      <w:szCs w:val="21"/>
                    </w:rPr>
                  </w:pPr>
                  <w:r>
                    <w:rPr>
                      <w:color w:val="000000"/>
                      <w:szCs w:val="21"/>
                    </w:rPr>
                    <w:t>140</w:t>
                  </w:r>
                </w:p>
              </w:tc>
              <w:tc>
                <w:tcPr>
                  <w:tcW w:w="809" w:type="pct"/>
                  <w:vAlign w:val="center"/>
                </w:tcPr>
                <w:p>
                  <w:pPr>
                    <w:widowControl/>
                    <w:adjustRightInd w:val="0"/>
                    <w:snapToGrid w:val="0"/>
                    <w:jc w:val="center"/>
                    <w:textAlignment w:val="center"/>
                    <w:rPr>
                      <w:color w:val="000000"/>
                      <w:szCs w:val="21"/>
                    </w:rPr>
                  </w:pPr>
                  <w:r>
                    <w:rPr>
                      <w:color w:val="000000"/>
                      <w:kern w:val="0"/>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排放标准限值(mg/L)</w:t>
                  </w:r>
                </w:p>
              </w:tc>
              <w:tc>
                <w:tcPr>
                  <w:tcW w:w="806" w:type="pct"/>
                  <w:vAlign w:val="center"/>
                </w:tcPr>
                <w:p>
                  <w:pPr>
                    <w:widowControl/>
                    <w:adjustRightInd w:val="0"/>
                    <w:snapToGrid w:val="0"/>
                    <w:jc w:val="center"/>
                    <w:textAlignment w:val="center"/>
                    <w:rPr>
                      <w:color w:val="000000"/>
                      <w:szCs w:val="21"/>
                    </w:rPr>
                  </w:pPr>
                  <w:r>
                    <w:rPr>
                      <w:color w:val="000000"/>
                      <w:kern w:val="0"/>
                      <w:szCs w:val="21"/>
                    </w:rPr>
                    <w:t>500</w:t>
                  </w:r>
                </w:p>
              </w:tc>
              <w:tc>
                <w:tcPr>
                  <w:tcW w:w="807" w:type="pct"/>
                  <w:gridSpan w:val="2"/>
                  <w:vAlign w:val="center"/>
                </w:tcPr>
                <w:p>
                  <w:pPr>
                    <w:widowControl/>
                    <w:adjustRightInd w:val="0"/>
                    <w:snapToGrid w:val="0"/>
                    <w:jc w:val="center"/>
                    <w:textAlignment w:val="center"/>
                    <w:rPr>
                      <w:color w:val="000000"/>
                      <w:szCs w:val="21"/>
                    </w:rPr>
                  </w:pPr>
                  <w:r>
                    <w:rPr>
                      <w:color w:val="000000"/>
                      <w:kern w:val="0"/>
                      <w:szCs w:val="21"/>
                    </w:rPr>
                    <w:t>300</w:t>
                  </w:r>
                </w:p>
              </w:tc>
              <w:tc>
                <w:tcPr>
                  <w:tcW w:w="812" w:type="pct"/>
                  <w:gridSpan w:val="2"/>
                  <w:vAlign w:val="center"/>
                </w:tcPr>
                <w:p>
                  <w:pPr>
                    <w:widowControl/>
                    <w:adjustRightInd w:val="0"/>
                    <w:snapToGrid w:val="0"/>
                    <w:jc w:val="center"/>
                    <w:textAlignment w:val="center"/>
                    <w:rPr>
                      <w:color w:val="000000"/>
                      <w:szCs w:val="21"/>
                    </w:rPr>
                  </w:pPr>
                  <w:r>
                    <w:rPr>
                      <w:color w:val="000000"/>
                      <w:kern w:val="0"/>
                      <w:szCs w:val="21"/>
                    </w:rPr>
                    <w:t>400</w:t>
                  </w:r>
                </w:p>
              </w:tc>
              <w:tc>
                <w:tcPr>
                  <w:tcW w:w="809" w:type="pct"/>
                  <w:vAlign w:val="center"/>
                </w:tcPr>
                <w:p>
                  <w:pPr>
                    <w:widowControl/>
                    <w:adjustRightInd w:val="0"/>
                    <w:snapToGrid w:val="0"/>
                    <w:jc w:val="center"/>
                    <w:textAlignment w:val="center"/>
                    <w:rPr>
                      <w:color w:val="000000"/>
                      <w:szCs w:val="21"/>
                    </w:rPr>
                  </w:pPr>
                  <w:r>
                    <w:rPr>
                      <w:color w:val="000000"/>
                      <w:kern w:val="0"/>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达标判断</w:t>
                  </w:r>
                </w:p>
              </w:tc>
              <w:tc>
                <w:tcPr>
                  <w:tcW w:w="806" w:type="pct"/>
                  <w:vAlign w:val="center"/>
                </w:tcPr>
                <w:p>
                  <w:pPr>
                    <w:adjustRightInd w:val="0"/>
                    <w:snapToGrid w:val="0"/>
                    <w:jc w:val="center"/>
                    <w:rPr>
                      <w:color w:val="000000"/>
                      <w:szCs w:val="21"/>
                    </w:rPr>
                  </w:pPr>
                  <w:r>
                    <w:rPr>
                      <w:color w:val="000000"/>
                      <w:szCs w:val="21"/>
                    </w:rPr>
                    <w:t>达标</w:t>
                  </w:r>
                </w:p>
              </w:tc>
              <w:tc>
                <w:tcPr>
                  <w:tcW w:w="807" w:type="pct"/>
                  <w:gridSpan w:val="2"/>
                  <w:vAlign w:val="center"/>
                </w:tcPr>
                <w:p>
                  <w:pPr>
                    <w:adjustRightInd w:val="0"/>
                    <w:snapToGrid w:val="0"/>
                    <w:jc w:val="center"/>
                    <w:rPr>
                      <w:color w:val="000000"/>
                      <w:szCs w:val="21"/>
                    </w:rPr>
                  </w:pPr>
                  <w:r>
                    <w:rPr>
                      <w:color w:val="000000"/>
                      <w:szCs w:val="21"/>
                    </w:rPr>
                    <w:t>达标</w:t>
                  </w:r>
                </w:p>
              </w:tc>
              <w:tc>
                <w:tcPr>
                  <w:tcW w:w="812" w:type="pct"/>
                  <w:gridSpan w:val="2"/>
                  <w:vAlign w:val="center"/>
                </w:tcPr>
                <w:p>
                  <w:pPr>
                    <w:adjustRightInd w:val="0"/>
                    <w:snapToGrid w:val="0"/>
                    <w:jc w:val="center"/>
                    <w:rPr>
                      <w:color w:val="000000"/>
                      <w:szCs w:val="21"/>
                    </w:rPr>
                  </w:pPr>
                  <w:r>
                    <w:rPr>
                      <w:color w:val="000000"/>
                      <w:szCs w:val="21"/>
                    </w:rPr>
                    <w:t>达标</w:t>
                  </w:r>
                </w:p>
              </w:tc>
              <w:tc>
                <w:tcPr>
                  <w:tcW w:w="809" w:type="pct"/>
                  <w:vAlign w:val="center"/>
                </w:tcPr>
                <w:p>
                  <w:pPr>
                    <w:adjustRightInd w:val="0"/>
                    <w:snapToGrid w:val="0"/>
                    <w:jc w:val="center"/>
                    <w:rPr>
                      <w:color w:val="000000"/>
                      <w:szCs w:val="21"/>
                    </w:rPr>
                  </w:pPr>
                  <w:r>
                    <w:rPr>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纳管排放量(t/a)</w:t>
                  </w:r>
                </w:p>
              </w:tc>
              <w:tc>
                <w:tcPr>
                  <w:tcW w:w="806" w:type="pct"/>
                  <w:vAlign w:val="center"/>
                </w:tcPr>
                <w:p>
                  <w:pPr>
                    <w:adjustRightInd w:val="0"/>
                    <w:snapToGrid w:val="0"/>
                    <w:jc w:val="center"/>
                    <w:rPr>
                      <w:rFonts w:hint="eastAsia" w:ascii="宋体" w:hAnsi="宋体" w:cs="宋体"/>
                      <w:color w:val="000000"/>
                      <w:sz w:val="24"/>
                    </w:rPr>
                  </w:pPr>
                  <w:r>
                    <w:rPr>
                      <w:rFonts w:hint="eastAsia"/>
                      <w:color w:val="000000"/>
                    </w:rPr>
                    <w:t>0.0504</w:t>
                  </w:r>
                </w:p>
              </w:tc>
              <w:tc>
                <w:tcPr>
                  <w:tcW w:w="807" w:type="pct"/>
                  <w:gridSpan w:val="2"/>
                  <w:vAlign w:val="center"/>
                </w:tcPr>
                <w:p>
                  <w:pPr>
                    <w:adjustRightInd w:val="0"/>
                    <w:snapToGrid w:val="0"/>
                    <w:jc w:val="center"/>
                    <w:rPr>
                      <w:rFonts w:hint="eastAsia" w:ascii="宋体" w:hAnsi="宋体" w:cs="宋体"/>
                      <w:color w:val="000000"/>
                      <w:sz w:val="24"/>
                    </w:rPr>
                  </w:pPr>
                  <w:r>
                    <w:rPr>
                      <w:rFonts w:hint="eastAsia"/>
                      <w:color w:val="000000"/>
                    </w:rPr>
                    <w:t>0.02772</w:t>
                  </w:r>
                </w:p>
              </w:tc>
              <w:tc>
                <w:tcPr>
                  <w:tcW w:w="812" w:type="pct"/>
                  <w:gridSpan w:val="2"/>
                  <w:vAlign w:val="center"/>
                </w:tcPr>
                <w:p>
                  <w:pPr>
                    <w:adjustRightInd w:val="0"/>
                    <w:snapToGrid w:val="0"/>
                    <w:jc w:val="center"/>
                    <w:rPr>
                      <w:rFonts w:hint="eastAsia" w:ascii="宋体" w:hAnsi="宋体" w:cs="宋体"/>
                      <w:color w:val="000000"/>
                      <w:sz w:val="24"/>
                    </w:rPr>
                  </w:pPr>
                  <w:r>
                    <w:rPr>
                      <w:rFonts w:hint="eastAsia"/>
                      <w:color w:val="000000"/>
                    </w:rPr>
                    <w:t>0.0252</w:t>
                  </w:r>
                </w:p>
              </w:tc>
              <w:tc>
                <w:tcPr>
                  <w:tcW w:w="809" w:type="pct"/>
                  <w:vAlign w:val="center"/>
                </w:tcPr>
                <w:p>
                  <w:pPr>
                    <w:adjustRightInd w:val="0"/>
                    <w:snapToGrid w:val="0"/>
                    <w:jc w:val="center"/>
                    <w:rPr>
                      <w:rFonts w:hint="eastAsia" w:ascii="宋体" w:hAnsi="宋体" w:cs="宋体"/>
                      <w:color w:val="000000"/>
                      <w:sz w:val="24"/>
                    </w:rPr>
                  </w:pPr>
                  <w:r>
                    <w:rPr>
                      <w:rFonts w:hint="eastAsia"/>
                      <w:color w:val="000000"/>
                    </w:rPr>
                    <w:t>0.0063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6" w:type="pct"/>
                  <w:vAlign w:val="center"/>
                </w:tcPr>
                <w:p>
                  <w:pPr>
                    <w:adjustRightInd w:val="0"/>
                    <w:snapToGrid w:val="0"/>
                    <w:spacing w:line="340" w:lineRule="exact"/>
                    <w:jc w:val="center"/>
                    <w:rPr>
                      <w:color w:val="000000"/>
                      <w:szCs w:val="21"/>
                    </w:rPr>
                  </w:pPr>
                  <w:r>
                    <w:rPr>
                      <w:color w:val="000000"/>
                      <w:szCs w:val="21"/>
                    </w:rPr>
                    <w:t>削减量（t/a）</w:t>
                  </w:r>
                </w:p>
              </w:tc>
              <w:tc>
                <w:tcPr>
                  <w:tcW w:w="806" w:type="pct"/>
                  <w:vAlign w:val="center"/>
                </w:tcPr>
                <w:p>
                  <w:pPr>
                    <w:adjustRightInd w:val="0"/>
                    <w:snapToGrid w:val="0"/>
                    <w:jc w:val="center"/>
                    <w:rPr>
                      <w:rFonts w:hint="eastAsia" w:ascii="宋体" w:hAnsi="宋体" w:cs="宋体"/>
                      <w:color w:val="000000"/>
                      <w:sz w:val="24"/>
                    </w:rPr>
                  </w:pPr>
                  <w:r>
                    <w:rPr>
                      <w:rFonts w:hint="eastAsia"/>
                      <w:color w:val="000000"/>
                    </w:rPr>
                    <w:t>0.0216</w:t>
                  </w:r>
                </w:p>
              </w:tc>
              <w:tc>
                <w:tcPr>
                  <w:tcW w:w="807" w:type="pct"/>
                  <w:gridSpan w:val="2"/>
                  <w:vAlign w:val="center"/>
                </w:tcPr>
                <w:p>
                  <w:pPr>
                    <w:adjustRightInd w:val="0"/>
                    <w:snapToGrid w:val="0"/>
                    <w:jc w:val="center"/>
                    <w:rPr>
                      <w:rFonts w:hint="eastAsia" w:ascii="宋体" w:hAnsi="宋体" w:cs="宋体"/>
                      <w:color w:val="000000"/>
                      <w:sz w:val="24"/>
                    </w:rPr>
                  </w:pPr>
                  <w:r>
                    <w:rPr>
                      <w:rFonts w:hint="eastAsia"/>
                      <w:color w:val="000000"/>
                    </w:rPr>
                    <w:t>0.01188</w:t>
                  </w:r>
                </w:p>
              </w:tc>
              <w:tc>
                <w:tcPr>
                  <w:tcW w:w="812" w:type="pct"/>
                  <w:gridSpan w:val="2"/>
                  <w:vAlign w:val="center"/>
                </w:tcPr>
                <w:p>
                  <w:pPr>
                    <w:adjustRightInd w:val="0"/>
                    <w:snapToGrid w:val="0"/>
                    <w:jc w:val="center"/>
                    <w:rPr>
                      <w:rFonts w:hint="eastAsia" w:ascii="宋体" w:hAnsi="宋体" w:cs="宋体"/>
                      <w:color w:val="000000"/>
                      <w:sz w:val="24"/>
                    </w:rPr>
                  </w:pPr>
                  <w:r>
                    <w:rPr>
                      <w:rFonts w:hint="eastAsia"/>
                      <w:color w:val="000000"/>
                    </w:rPr>
                    <w:t>0.0108</w:t>
                  </w:r>
                </w:p>
              </w:tc>
              <w:tc>
                <w:tcPr>
                  <w:tcW w:w="809" w:type="pct"/>
                  <w:vAlign w:val="center"/>
                </w:tcPr>
                <w:p>
                  <w:pPr>
                    <w:adjustRightInd w:val="0"/>
                    <w:snapToGrid w:val="0"/>
                    <w:jc w:val="center"/>
                    <w:rPr>
                      <w:rFonts w:hint="eastAsia" w:ascii="宋体" w:hAnsi="宋体" w:cs="宋体"/>
                      <w:color w:val="000000"/>
                      <w:sz w:val="24"/>
                    </w:rPr>
                  </w:pPr>
                  <w:r>
                    <w:rPr>
                      <w:rFonts w:hint="eastAsia"/>
                      <w:color w:val="000000"/>
                    </w:rPr>
                    <w:t>0</w:t>
                  </w:r>
                </w:p>
              </w:tc>
            </w:tr>
          </w:tbl>
          <w:p>
            <w:pPr>
              <w:adjustRightInd w:val="0"/>
              <w:snapToGrid w:val="0"/>
              <w:spacing w:line="360" w:lineRule="auto"/>
              <w:ind w:firstLine="480" w:firstLineChars="200"/>
              <w:rPr>
                <w:color w:val="000000"/>
                <w:kern w:val="0"/>
                <w:sz w:val="24"/>
              </w:rPr>
            </w:pPr>
            <w:r>
              <w:rPr>
                <w:rFonts w:hint="eastAsia"/>
                <w:color w:val="000000"/>
                <w:kern w:val="0"/>
                <w:sz w:val="24"/>
              </w:rPr>
              <w:t>（2）冷却水</w:t>
            </w:r>
          </w:p>
          <w:p>
            <w:pPr>
              <w:adjustRightInd w:val="0"/>
              <w:snapToGrid w:val="0"/>
              <w:spacing w:line="360" w:lineRule="auto"/>
              <w:ind w:firstLine="480" w:firstLineChars="200"/>
              <w:rPr>
                <w:color w:val="000000"/>
                <w:sz w:val="24"/>
              </w:rPr>
            </w:pPr>
            <w:r>
              <w:rPr>
                <w:rFonts w:hint="eastAsia"/>
                <w:color w:val="000000"/>
                <w:sz w:val="24"/>
              </w:rPr>
              <w:t>项目冷却塔需要定期补充新鲜水量，根据设计文件冷却塔用水量分析项目冷却塔补充用水量约为</w:t>
            </w:r>
            <w:r>
              <w:rPr>
                <w:color w:val="000000"/>
                <w:sz w:val="24"/>
              </w:rPr>
              <w:t>20</w:t>
            </w:r>
            <w:r>
              <w:rPr>
                <w:rFonts w:hint="eastAsia"/>
                <w:color w:val="000000"/>
                <w:sz w:val="24"/>
              </w:rPr>
              <w:t>0</w:t>
            </w:r>
            <w:r>
              <w:rPr>
                <w:color w:val="000000"/>
                <w:sz w:val="24"/>
              </w:rPr>
              <w:t>L</w:t>
            </w:r>
            <w:r>
              <w:rPr>
                <w:rFonts w:hint="eastAsia"/>
                <w:color w:val="000000"/>
                <w:sz w:val="24"/>
              </w:rPr>
              <w:t>/</w:t>
            </w:r>
            <w:r>
              <w:rPr>
                <w:color w:val="000000"/>
                <w:sz w:val="24"/>
              </w:rPr>
              <w:t>d</w:t>
            </w:r>
            <w:r>
              <w:rPr>
                <w:rFonts w:hint="eastAsia"/>
                <w:color w:val="000000"/>
                <w:sz w:val="24"/>
              </w:rPr>
              <w:t>（</w:t>
            </w:r>
            <w:r>
              <w:rPr>
                <w:color w:val="000000"/>
                <w:sz w:val="24"/>
              </w:rPr>
              <w:t>6</w:t>
            </w:r>
            <w:r>
              <w:rPr>
                <w:rFonts w:hint="eastAsia"/>
                <w:color w:val="000000"/>
                <w:sz w:val="24"/>
              </w:rPr>
              <w:t>0</w:t>
            </w:r>
            <w:r>
              <w:rPr>
                <w:color w:val="000000"/>
                <w:sz w:val="24"/>
              </w:rPr>
              <w:t>t/a</w:t>
            </w:r>
            <w:r>
              <w:rPr>
                <w:rFonts w:hint="eastAsia"/>
                <w:color w:val="000000"/>
                <w:sz w:val="24"/>
              </w:rPr>
              <w:t>），项目冷却用水循环使用不外排。</w:t>
            </w:r>
          </w:p>
          <w:p>
            <w:pPr>
              <w:adjustRightInd w:val="0"/>
              <w:snapToGrid w:val="0"/>
              <w:spacing w:line="360" w:lineRule="auto"/>
              <w:ind w:firstLine="480" w:firstLineChars="200"/>
              <w:rPr>
                <w:color w:val="000000"/>
                <w:kern w:val="0"/>
                <w:sz w:val="24"/>
              </w:rPr>
            </w:pPr>
            <w:r>
              <w:rPr>
                <w:rFonts w:hint="eastAsia"/>
                <w:color w:val="000000"/>
                <w:kern w:val="0"/>
                <w:sz w:val="24"/>
              </w:rPr>
              <w:t>（3）雨水</w:t>
            </w:r>
          </w:p>
          <w:p>
            <w:pPr>
              <w:adjustRightInd w:val="0"/>
              <w:snapToGrid w:val="0"/>
              <w:spacing w:line="360" w:lineRule="auto"/>
              <w:ind w:firstLine="480" w:firstLineChars="200"/>
              <w:rPr>
                <w:color w:val="000000"/>
                <w:kern w:val="0"/>
                <w:sz w:val="24"/>
              </w:rPr>
            </w:pPr>
            <w:r>
              <w:rPr>
                <w:rFonts w:hint="eastAsia"/>
                <w:color w:val="000000"/>
                <w:kern w:val="0"/>
                <w:sz w:val="24"/>
              </w:rPr>
              <w:t>项目区域降雨时产生的雨水经依托</w:t>
            </w:r>
            <w:r>
              <w:rPr>
                <w:rFonts w:hint="eastAsia"/>
                <w:color w:val="000000"/>
                <w:sz w:val="24"/>
              </w:rPr>
              <w:t>福清本丰化工新材料科技有限公司</w:t>
            </w:r>
            <w:r>
              <w:rPr>
                <w:rFonts w:hint="eastAsia"/>
                <w:color w:val="000000"/>
                <w:kern w:val="0"/>
                <w:sz w:val="24"/>
              </w:rPr>
              <w:t>厂区内雨水管网，排入市政雨水管网。</w:t>
            </w:r>
          </w:p>
          <w:p>
            <w:pPr>
              <w:adjustRightInd w:val="0"/>
              <w:snapToGrid w:val="0"/>
              <w:spacing w:line="360" w:lineRule="auto"/>
              <w:rPr>
                <w:b/>
                <w:bCs/>
                <w:color w:val="000000"/>
              </w:rPr>
            </w:pPr>
            <w:bookmarkStart w:id="40" w:name="_Toc31751_WPSOffice_Level2"/>
            <w:bookmarkStart w:id="41" w:name="_Toc13927"/>
            <w:bookmarkStart w:id="42" w:name="_Toc9634_WPSOffice_Level2"/>
            <w:bookmarkStart w:id="43" w:name="_Toc17000_WPSOffice_Level1"/>
            <w:r>
              <w:rPr>
                <w:b/>
                <w:bCs/>
                <w:color w:val="000000"/>
              </w:rPr>
              <w:t>2、废水处理措施有效性分析</w:t>
            </w:r>
            <w:bookmarkEnd w:id="40"/>
            <w:bookmarkEnd w:id="41"/>
            <w:bookmarkEnd w:id="42"/>
            <w:bookmarkEnd w:id="43"/>
          </w:p>
          <w:p>
            <w:pPr>
              <w:adjustRightInd w:val="0"/>
              <w:snapToGrid w:val="0"/>
              <w:spacing w:line="360" w:lineRule="auto"/>
              <w:ind w:firstLine="480" w:firstLineChars="200"/>
              <w:rPr>
                <w:color w:val="000000"/>
                <w:sz w:val="24"/>
              </w:rPr>
            </w:pPr>
            <w:r>
              <w:rPr>
                <w:rFonts w:hint="eastAsia"/>
                <w:color w:val="000000"/>
                <w:sz w:val="24"/>
              </w:rPr>
              <w:t>项目生活污水拟经厂区已建化粪池处理后接入市政污水管网送往融元污水处理厂统一处理，项目</w:t>
            </w:r>
            <w:r>
              <w:rPr>
                <w:rFonts w:hint="eastAsia"/>
                <w:color w:val="000000"/>
                <w:sz w:val="24"/>
                <w:lang w:val="en-GB"/>
              </w:rPr>
              <w:t>所租赁的</w:t>
            </w:r>
            <w:r>
              <w:rPr>
                <w:rFonts w:hint="eastAsia"/>
                <w:sz w:val="24"/>
              </w:rPr>
              <w:t>福清市友谊包装材料有限公司</w:t>
            </w:r>
            <w:r>
              <w:rPr>
                <w:rFonts w:hint="eastAsia"/>
                <w:color w:val="000000"/>
                <w:sz w:val="24"/>
                <w:lang w:val="en-GB"/>
              </w:rPr>
              <w:t>项目生活污水管网已经接入市政污水管网，相关协议见附件八。</w:t>
            </w:r>
          </w:p>
          <w:p>
            <w:pPr>
              <w:adjustRightInd w:val="0"/>
              <w:snapToGrid w:val="0"/>
              <w:spacing w:line="360" w:lineRule="auto"/>
              <w:ind w:firstLine="480" w:firstLineChars="200"/>
              <w:rPr>
                <w:color w:val="000000"/>
                <w:sz w:val="24"/>
                <w:lang w:val="en-GB"/>
              </w:rPr>
            </w:pPr>
            <w:r>
              <w:rPr>
                <w:color w:val="000000"/>
                <w:sz w:val="24"/>
                <w:lang w:val="en-GB"/>
              </w:rPr>
              <w:t>项目不涉及生产废水的排放，项目外排污水主要为职工的生活污</w:t>
            </w:r>
            <w:r>
              <w:rPr>
                <w:color w:val="000000"/>
                <w:sz w:val="24"/>
              </w:rPr>
              <w:t>水</w:t>
            </w:r>
            <w:r>
              <w:rPr>
                <w:color w:val="000000"/>
                <w:sz w:val="24"/>
                <w:lang w:val="en-GB"/>
              </w:rPr>
              <w:t>，生活污水经</w:t>
            </w:r>
            <w:r>
              <w:rPr>
                <w:rFonts w:hint="eastAsia"/>
                <w:color w:val="000000"/>
                <w:sz w:val="24"/>
                <w:lang w:val="en-GB"/>
              </w:rPr>
              <w:t>厂</w:t>
            </w:r>
            <w:r>
              <w:rPr>
                <w:color w:val="000000"/>
                <w:sz w:val="24"/>
                <w:lang w:val="en-GB"/>
              </w:rPr>
              <w:t>区已建的化粪池处理后接入市政污水管网，送往</w:t>
            </w:r>
            <w:r>
              <w:rPr>
                <w:rFonts w:hint="eastAsia"/>
                <w:color w:val="000000"/>
                <w:kern w:val="0"/>
                <w:sz w:val="24"/>
              </w:rPr>
              <w:t>融元污水处理厂</w:t>
            </w:r>
            <w:r>
              <w:rPr>
                <w:color w:val="000000"/>
                <w:sz w:val="24"/>
                <w:lang w:val="en-GB"/>
              </w:rPr>
              <w:t>统一处理，项目外排的生活污水中污染浓度较低，成分较简单且不含有毒污染物成分。</w:t>
            </w:r>
          </w:p>
          <w:p>
            <w:pPr>
              <w:widowControl/>
              <w:tabs>
                <w:tab w:val="left" w:pos="790"/>
              </w:tabs>
              <w:adjustRightInd w:val="0"/>
              <w:snapToGrid w:val="0"/>
              <w:spacing w:line="360" w:lineRule="auto"/>
              <w:ind w:firstLine="480" w:firstLineChars="200"/>
              <w:jc w:val="left"/>
              <w:rPr>
                <w:color w:val="000000"/>
                <w:sz w:val="24"/>
              </w:rPr>
            </w:pPr>
            <w:r>
              <w:rPr>
                <w:sz w:val="24"/>
              </w:rPr>
              <w:t>根据业主提供的资料，厂区的化粪池大小为</w:t>
            </w:r>
            <w:r>
              <w:rPr>
                <w:rFonts w:hint="eastAsia"/>
                <w:sz w:val="24"/>
              </w:rPr>
              <w:t>50</w:t>
            </w:r>
            <w:r>
              <w:rPr>
                <w:sz w:val="24"/>
              </w:rPr>
              <w:t>m</w:t>
            </w:r>
            <w:r>
              <w:rPr>
                <w:sz w:val="24"/>
                <w:vertAlign w:val="superscript"/>
              </w:rPr>
              <w:t>3</w:t>
            </w:r>
            <w:r>
              <w:rPr>
                <w:sz w:val="24"/>
              </w:rPr>
              <w:t>，</w:t>
            </w:r>
            <w:r>
              <w:rPr>
                <w:rFonts w:hint="eastAsia"/>
                <w:sz w:val="24"/>
              </w:rPr>
              <w:t>位于厂区东北角。目前出租方内入驻生产企业</w:t>
            </w:r>
            <w:r>
              <w:rPr>
                <w:rFonts w:hint="eastAsia"/>
                <w:bCs/>
                <w:sz w:val="24"/>
                <w:szCs w:val="20"/>
              </w:rPr>
              <w:t>（福清泳茂五金制品有限公司生活污水1.49t/d、</w:t>
            </w:r>
            <w:r>
              <w:rPr>
                <w:rFonts w:hint="eastAsia"/>
                <w:sz w:val="24"/>
              </w:rPr>
              <w:t>福清金奥电子有限公司</w:t>
            </w:r>
            <w:r>
              <w:rPr>
                <w:rFonts w:hint="eastAsia"/>
                <w:bCs/>
                <w:sz w:val="24"/>
                <w:szCs w:val="20"/>
              </w:rPr>
              <w:t>生活污水</w:t>
            </w:r>
            <w:r>
              <w:rPr>
                <w:rFonts w:hint="eastAsia"/>
                <w:sz w:val="24"/>
              </w:rPr>
              <w:t>1.28t/d、</w:t>
            </w:r>
            <w:r>
              <w:rPr>
                <w:rFonts w:hint="eastAsia"/>
                <w:bCs/>
                <w:sz w:val="24"/>
                <w:szCs w:val="20"/>
              </w:rPr>
              <w:t>福清市斯威新材料有限公司生活污水</w:t>
            </w:r>
            <w:r>
              <w:rPr>
                <w:rFonts w:hint="eastAsia"/>
                <w:sz w:val="24"/>
              </w:rPr>
              <w:t>1.35</w:t>
            </w:r>
            <w:r>
              <w:rPr>
                <w:sz w:val="24"/>
              </w:rPr>
              <w:t>t/d</w:t>
            </w:r>
            <w:r>
              <w:rPr>
                <w:rFonts w:hint="eastAsia"/>
                <w:sz w:val="24"/>
              </w:rPr>
              <w:t>、</w:t>
            </w:r>
            <w:r>
              <w:rPr>
                <w:rFonts w:hint="eastAsia"/>
                <w:bCs/>
                <w:sz w:val="24"/>
                <w:szCs w:val="20"/>
              </w:rPr>
              <w:t>正高（福州）纸品有限公司生活污水</w:t>
            </w:r>
            <w:r>
              <w:rPr>
                <w:sz w:val="24"/>
              </w:rPr>
              <w:t>2</w:t>
            </w:r>
            <w:r>
              <w:rPr>
                <w:rFonts w:hint="eastAsia"/>
                <w:sz w:val="24"/>
              </w:rPr>
              <w:t>t/d、福清鑫奥众电子有限公司</w:t>
            </w:r>
            <w:r>
              <w:rPr>
                <w:rFonts w:hint="eastAsia"/>
                <w:bCs/>
                <w:sz w:val="24"/>
                <w:szCs w:val="20"/>
              </w:rPr>
              <w:t>生活污水</w:t>
            </w:r>
            <w:r>
              <w:rPr>
                <w:rFonts w:hint="eastAsia"/>
                <w:sz w:val="24"/>
              </w:rPr>
              <w:t>2.13</w:t>
            </w:r>
            <w:r>
              <w:rPr>
                <w:sz w:val="24"/>
              </w:rPr>
              <w:t>t/d</w:t>
            </w:r>
            <w:r>
              <w:rPr>
                <w:rFonts w:hint="eastAsia"/>
                <w:bCs/>
                <w:sz w:val="24"/>
                <w:szCs w:val="20"/>
              </w:rPr>
              <w:t>）。</w:t>
            </w:r>
            <w:r>
              <w:rPr>
                <w:rFonts w:hint="eastAsia"/>
                <w:color w:val="000000"/>
                <w:sz w:val="24"/>
              </w:rPr>
              <w:t>本项目扩建完成后生活污水排放量约为0.6t/d，约占化粪池剩余容积（41.75</w:t>
            </w:r>
            <w:r>
              <w:rPr>
                <w:sz w:val="24"/>
              </w:rPr>
              <w:t>m</w:t>
            </w:r>
            <w:r>
              <w:rPr>
                <w:sz w:val="24"/>
                <w:vertAlign w:val="superscript"/>
              </w:rPr>
              <w:t>3</w:t>
            </w:r>
            <w:r>
              <w:rPr>
                <w:rFonts w:hint="eastAsia"/>
                <w:color w:val="000000"/>
                <w:sz w:val="24"/>
              </w:rPr>
              <w:t>）的1.44%，因此本项目生活污水依托已建的化粪池进行处理可行</w:t>
            </w:r>
            <w:r>
              <w:rPr>
                <w:rFonts w:hint="eastAsia"/>
                <w:color w:val="000000"/>
                <w:sz w:val="24"/>
                <w:lang w:eastAsia="zh-CN"/>
              </w:rPr>
              <w:t>且</w:t>
            </w:r>
            <w:r>
              <w:rPr>
                <w:rFonts w:hint="eastAsia"/>
                <w:color w:val="000000"/>
                <w:sz w:val="24"/>
              </w:rPr>
              <w:t>本项目已经获得了</w:t>
            </w:r>
            <w:r>
              <w:rPr>
                <w:rFonts w:hint="eastAsia"/>
                <w:sz w:val="24"/>
              </w:rPr>
              <w:t>福清市友谊包装材料有限公司</w:t>
            </w:r>
            <w:r>
              <w:rPr>
                <w:rFonts w:hint="eastAsia"/>
                <w:color w:val="000000"/>
                <w:sz w:val="24"/>
              </w:rPr>
              <w:t>的同意使用该化粪池（见附件七），因此本项目生活污水依托</w:t>
            </w:r>
            <w:r>
              <w:rPr>
                <w:rFonts w:hint="eastAsia"/>
                <w:sz w:val="24"/>
              </w:rPr>
              <w:t>福清市友谊包装材料有限公司</w:t>
            </w:r>
            <w:r>
              <w:rPr>
                <w:rFonts w:hint="eastAsia"/>
                <w:color w:val="000000"/>
                <w:sz w:val="24"/>
              </w:rPr>
              <w:t>已建的化粪池进行处理可行。生活污水经化粪池预处理达到排放标准后，废水纳入管网排入融元污水处理厂。外排主要水污染物为COD、BOD</w:t>
            </w:r>
            <w:r>
              <w:rPr>
                <w:rFonts w:hint="eastAsia"/>
                <w:color w:val="000000"/>
                <w:sz w:val="24"/>
                <w:vertAlign w:val="subscript"/>
              </w:rPr>
              <w:t>5</w:t>
            </w:r>
            <w:r>
              <w:rPr>
                <w:rFonts w:hint="eastAsia"/>
                <w:color w:val="000000"/>
                <w:sz w:val="24"/>
              </w:rPr>
              <w:t>、氨氮，经预处理后对地表水体环境影响程度小。</w:t>
            </w:r>
          </w:p>
          <w:p>
            <w:pPr>
              <w:adjustRightInd w:val="0"/>
              <w:snapToGrid w:val="0"/>
              <w:spacing w:line="360" w:lineRule="auto"/>
              <w:ind w:firstLine="480" w:firstLineChars="200"/>
              <w:rPr>
                <w:color w:val="000000"/>
                <w:sz w:val="24"/>
                <w:lang w:val="en-GB"/>
              </w:rPr>
            </w:pPr>
            <w:r>
              <w:rPr>
                <w:color w:val="000000"/>
                <w:sz w:val="24"/>
                <w:lang w:val="en-GB"/>
              </w:rPr>
              <w:t>根据预测，项目污水中污染物浓度经预处理后可达到《污水综合排放标准》(GB8978-1996)表4中三级标准及《污水排入城镇下水道水质标准》(GB/T 31962-2015)表1中</w:t>
            </w:r>
            <w:r>
              <w:rPr>
                <w:color w:val="000000"/>
                <w:sz w:val="24"/>
              </w:rPr>
              <w:t>B级</w:t>
            </w:r>
            <w:r>
              <w:rPr>
                <w:color w:val="000000"/>
                <w:sz w:val="24"/>
                <w:lang w:val="en-GB"/>
              </w:rPr>
              <w:t>标准限值，同时可符合</w:t>
            </w:r>
            <w:r>
              <w:rPr>
                <w:rFonts w:hint="eastAsia"/>
                <w:color w:val="000000"/>
                <w:sz w:val="24"/>
                <w:lang w:val="en-GB"/>
              </w:rPr>
              <w:t>融元污水处理厂</w:t>
            </w:r>
            <w:r>
              <w:rPr>
                <w:color w:val="000000"/>
                <w:sz w:val="24"/>
                <w:lang w:val="en-GB"/>
              </w:rPr>
              <w:t>进水水质要求，并且项目附近属于</w:t>
            </w:r>
            <w:r>
              <w:rPr>
                <w:rFonts w:hint="eastAsia"/>
                <w:color w:val="000000"/>
                <w:sz w:val="24"/>
                <w:lang w:val="en-GB"/>
              </w:rPr>
              <w:t>融元污水处理厂</w:t>
            </w:r>
            <w:r>
              <w:rPr>
                <w:color w:val="000000"/>
                <w:sz w:val="24"/>
                <w:lang w:val="en-GB"/>
              </w:rPr>
              <w:t>污水接收管网范围内</w:t>
            </w:r>
            <w:r>
              <w:rPr>
                <w:rFonts w:hint="eastAsia"/>
                <w:color w:val="000000"/>
                <w:sz w:val="24"/>
                <w:lang w:val="en-GB" w:eastAsia="zh-CN"/>
              </w:rPr>
              <w:t>且</w:t>
            </w:r>
            <w:r>
              <w:rPr>
                <w:rFonts w:hint="eastAsia"/>
                <w:color w:val="000000"/>
                <w:sz w:val="24"/>
                <w:lang w:val="en-GB"/>
              </w:rPr>
              <w:t>项目已经取得了</w:t>
            </w:r>
            <w:r>
              <w:rPr>
                <w:rFonts w:hint="eastAsia"/>
                <w:color w:val="000000"/>
                <w:sz w:val="24"/>
              </w:rPr>
              <w:t>城市排水许可证</w:t>
            </w:r>
            <w:r>
              <w:rPr>
                <w:rFonts w:hint="eastAsia"/>
                <w:color w:val="000000"/>
                <w:sz w:val="24"/>
                <w:lang w:val="en-GB"/>
              </w:rPr>
              <w:t>说明本项目租赁的</w:t>
            </w:r>
            <w:r>
              <w:rPr>
                <w:rFonts w:hint="eastAsia"/>
                <w:sz w:val="24"/>
              </w:rPr>
              <w:t>福清市友谊包装材料有限公司</w:t>
            </w:r>
            <w:r>
              <w:rPr>
                <w:rFonts w:hint="eastAsia"/>
                <w:color w:val="000000"/>
                <w:sz w:val="24"/>
                <w:lang w:val="en-GB"/>
              </w:rPr>
              <w:t>已经接入市政污水管网（详见附件八）。</w:t>
            </w:r>
            <w:r>
              <w:rPr>
                <w:color w:val="000000"/>
                <w:sz w:val="24"/>
                <w:lang w:val="en-GB"/>
              </w:rPr>
              <w:t>因此，项目外排生活污水排入</w:t>
            </w:r>
            <w:r>
              <w:rPr>
                <w:rFonts w:hint="eastAsia"/>
                <w:color w:val="000000"/>
                <w:sz w:val="24"/>
                <w:lang w:val="en-GB"/>
              </w:rPr>
              <w:t>融元污水处理厂</w:t>
            </w:r>
            <w:r>
              <w:rPr>
                <w:color w:val="000000"/>
                <w:sz w:val="24"/>
                <w:lang w:val="en-GB"/>
              </w:rPr>
              <w:t>处理是可行的。由于项目外排生活污水不直接排入地表水体，几乎不会对区域地表水环境产生直接不利影响，采取的环保措施合理可行。</w:t>
            </w:r>
          </w:p>
          <w:p>
            <w:pPr>
              <w:adjustRightInd w:val="0"/>
              <w:snapToGrid w:val="0"/>
              <w:spacing w:line="360" w:lineRule="auto"/>
              <w:ind w:firstLine="480" w:firstLineChars="200"/>
              <w:rPr>
                <w:rFonts w:hint="eastAsia" w:ascii="宋体" w:hAnsi="宋体"/>
                <w:color w:val="000000"/>
                <w:sz w:val="24"/>
                <w:lang w:val="en-GB"/>
              </w:rPr>
            </w:pPr>
            <w:r>
              <w:rPr>
                <w:color w:val="000000"/>
                <w:sz w:val="24"/>
                <w:lang w:val="en-GB"/>
              </w:rPr>
              <w:t>本项目生活污水通过市政管网排入融元污水处理厂，项目污水排放量为0.6m</w:t>
            </w:r>
            <w:r>
              <w:rPr>
                <w:color w:val="000000"/>
                <w:sz w:val="24"/>
                <w:vertAlign w:val="superscript"/>
                <w:lang w:val="en-GB"/>
              </w:rPr>
              <w:t>3</w:t>
            </w:r>
            <w:r>
              <w:rPr>
                <w:color w:val="000000"/>
                <w:sz w:val="24"/>
                <w:lang w:val="en-GB"/>
              </w:rPr>
              <w:t>/d。</w:t>
            </w:r>
            <w:r>
              <w:rPr>
                <w:color w:val="000000"/>
                <w:sz w:val="24"/>
              </w:rPr>
              <w:t>根据调查，目前福清市融元污水处理厂厂内提标及改造工程已经完成并正常使用，平均处理规模约为11.85万m³/d，剩余处理能力1500m³/d。本项目生活污水排放量0.6t/d，仅占福清市融元污水处理厂剩余处理规模的0.04%，污水处理厂采用“处理+二级生化处理+深化处理”，属于城镇污水处理厂通用工艺，因此，从处理能力及处理工艺分析，福清市融元污水处</w:t>
            </w:r>
            <w:r>
              <w:rPr>
                <w:rFonts w:ascii="宋体" w:hAnsi="宋体"/>
                <w:color w:val="000000"/>
                <w:sz w:val="24"/>
              </w:rPr>
              <w:t>理厂可接纳项目废水排放量，不会对污水厂水量负荷造成冲击。故本项目废水排入福清市融元污水处理厂的处理措施可行</w:t>
            </w:r>
            <w:r>
              <w:rPr>
                <w:rFonts w:ascii="宋体" w:hAnsi="宋体"/>
                <w:color w:val="000000"/>
                <w:sz w:val="24"/>
                <w:lang w:val="en-GB"/>
              </w:rPr>
              <w:t>。</w:t>
            </w:r>
          </w:p>
          <w:p>
            <w:pPr>
              <w:adjustRightInd w:val="0"/>
              <w:snapToGrid w:val="0"/>
              <w:spacing w:line="360" w:lineRule="auto"/>
              <w:rPr>
                <w:b/>
                <w:bCs/>
                <w:color w:val="000000"/>
                <w:szCs w:val="21"/>
              </w:rPr>
            </w:pPr>
            <w:r>
              <w:rPr>
                <w:rFonts w:hint="eastAsia"/>
                <w:b/>
                <w:bCs/>
                <w:color w:val="000000"/>
                <w:szCs w:val="21"/>
              </w:rPr>
              <w:t>3、</w:t>
            </w:r>
            <w:r>
              <w:rPr>
                <w:b/>
                <w:bCs/>
                <w:color w:val="000000"/>
                <w:szCs w:val="21"/>
              </w:rPr>
              <w:t>废水检测计划</w:t>
            </w:r>
          </w:p>
          <w:p>
            <w:pPr>
              <w:spacing w:line="360" w:lineRule="auto"/>
              <w:ind w:firstLine="480" w:firstLineChars="200"/>
              <w:jc w:val="left"/>
              <w:rPr>
                <w:color w:val="000000"/>
                <w:sz w:val="24"/>
              </w:rPr>
            </w:pPr>
            <w:r>
              <w:rPr>
                <w:color w:val="000000"/>
                <w:sz w:val="24"/>
              </w:rPr>
              <w:t>根据</w:t>
            </w:r>
            <w:r>
              <w:rPr>
                <w:rFonts w:hint="eastAsia"/>
                <w:color w:val="000000"/>
                <w:sz w:val="24"/>
              </w:rPr>
              <w:t>《排污单位自行监测技术指南总则》（</w:t>
            </w:r>
            <w:r>
              <w:rPr>
                <w:color w:val="000000"/>
                <w:sz w:val="24"/>
              </w:rPr>
              <w:t>HJ819-2017</w:t>
            </w:r>
            <w:r>
              <w:rPr>
                <w:rFonts w:hint="eastAsia"/>
                <w:color w:val="000000"/>
                <w:sz w:val="24"/>
              </w:rPr>
              <w:t>）、《排污单位自行监测技术指南橡胶和塑料制品》（</w:t>
            </w:r>
            <w:r>
              <w:rPr>
                <w:color w:val="000000"/>
                <w:sz w:val="24"/>
              </w:rPr>
              <w:t>HJ</w:t>
            </w:r>
            <w:r>
              <w:rPr>
                <w:rFonts w:hint="eastAsia"/>
                <w:color w:val="000000"/>
                <w:sz w:val="24"/>
              </w:rPr>
              <w:t>1027</w:t>
            </w:r>
            <w:r>
              <w:rPr>
                <w:color w:val="000000"/>
                <w:sz w:val="24"/>
              </w:rPr>
              <w:t>-20</w:t>
            </w:r>
            <w:r>
              <w:rPr>
                <w:rFonts w:hint="eastAsia"/>
                <w:color w:val="000000"/>
                <w:sz w:val="24"/>
              </w:rPr>
              <w:t>21）</w:t>
            </w:r>
            <w:r>
              <w:rPr>
                <w:color w:val="000000"/>
                <w:sz w:val="24"/>
              </w:rPr>
              <w:t>，结合本建设项目的特点和周边环境特点，以及相应的环保设施，</w:t>
            </w:r>
            <w:r>
              <w:rPr>
                <w:rFonts w:hint="eastAsia"/>
                <w:color w:val="000000"/>
                <w:sz w:val="24"/>
              </w:rPr>
              <w:t>项目</w:t>
            </w:r>
            <w:r>
              <w:rPr>
                <w:color w:val="000000"/>
                <w:sz w:val="24"/>
              </w:rPr>
              <w:t>生活污水经现有化粪池处理后排入</w:t>
            </w:r>
            <w:r>
              <w:rPr>
                <w:rFonts w:hint="eastAsia"/>
                <w:color w:val="000000"/>
                <w:sz w:val="24"/>
              </w:rPr>
              <w:t>市政</w:t>
            </w:r>
            <w:r>
              <w:rPr>
                <w:color w:val="000000"/>
                <w:sz w:val="24"/>
              </w:rPr>
              <w:t>污水管网进入</w:t>
            </w:r>
            <w:r>
              <w:rPr>
                <w:rFonts w:hint="eastAsia"/>
                <w:color w:val="000000"/>
                <w:sz w:val="24"/>
              </w:rPr>
              <w:t>福清市融元污水</w:t>
            </w:r>
            <w:r>
              <w:rPr>
                <w:color w:val="000000"/>
                <w:sz w:val="24"/>
              </w:rPr>
              <w:t>处理厂处理</w:t>
            </w:r>
            <w:r>
              <w:rPr>
                <w:rFonts w:hint="eastAsia"/>
                <w:color w:val="000000"/>
                <w:sz w:val="24"/>
              </w:rPr>
              <w:t>，</w:t>
            </w:r>
            <w:r>
              <w:rPr>
                <w:color w:val="000000"/>
                <w:sz w:val="24"/>
              </w:rPr>
              <w:t>生活污水间接排放可不进行监测</w:t>
            </w:r>
            <w:r>
              <w:rPr>
                <w:rFonts w:hint="eastAsia"/>
                <w:color w:val="000000"/>
                <w:sz w:val="24"/>
              </w:rPr>
              <w:t>。</w:t>
            </w:r>
          </w:p>
          <w:p>
            <w:pPr>
              <w:widowControl/>
              <w:spacing w:line="360" w:lineRule="auto"/>
              <w:jc w:val="left"/>
              <w:outlineLvl w:val="2"/>
              <w:rPr>
                <w:b/>
                <w:color w:val="000000"/>
                <w:kern w:val="0"/>
                <w:sz w:val="28"/>
                <w:szCs w:val="28"/>
              </w:rPr>
            </w:pPr>
            <w:r>
              <w:rPr>
                <w:b/>
                <w:color w:val="000000"/>
                <w:kern w:val="0"/>
                <w:sz w:val="28"/>
                <w:szCs w:val="28"/>
              </w:rPr>
              <w:t>4.2.3噪声</w:t>
            </w:r>
          </w:p>
          <w:p>
            <w:pPr>
              <w:adjustRightInd w:val="0"/>
              <w:spacing w:line="360" w:lineRule="auto"/>
              <w:ind w:firstLine="480" w:firstLineChars="200"/>
              <w:contextualSpacing/>
              <w:rPr>
                <w:color w:val="000000"/>
                <w:sz w:val="24"/>
              </w:rPr>
            </w:pPr>
            <w:r>
              <w:rPr>
                <w:color w:val="000000"/>
                <w:sz w:val="24"/>
              </w:rPr>
              <w:t>项目投产后，噪声主要来自</w:t>
            </w:r>
            <w:r>
              <w:rPr>
                <w:rFonts w:hint="eastAsia"/>
                <w:color w:val="000000"/>
                <w:sz w:val="24"/>
              </w:rPr>
              <w:t>造粒设备、搅拌机</w:t>
            </w:r>
            <w:r>
              <w:rPr>
                <w:color w:val="000000"/>
                <w:sz w:val="24"/>
              </w:rPr>
              <w:t>的设备运转。本项目的生产设备噪声声级在</w:t>
            </w:r>
            <w:r>
              <w:rPr>
                <w:rFonts w:hint="eastAsia"/>
                <w:color w:val="000000"/>
                <w:sz w:val="24"/>
              </w:rPr>
              <w:t>70</w:t>
            </w:r>
            <w:r>
              <w:rPr>
                <w:color w:val="000000"/>
                <w:sz w:val="24"/>
              </w:rPr>
              <w:t>~</w:t>
            </w:r>
            <w:r>
              <w:rPr>
                <w:rFonts w:hint="eastAsia"/>
                <w:color w:val="000000"/>
                <w:sz w:val="24"/>
              </w:rPr>
              <w:t>85</w:t>
            </w:r>
            <w:r>
              <w:rPr>
                <w:color w:val="000000"/>
                <w:sz w:val="24"/>
              </w:rPr>
              <w:t>dB（A），产生噪声源强较大的设备详见下表。</w:t>
            </w:r>
          </w:p>
          <w:p>
            <w:pPr>
              <w:adjustRightInd w:val="0"/>
              <w:snapToGrid w:val="0"/>
              <w:jc w:val="center"/>
              <w:rPr>
                <w:b/>
                <w:color w:val="000000"/>
                <w:spacing w:val="-10"/>
                <w:sz w:val="24"/>
              </w:rPr>
            </w:pPr>
            <w:r>
              <w:rPr>
                <w:b/>
                <w:color w:val="000000"/>
                <w:spacing w:val="-10"/>
                <w:sz w:val="24"/>
              </w:rPr>
              <w:t>表4.2-</w:t>
            </w:r>
            <w:r>
              <w:rPr>
                <w:rFonts w:hint="eastAsia"/>
                <w:b/>
                <w:color w:val="000000"/>
                <w:spacing w:val="-10"/>
                <w:sz w:val="24"/>
              </w:rPr>
              <w:t>12</w:t>
            </w:r>
            <w:r>
              <w:rPr>
                <w:b/>
                <w:color w:val="000000"/>
                <w:spacing w:val="-10"/>
                <w:sz w:val="24"/>
              </w:rPr>
              <w:t xml:space="preserve">  噪声污染源源强核算结果及相关参数一览表</w:t>
            </w:r>
          </w:p>
          <w:tbl>
            <w:tblPr>
              <w:tblStyle w:val="20"/>
              <w:tblW w:w="5000"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45"/>
              <w:gridCol w:w="772"/>
              <w:gridCol w:w="636"/>
              <w:gridCol w:w="514"/>
              <w:gridCol w:w="602"/>
              <w:gridCol w:w="801"/>
              <w:gridCol w:w="665"/>
              <w:gridCol w:w="1019"/>
              <w:gridCol w:w="801"/>
              <w:gridCol w:w="602"/>
              <w:gridCol w:w="801"/>
              <w:gridCol w:w="645"/>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restart"/>
                  <w:shd w:val="clear" w:color="auto" w:fill="E7E6E6"/>
                  <w:vAlign w:val="center"/>
                </w:tcPr>
                <w:p>
                  <w:pPr>
                    <w:pStyle w:val="57"/>
                    <w:rPr>
                      <w:b/>
                      <w:color w:val="000000"/>
                      <w:lang w:val="en-US" w:eastAsia="zh-CN"/>
                    </w:rPr>
                  </w:pPr>
                  <w:r>
                    <w:rPr>
                      <w:rFonts w:hint="eastAsia"/>
                      <w:b/>
                      <w:color w:val="000000"/>
                      <w:lang w:val="en-US" w:eastAsia="zh-CN"/>
                    </w:rPr>
                    <w:t>所在位置</w:t>
                  </w:r>
                </w:p>
              </w:tc>
              <w:tc>
                <w:tcPr>
                  <w:tcW w:w="454" w:type="pct"/>
                  <w:vMerge w:val="restart"/>
                  <w:shd w:val="clear" w:color="auto" w:fill="E7E6E6"/>
                  <w:vAlign w:val="center"/>
                </w:tcPr>
                <w:p>
                  <w:pPr>
                    <w:pStyle w:val="57"/>
                    <w:rPr>
                      <w:b/>
                      <w:color w:val="000000"/>
                      <w:lang w:val="en-US" w:eastAsia="zh-CN"/>
                    </w:rPr>
                  </w:pPr>
                  <w:r>
                    <w:rPr>
                      <w:rFonts w:hint="eastAsia"/>
                      <w:b/>
                      <w:color w:val="000000"/>
                      <w:lang w:val="en-US" w:eastAsia="zh-CN"/>
                    </w:rPr>
                    <w:t>噪声源</w:t>
                  </w:r>
                </w:p>
              </w:tc>
              <w:tc>
                <w:tcPr>
                  <w:tcW w:w="374" w:type="pct"/>
                  <w:vMerge w:val="restart"/>
                  <w:shd w:val="clear" w:color="auto" w:fill="E7E6E6"/>
                  <w:vAlign w:val="center"/>
                </w:tcPr>
                <w:p>
                  <w:pPr>
                    <w:pStyle w:val="57"/>
                    <w:rPr>
                      <w:b/>
                      <w:color w:val="000000"/>
                      <w:lang w:val="en-US" w:eastAsia="zh-CN"/>
                    </w:rPr>
                  </w:pPr>
                  <w:r>
                    <w:rPr>
                      <w:rFonts w:hint="eastAsia"/>
                      <w:b/>
                      <w:color w:val="000000"/>
                      <w:lang w:val="en-US" w:eastAsia="zh-CN"/>
                    </w:rPr>
                    <w:t>声源类型</w:t>
                  </w:r>
                </w:p>
              </w:tc>
              <w:tc>
                <w:tcPr>
                  <w:tcW w:w="302" w:type="pct"/>
                  <w:vMerge w:val="restart"/>
                  <w:shd w:val="clear" w:color="auto" w:fill="E7E6E6"/>
                  <w:vAlign w:val="center"/>
                </w:tcPr>
                <w:p>
                  <w:pPr>
                    <w:pStyle w:val="57"/>
                    <w:rPr>
                      <w:b/>
                      <w:color w:val="000000"/>
                      <w:lang w:val="en-US" w:eastAsia="zh-CN"/>
                    </w:rPr>
                  </w:pPr>
                  <w:r>
                    <w:rPr>
                      <w:b/>
                      <w:color w:val="000000"/>
                      <w:lang w:val="en-US" w:eastAsia="zh-CN"/>
                    </w:rPr>
                    <w:t>数量</w:t>
                  </w:r>
                </w:p>
                <w:p>
                  <w:pPr>
                    <w:pStyle w:val="57"/>
                    <w:rPr>
                      <w:b/>
                      <w:color w:val="000000"/>
                      <w:lang w:val="en-US" w:eastAsia="zh-CN"/>
                    </w:rPr>
                  </w:pPr>
                  <w:r>
                    <w:rPr>
                      <w:rFonts w:hint="eastAsia"/>
                      <w:b/>
                      <w:color w:val="000000"/>
                      <w:lang w:val="en-US" w:eastAsia="zh-CN"/>
                    </w:rPr>
                    <w:t>/</w:t>
                  </w:r>
                  <w:r>
                    <w:rPr>
                      <w:b/>
                      <w:color w:val="000000"/>
                      <w:lang w:val="en-US" w:eastAsia="zh-CN"/>
                    </w:rPr>
                    <w:t>台</w:t>
                  </w:r>
                </w:p>
              </w:tc>
              <w:tc>
                <w:tcPr>
                  <w:tcW w:w="825" w:type="pct"/>
                  <w:gridSpan w:val="2"/>
                  <w:shd w:val="clear" w:color="auto" w:fill="E7E6E6"/>
                  <w:vAlign w:val="center"/>
                </w:tcPr>
                <w:p>
                  <w:pPr>
                    <w:pStyle w:val="57"/>
                    <w:rPr>
                      <w:b/>
                      <w:color w:val="000000"/>
                      <w:lang w:val="en-US" w:eastAsia="zh-CN"/>
                    </w:rPr>
                  </w:pPr>
                  <w:r>
                    <w:rPr>
                      <w:rFonts w:hint="eastAsia"/>
                      <w:b/>
                      <w:color w:val="000000"/>
                      <w:lang w:val="en-US" w:eastAsia="zh-CN"/>
                    </w:rPr>
                    <w:t>噪声源强</w:t>
                  </w:r>
                </w:p>
              </w:tc>
              <w:tc>
                <w:tcPr>
                  <w:tcW w:w="1461" w:type="pct"/>
                  <w:gridSpan w:val="3"/>
                  <w:shd w:val="clear" w:color="auto" w:fill="E7E6E6"/>
                  <w:vAlign w:val="center"/>
                </w:tcPr>
                <w:p>
                  <w:pPr>
                    <w:pStyle w:val="57"/>
                    <w:rPr>
                      <w:b/>
                      <w:color w:val="000000"/>
                      <w:lang w:val="en-US" w:eastAsia="zh-CN"/>
                    </w:rPr>
                  </w:pPr>
                  <w:r>
                    <w:rPr>
                      <w:b/>
                      <w:color w:val="000000"/>
                      <w:lang w:val="en-US" w:eastAsia="zh-CN"/>
                    </w:rPr>
                    <w:t>降噪措施</w:t>
                  </w:r>
                </w:p>
              </w:tc>
              <w:tc>
                <w:tcPr>
                  <w:tcW w:w="825" w:type="pct"/>
                  <w:gridSpan w:val="2"/>
                  <w:shd w:val="clear" w:color="auto" w:fill="E7E6E6"/>
                  <w:vAlign w:val="center"/>
                </w:tcPr>
                <w:p>
                  <w:pPr>
                    <w:pStyle w:val="57"/>
                    <w:rPr>
                      <w:b/>
                      <w:color w:val="000000"/>
                      <w:lang w:val="en-US" w:eastAsia="zh-CN"/>
                    </w:rPr>
                  </w:pPr>
                  <w:r>
                    <w:rPr>
                      <w:rFonts w:hint="eastAsia"/>
                      <w:b/>
                      <w:color w:val="000000"/>
                      <w:lang w:val="en-US" w:eastAsia="zh-CN"/>
                    </w:rPr>
                    <w:t>噪声排放量</w:t>
                  </w:r>
                </w:p>
              </w:tc>
              <w:tc>
                <w:tcPr>
                  <w:tcW w:w="379" w:type="pct"/>
                  <w:vMerge w:val="restart"/>
                  <w:shd w:val="clear" w:color="auto" w:fill="E7E6E6"/>
                  <w:vAlign w:val="center"/>
                </w:tcPr>
                <w:p>
                  <w:pPr>
                    <w:pStyle w:val="57"/>
                    <w:rPr>
                      <w:b/>
                      <w:color w:val="000000"/>
                      <w:lang w:val="en-US" w:eastAsia="zh-CN"/>
                    </w:rPr>
                  </w:pPr>
                  <w:r>
                    <w:rPr>
                      <w:rFonts w:hint="eastAsia"/>
                      <w:b/>
                      <w:color w:val="000000"/>
                      <w:lang w:val="en-US" w:eastAsia="zh-CN"/>
                    </w:rPr>
                    <w:t>持续时间/h</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continue"/>
                  <w:vAlign w:val="center"/>
                </w:tcPr>
                <w:p>
                  <w:pPr>
                    <w:pStyle w:val="57"/>
                    <w:rPr>
                      <w:color w:val="000000"/>
                      <w:lang w:val="en-US" w:eastAsia="zh-CN"/>
                    </w:rPr>
                  </w:pPr>
                </w:p>
              </w:tc>
              <w:tc>
                <w:tcPr>
                  <w:tcW w:w="454" w:type="pct"/>
                  <w:vMerge w:val="continue"/>
                  <w:vAlign w:val="center"/>
                </w:tcPr>
                <w:p>
                  <w:pPr>
                    <w:pStyle w:val="57"/>
                    <w:rPr>
                      <w:color w:val="000000"/>
                      <w:lang w:val="en-US" w:eastAsia="zh-CN"/>
                    </w:rPr>
                  </w:pPr>
                </w:p>
              </w:tc>
              <w:tc>
                <w:tcPr>
                  <w:tcW w:w="374" w:type="pct"/>
                  <w:vMerge w:val="continue"/>
                  <w:vAlign w:val="center"/>
                </w:tcPr>
                <w:p>
                  <w:pPr>
                    <w:pStyle w:val="57"/>
                    <w:rPr>
                      <w:color w:val="000000"/>
                      <w:lang w:val="en-US" w:eastAsia="zh-CN"/>
                    </w:rPr>
                  </w:pPr>
                </w:p>
              </w:tc>
              <w:tc>
                <w:tcPr>
                  <w:tcW w:w="302" w:type="pct"/>
                  <w:vMerge w:val="continue"/>
                  <w:vAlign w:val="center"/>
                </w:tcPr>
                <w:p>
                  <w:pPr>
                    <w:pStyle w:val="57"/>
                    <w:rPr>
                      <w:color w:val="000000"/>
                      <w:lang w:val="en-US" w:eastAsia="zh-CN"/>
                    </w:rPr>
                  </w:pPr>
                </w:p>
              </w:tc>
              <w:tc>
                <w:tcPr>
                  <w:tcW w:w="354" w:type="pct"/>
                  <w:shd w:val="clear" w:color="auto" w:fill="E7E6E6"/>
                  <w:vAlign w:val="center"/>
                </w:tcPr>
                <w:p>
                  <w:pPr>
                    <w:pStyle w:val="57"/>
                    <w:rPr>
                      <w:b/>
                      <w:color w:val="000000"/>
                      <w:lang w:val="en-US" w:eastAsia="zh-CN"/>
                    </w:rPr>
                  </w:pPr>
                  <w:r>
                    <w:rPr>
                      <w:rFonts w:hint="eastAsia"/>
                      <w:b/>
                      <w:color w:val="000000"/>
                      <w:lang w:val="en-US" w:eastAsia="zh-CN"/>
                    </w:rPr>
                    <w:t>核算方法</w:t>
                  </w:r>
                </w:p>
              </w:tc>
              <w:tc>
                <w:tcPr>
                  <w:tcW w:w="471" w:type="pct"/>
                  <w:shd w:val="clear" w:color="auto" w:fill="E7E6E6"/>
                  <w:vAlign w:val="center"/>
                </w:tcPr>
                <w:p>
                  <w:pPr>
                    <w:pStyle w:val="57"/>
                    <w:rPr>
                      <w:b/>
                      <w:color w:val="000000"/>
                      <w:lang w:val="en-US" w:eastAsia="zh-CN"/>
                    </w:rPr>
                  </w:pPr>
                  <w:r>
                    <w:rPr>
                      <w:rFonts w:hint="eastAsia"/>
                      <w:b/>
                      <w:color w:val="000000"/>
                      <w:lang w:val="en-US" w:eastAsia="zh-CN"/>
                    </w:rPr>
                    <w:t>声源值</w:t>
                  </w:r>
                </w:p>
                <w:p>
                  <w:pPr>
                    <w:pStyle w:val="57"/>
                    <w:rPr>
                      <w:b/>
                      <w:color w:val="000000"/>
                      <w:lang w:val="en-US" w:eastAsia="zh-CN"/>
                    </w:rPr>
                  </w:pPr>
                  <w:r>
                    <w:rPr>
                      <w:b/>
                      <w:color w:val="000000"/>
                      <w:lang w:val="en-US" w:eastAsia="zh-CN"/>
                    </w:rPr>
                    <w:t>dB</w:t>
                  </w:r>
                  <w:r>
                    <w:rPr>
                      <w:rFonts w:hint="eastAsia"/>
                      <w:b/>
                      <w:color w:val="000000"/>
                      <w:lang w:val="en-US" w:eastAsia="zh-CN"/>
                    </w:rPr>
                    <w:t>（</w:t>
                  </w:r>
                  <w:r>
                    <w:rPr>
                      <w:b/>
                      <w:color w:val="000000"/>
                      <w:lang w:val="en-US" w:eastAsia="zh-CN"/>
                    </w:rPr>
                    <w:t>A</w:t>
                  </w:r>
                  <w:r>
                    <w:rPr>
                      <w:rFonts w:hint="eastAsia"/>
                      <w:b/>
                      <w:color w:val="000000"/>
                      <w:lang w:val="en-US" w:eastAsia="zh-CN"/>
                    </w:rPr>
                    <w:t>）</w:t>
                  </w:r>
                </w:p>
              </w:tc>
              <w:tc>
                <w:tcPr>
                  <w:tcW w:w="391" w:type="pct"/>
                  <w:shd w:val="clear" w:color="auto" w:fill="E7E6E6"/>
                  <w:vAlign w:val="center"/>
                </w:tcPr>
                <w:p>
                  <w:pPr>
                    <w:pStyle w:val="57"/>
                    <w:rPr>
                      <w:b/>
                      <w:color w:val="000000"/>
                      <w:lang w:val="en-US" w:eastAsia="zh-CN"/>
                    </w:rPr>
                  </w:pPr>
                  <w:r>
                    <w:rPr>
                      <w:rFonts w:hint="eastAsia"/>
                      <w:b/>
                      <w:color w:val="000000"/>
                      <w:lang w:val="en-US" w:eastAsia="zh-CN"/>
                    </w:rPr>
                    <w:t>工艺</w:t>
                  </w:r>
                </w:p>
              </w:tc>
              <w:tc>
                <w:tcPr>
                  <w:tcW w:w="599" w:type="pct"/>
                  <w:shd w:val="clear" w:color="auto" w:fill="E7E6E6"/>
                  <w:vAlign w:val="center"/>
                </w:tcPr>
                <w:p>
                  <w:pPr>
                    <w:pStyle w:val="57"/>
                    <w:rPr>
                      <w:b/>
                      <w:color w:val="000000"/>
                      <w:lang w:val="en-US" w:eastAsia="zh-CN"/>
                    </w:rPr>
                  </w:pPr>
                  <w:r>
                    <w:rPr>
                      <w:b/>
                      <w:color w:val="000000"/>
                      <w:lang w:val="en-US" w:eastAsia="zh-CN"/>
                    </w:rPr>
                    <w:t>有无阻挡</w:t>
                  </w:r>
                </w:p>
              </w:tc>
              <w:tc>
                <w:tcPr>
                  <w:tcW w:w="471" w:type="pct"/>
                  <w:shd w:val="clear" w:color="auto" w:fill="E7E6E6"/>
                  <w:vAlign w:val="center"/>
                </w:tcPr>
                <w:p>
                  <w:pPr>
                    <w:pStyle w:val="57"/>
                    <w:rPr>
                      <w:b/>
                      <w:color w:val="000000"/>
                      <w:lang w:val="en-US" w:eastAsia="zh-CN"/>
                    </w:rPr>
                  </w:pPr>
                  <w:r>
                    <w:rPr>
                      <w:rFonts w:hint="eastAsia"/>
                      <w:b/>
                      <w:color w:val="000000"/>
                      <w:lang w:val="en-US" w:eastAsia="zh-CN"/>
                    </w:rPr>
                    <w:t>降噪效果/</w:t>
                  </w:r>
                  <w:r>
                    <w:rPr>
                      <w:b/>
                      <w:color w:val="000000"/>
                      <w:lang w:val="en-US" w:eastAsia="zh-CN"/>
                    </w:rPr>
                    <w:t>dB</w:t>
                  </w:r>
                  <w:r>
                    <w:rPr>
                      <w:rFonts w:hint="eastAsia"/>
                      <w:b/>
                      <w:color w:val="000000"/>
                      <w:lang w:val="en-US" w:eastAsia="zh-CN"/>
                    </w:rPr>
                    <w:t>（</w:t>
                  </w:r>
                  <w:r>
                    <w:rPr>
                      <w:b/>
                      <w:color w:val="000000"/>
                      <w:lang w:val="en-US" w:eastAsia="zh-CN"/>
                    </w:rPr>
                    <w:t>A</w:t>
                  </w:r>
                  <w:r>
                    <w:rPr>
                      <w:rFonts w:hint="eastAsia"/>
                      <w:b/>
                      <w:color w:val="000000"/>
                      <w:lang w:val="en-US" w:eastAsia="zh-CN"/>
                    </w:rPr>
                    <w:t>）</w:t>
                  </w:r>
                </w:p>
              </w:tc>
              <w:tc>
                <w:tcPr>
                  <w:tcW w:w="354" w:type="pct"/>
                  <w:shd w:val="clear" w:color="auto" w:fill="E7E6E6"/>
                  <w:vAlign w:val="center"/>
                </w:tcPr>
                <w:p>
                  <w:pPr>
                    <w:pStyle w:val="57"/>
                    <w:rPr>
                      <w:b/>
                      <w:color w:val="000000"/>
                      <w:lang w:val="en-US" w:eastAsia="zh-CN"/>
                    </w:rPr>
                  </w:pPr>
                  <w:r>
                    <w:rPr>
                      <w:rFonts w:hint="eastAsia"/>
                      <w:b/>
                      <w:color w:val="000000"/>
                      <w:lang w:val="en-US" w:eastAsia="zh-CN"/>
                    </w:rPr>
                    <w:t>核算方法</w:t>
                  </w:r>
                </w:p>
              </w:tc>
              <w:tc>
                <w:tcPr>
                  <w:tcW w:w="471" w:type="pct"/>
                  <w:shd w:val="clear" w:color="auto" w:fill="E7E6E6"/>
                  <w:vAlign w:val="center"/>
                </w:tcPr>
                <w:p>
                  <w:pPr>
                    <w:pStyle w:val="57"/>
                    <w:rPr>
                      <w:b/>
                      <w:color w:val="000000"/>
                      <w:lang w:val="en-US" w:eastAsia="zh-CN"/>
                    </w:rPr>
                  </w:pPr>
                  <w:r>
                    <w:rPr>
                      <w:rFonts w:hint="eastAsia"/>
                      <w:b/>
                      <w:color w:val="000000"/>
                      <w:lang w:val="en-US" w:eastAsia="zh-CN"/>
                    </w:rPr>
                    <w:t>声源值</w:t>
                  </w:r>
                  <w:r>
                    <w:rPr>
                      <w:b/>
                      <w:color w:val="000000"/>
                      <w:lang w:val="en-US" w:eastAsia="zh-CN"/>
                    </w:rPr>
                    <w:t>dB</w:t>
                  </w:r>
                  <w:r>
                    <w:rPr>
                      <w:rFonts w:hint="eastAsia"/>
                      <w:b/>
                      <w:color w:val="000000"/>
                      <w:lang w:val="en-US" w:eastAsia="zh-CN"/>
                    </w:rPr>
                    <w:t>（</w:t>
                  </w:r>
                  <w:r>
                    <w:rPr>
                      <w:b/>
                      <w:color w:val="000000"/>
                      <w:lang w:val="en-US" w:eastAsia="zh-CN"/>
                    </w:rPr>
                    <w:t>A</w:t>
                  </w:r>
                  <w:r>
                    <w:rPr>
                      <w:rFonts w:hint="eastAsia"/>
                      <w:b/>
                      <w:color w:val="000000"/>
                      <w:lang w:val="en-US" w:eastAsia="zh-CN"/>
                    </w:rPr>
                    <w:t>）</w:t>
                  </w:r>
                </w:p>
              </w:tc>
              <w:tc>
                <w:tcPr>
                  <w:tcW w:w="379" w:type="pct"/>
                  <w:vMerge w:val="continue"/>
                  <w:vAlign w:val="center"/>
                </w:tcPr>
                <w:p>
                  <w:pPr>
                    <w:pStyle w:val="57"/>
                    <w:rPr>
                      <w:color w:val="000000"/>
                      <w:lang w:val="en-US" w:eastAsia="zh-C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restart"/>
                  <w:vAlign w:val="center"/>
                </w:tcPr>
                <w:p>
                  <w:pPr>
                    <w:pStyle w:val="57"/>
                    <w:rPr>
                      <w:color w:val="000000"/>
                      <w:lang w:val="en-US" w:eastAsia="zh-CN"/>
                    </w:rPr>
                  </w:pPr>
                  <w:r>
                    <w:rPr>
                      <w:rFonts w:hint="eastAsia"/>
                      <w:color w:val="000000"/>
                      <w:lang w:val="en-US" w:eastAsia="zh-CN"/>
                    </w:rPr>
                    <w:t>造粒车间</w:t>
                  </w:r>
                </w:p>
              </w:tc>
              <w:tc>
                <w:tcPr>
                  <w:tcW w:w="454" w:type="pct"/>
                  <w:vAlign w:val="center"/>
                </w:tcPr>
                <w:p>
                  <w:pPr>
                    <w:rPr>
                      <w:bCs/>
                      <w:color w:val="000000"/>
                      <w:szCs w:val="21"/>
                    </w:rPr>
                  </w:pPr>
                  <w:r>
                    <w:rPr>
                      <w:rFonts w:hint="eastAsia"/>
                      <w:bCs/>
                      <w:color w:val="000000"/>
                      <w:szCs w:val="21"/>
                    </w:rPr>
                    <w:t>造粒机</w:t>
                  </w:r>
                </w:p>
              </w:tc>
              <w:tc>
                <w:tcPr>
                  <w:tcW w:w="374" w:type="pct"/>
                  <w:vAlign w:val="center"/>
                </w:tcPr>
                <w:p>
                  <w:pPr>
                    <w:pStyle w:val="57"/>
                    <w:rPr>
                      <w:color w:val="000000"/>
                      <w:lang w:val="en-US" w:eastAsia="zh-CN"/>
                    </w:rPr>
                  </w:pPr>
                  <w:r>
                    <w:rPr>
                      <w:rFonts w:hint="eastAsia"/>
                      <w:color w:val="000000"/>
                      <w:lang w:val="en-US" w:eastAsia="zh-CN"/>
                    </w:rPr>
                    <w:t>频发</w:t>
                  </w:r>
                </w:p>
              </w:tc>
              <w:tc>
                <w:tcPr>
                  <w:tcW w:w="302" w:type="pct"/>
                  <w:vAlign w:val="center"/>
                </w:tcPr>
                <w:p>
                  <w:pPr>
                    <w:jc w:val="center"/>
                    <w:rPr>
                      <w:color w:val="000000"/>
                    </w:rPr>
                  </w:pPr>
                  <w:r>
                    <w:rPr>
                      <w:rFonts w:hint="eastAsia"/>
                      <w:color w:val="000000"/>
                    </w:rPr>
                    <w:t>3台</w:t>
                  </w:r>
                </w:p>
              </w:tc>
              <w:tc>
                <w:tcPr>
                  <w:tcW w:w="354" w:type="pct"/>
                  <w:vAlign w:val="center"/>
                </w:tcPr>
                <w:p>
                  <w:pPr>
                    <w:pStyle w:val="57"/>
                    <w:rPr>
                      <w:color w:val="000000"/>
                      <w:lang w:val="en-US" w:eastAsia="zh-CN"/>
                    </w:rPr>
                  </w:pPr>
                  <w:r>
                    <w:rPr>
                      <w:rFonts w:hint="eastAsia"/>
                      <w:color w:val="000000"/>
                      <w:lang w:val="en-US" w:eastAsia="zh-CN"/>
                    </w:rPr>
                    <w:t>类比法</w:t>
                  </w:r>
                </w:p>
              </w:tc>
              <w:tc>
                <w:tcPr>
                  <w:tcW w:w="471" w:type="pct"/>
                  <w:vAlign w:val="center"/>
                </w:tcPr>
                <w:p>
                  <w:pPr>
                    <w:jc w:val="center"/>
                    <w:rPr>
                      <w:color w:val="000000"/>
                    </w:rPr>
                  </w:pPr>
                  <w:r>
                    <w:rPr>
                      <w:color w:val="000000"/>
                    </w:rPr>
                    <w:t>75</w:t>
                  </w:r>
                </w:p>
              </w:tc>
              <w:tc>
                <w:tcPr>
                  <w:tcW w:w="391" w:type="pct"/>
                  <w:vMerge w:val="restart"/>
                  <w:vAlign w:val="center"/>
                </w:tcPr>
                <w:p>
                  <w:pPr>
                    <w:pStyle w:val="57"/>
                    <w:rPr>
                      <w:color w:val="000000"/>
                      <w:lang w:val="en-US" w:eastAsia="zh-CN"/>
                    </w:rPr>
                  </w:pPr>
                  <w:r>
                    <w:rPr>
                      <w:rFonts w:hint="eastAsia"/>
                      <w:color w:val="000000"/>
                      <w:lang w:val="en-US" w:eastAsia="zh-CN"/>
                    </w:rPr>
                    <w:t>为设备配置基础减震等</w:t>
                  </w:r>
                </w:p>
              </w:tc>
              <w:tc>
                <w:tcPr>
                  <w:tcW w:w="599" w:type="pct"/>
                  <w:vAlign w:val="center"/>
                </w:tcPr>
                <w:p>
                  <w:pPr>
                    <w:pStyle w:val="57"/>
                    <w:rPr>
                      <w:color w:val="000000"/>
                      <w:lang w:val="en-US" w:eastAsia="zh-CN"/>
                    </w:rPr>
                  </w:pPr>
                  <w:r>
                    <w:rPr>
                      <w:color w:val="000000"/>
                      <w:lang w:val="en-US" w:eastAsia="zh-CN"/>
                    </w:rPr>
                    <w:t>车间、围墙</w:t>
                  </w:r>
                </w:p>
              </w:tc>
              <w:tc>
                <w:tcPr>
                  <w:tcW w:w="471" w:type="pct"/>
                  <w:vAlign w:val="center"/>
                </w:tcPr>
                <w:p>
                  <w:pPr>
                    <w:pStyle w:val="57"/>
                    <w:rPr>
                      <w:color w:val="000000"/>
                      <w:lang w:val="en-US" w:eastAsia="zh-CN"/>
                    </w:rPr>
                  </w:pPr>
                  <w:r>
                    <w:rPr>
                      <w:rFonts w:hint="eastAsia"/>
                      <w:color w:val="000000"/>
                      <w:lang w:val="en-US" w:eastAsia="zh-CN"/>
                    </w:rPr>
                    <w:t>15</w:t>
                  </w:r>
                </w:p>
              </w:tc>
              <w:tc>
                <w:tcPr>
                  <w:tcW w:w="354" w:type="pct"/>
                  <w:vAlign w:val="center"/>
                </w:tcPr>
                <w:p>
                  <w:pPr>
                    <w:pStyle w:val="57"/>
                    <w:rPr>
                      <w:color w:val="000000"/>
                      <w:lang w:val="en-US" w:eastAsia="zh-CN"/>
                    </w:rPr>
                  </w:pPr>
                  <w:r>
                    <w:rPr>
                      <w:rFonts w:hint="eastAsia"/>
                      <w:color w:val="000000"/>
                      <w:lang w:val="en-US" w:eastAsia="zh-CN"/>
                    </w:rPr>
                    <w:t>类比法</w:t>
                  </w:r>
                </w:p>
              </w:tc>
              <w:tc>
                <w:tcPr>
                  <w:tcW w:w="471" w:type="pct"/>
                  <w:vAlign w:val="center"/>
                </w:tcPr>
                <w:p>
                  <w:pPr>
                    <w:jc w:val="center"/>
                    <w:rPr>
                      <w:color w:val="000000"/>
                    </w:rPr>
                  </w:pPr>
                  <w:r>
                    <w:rPr>
                      <w:color w:val="000000"/>
                    </w:rPr>
                    <w:t>60</w:t>
                  </w:r>
                </w:p>
              </w:tc>
              <w:tc>
                <w:tcPr>
                  <w:tcW w:w="379" w:type="pct"/>
                  <w:vMerge w:val="restart"/>
                  <w:vAlign w:val="center"/>
                </w:tcPr>
                <w:p>
                  <w:pPr>
                    <w:pStyle w:val="57"/>
                    <w:rPr>
                      <w:color w:val="000000"/>
                      <w:lang w:val="en-US" w:eastAsia="zh-CN"/>
                    </w:rPr>
                  </w:pPr>
                  <w:r>
                    <w:rPr>
                      <w:rFonts w:hint="eastAsia"/>
                      <w:color w:val="000000"/>
                      <w:lang w:val="en-US" w:eastAsia="zh-CN"/>
                    </w:rPr>
                    <w:t>2400</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continue"/>
                  <w:vAlign w:val="center"/>
                </w:tcPr>
                <w:p>
                  <w:pPr>
                    <w:pStyle w:val="57"/>
                    <w:rPr>
                      <w:color w:val="000000"/>
                      <w:lang w:val="en-US" w:eastAsia="zh-CN"/>
                    </w:rPr>
                  </w:pPr>
                </w:p>
              </w:tc>
              <w:tc>
                <w:tcPr>
                  <w:tcW w:w="454" w:type="pct"/>
                  <w:vAlign w:val="center"/>
                </w:tcPr>
                <w:p>
                  <w:pPr>
                    <w:jc w:val="center"/>
                    <w:rPr>
                      <w:color w:val="000000"/>
                      <w:szCs w:val="21"/>
                    </w:rPr>
                  </w:pPr>
                  <w:r>
                    <w:rPr>
                      <w:rFonts w:hint="eastAsia"/>
                      <w:color w:val="000000"/>
                      <w:szCs w:val="21"/>
                    </w:rPr>
                    <w:t>打样机</w:t>
                  </w:r>
                </w:p>
              </w:tc>
              <w:tc>
                <w:tcPr>
                  <w:tcW w:w="374" w:type="pct"/>
                  <w:vAlign w:val="center"/>
                </w:tcPr>
                <w:p>
                  <w:pPr>
                    <w:pStyle w:val="57"/>
                    <w:rPr>
                      <w:color w:val="000000"/>
                      <w:lang w:val="en-US" w:eastAsia="zh-CN"/>
                    </w:rPr>
                  </w:pPr>
                  <w:r>
                    <w:rPr>
                      <w:rFonts w:hint="eastAsia"/>
                      <w:color w:val="000000"/>
                      <w:lang w:val="en-US" w:eastAsia="zh-CN"/>
                    </w:rPr>
                    <w:t>频发</w:t>
                  </w:r>
                </w:p>
              </w:tc>
              <w:tc>
                <w:tcPr>
                  <w:tcW w:w="302" w:type="pct"/>
                  <w:vAlign w:val="center"/>
                </w:tcPr>
                <w:p>
                  <w:pPr>
                    <w:jc w:val="center"/>
                    <w:rPr>
                      <w:color w:val="000000"/>
                    </w:rPr>
                  </w:pPr>
                  <w:r>
                    <w:rPr>
                      <w:rFonts w:hint="eastAsia"/>
                      <w:color w:val="000000"/>
                    </w:rPr>
                    <w:t>1台</w:t>
                  </w:r>
                </w:p>
              </w:tc>
              <w:tc>
                <w:tcPr>
                  <w:tcW w:w="354" w:type="pct"/>
                  <w:vAlign w:val="center"/>
                </w:tcPr>
                <w:p>
                  <w:pPr>
                    <w:pStyle w:val="57"/>
                    <w:rPr>
                      <w:color w:val="000000"/>
                      <w:lang w:val="en-US" w:eastAsia="zh-CN"/>
                    </w:rPr>
                  </w:pPr>
                  <w:r>
                    <w:rPr>
                      <w:rFonts w:hint="eastAsia"/>
                      <w:color w:val="000000"/>
                      <w:lang w:val="en-US" w:eastAsia="zh-CN"/>
                    </w:rPr>
                    <w:t>类比法</w:t>
                  </w:r>
                </w:p>
              </w:tc>
              <w:tc>
                <w:tcPr>
                  <w:tcW w:w="471" w:type="pct"/>
                  <w:vAlign w:val="center"/>
                </w:tcPr>
                <w:p>
                  <w:pPr>
                    <w:jc w:val="center"/>
                    <w:rPr>
                      <w:color w:val="000000"/>
                    </w:rPr>
                  </w:pPr>
                  <w:r>
                    <w:rPr>
                      <w:rFonts w:hint="eastAsia"/>
                      <w:color w:val="000000"/>
                    </w:rPr>
                    <w:t>75</w:t>
                  </w:r>
                </w:p>
              </w:tc>
              <w:tc>
                <w:tcPr>
                  <w:tcW w:w="391" w:type="pct"/>
                  <w:vMerge w:val="continue"/>
                  <w:vAlign w:val="center"/>
                </w:tcPr>
                <w:p>
                  <w:pPr>
                    <w:pStyle w:val="57"/>
                    <w:rPr>
                      <w:color w:val="000000"/>
                      <w:lang w:val="en-US" w:eastAsia="zh-CN"/>
                    </w:rPr>
                  </w:pPr>
                </w:p>
              </w:tc>
              <w:tc>
                <w:tcPr>
                  <w:tcW w:w="599" w:type="pct"/>
                  <w:vAlign w:val="center"/>
                </w:tcPr>
                <w:p>
                  <w:pPr>
                    <w:pStyle w:val="57"/>
                    <w:rPr>
                      <w:color w:val="000000"/>
                      <w:lang w:val="en-US" w:eastAsia="zh-CN"/>
                    </w:rPr>
                  </w:pPr>
                  <w:r>
                    <w:rPr>
                      <w:color w:val="000000"/>
                      <w:lang w:val="en-US" w:eastAsia="zh-CN"/>
                    </w:rPr>
                    <w:t>车间、围墙</w:t>
                  </w:r>
                </w:p>
              </w:tc>
              <w:tc>
                <w:tcPr>
                  <w:tcW w:w="471" w:type="pct"/>
                  <w:vAlign w:val="center"/>
                </w:tcPr>
                <w:p>
                  <w:pPr>
                    <w:pStyle w:val="57"/>
                    <w:rPr>
                      <w:color w:val="000000"/>
                      <w:lang w:val="en-US" w:eastAsia="zh-CN"/>
                    </w:rPr>
                  </w:pPr>
                  <w:r>
                    <w:rPr>
                      <w:rFonts w:hint="eastAsia"/>
                      <w:color w:val="000000"/>
                      <w:lang w:val="en-US" w:eastAsia="zh-CN"/>
                    </w:rPr>
                    <w:t>15</w:t>
                  </w:r>
                </w:p>
              </w:tc>
              <w:tc>
                <w:tcPr>
                  <w:tcW w:w="354" w:type="pct"/>
                  <w:vAlign w:val="center"/>
                </w:tcPr>
                <w:p>
                  <w:pPr>
                    <w:jc w:val="center"/>
                    <w:rPr>
                      <w:color w:val="000000"/>
                    </w:rPr>
                  </w:pPr>
                  <w:r>
                    <w:rPr>
                      <w:rFonts w:hint="eastAsia"/>
                      <w:color w:val="000000"/>
                    </w:rPr>
                    <w:t>类比法</w:t>
                  </w:r>
                </w:p>
              </w:tc>
              <w:tc>
                <w:tcPr>
                  <w:tcW w:w="471" w:type="pct"/>
                  <w:vAlign w:val="center"/>
                </w:tcPr>
                <w:p>
                  <w:pPr>
                    <w:jc w:val="center"/>
                    <w:rPr>
                      <w:color w:val="000000"/>
                    </w:rPr>
                  </w:pPr>
                  <w:r>
                    <w:rPr>
                      <w:rFonts w:hint="eastAsia"/>
                      <w:color w:val="000000"/>
                    </w:rPr>
                    <w:t>60</w:t>
                  </w:r>
                </w:p>
              </w:tc>
              <w:tc>
                <w:tcPr>
                  <w:tcW w:w="379" w:type="pct"/>
                  <w:vMerge w:val="continue"/>
                  <w:vAlign w:val="center"/>
                </w:tcPr>
                <w:p>
                  <w:pPr>
                    <w:pStyle w:val="57"/>
                    <w:rPr>
                      <w:color w:val="000000"/>
                      <w:lang w:val="en-US" w:eastAsia="zh-C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continue"/>
                  <w:vAlign w:val="center"/>
                </w:tcPr>
                <w:p>
                  <w:pPr>
                    <w:pStyle w:val="57"/>
                    <w:rPr>
                      <w:color w:val="000000"/>
                      <w:lang w:val="en-US" w:eastAsia="zh-CN"/>
                    </w:rPr>
                  </w:pPr>
                </w:p>
              </w:tc>
              <w:tc>
                <w:tcPr>
                  <w:tcW w:w="454" w:type="pct"/>
                  <w:vAlign w:val="center"/>
                </w:tcPr>
                <w:p>
                  <w:pPr>
                    <w:jc w:val="center"/>
                    <w:rPr>
                      <w:color w:val="000000"/>
                      <w:szCs w:val="21"/>
                    </w:rPr>
                  </w:pPr>
                  <w:r>
                    <w:rPr>
                      <w:rFonts w:hint="eastAsia"/>
                      <w:color w:val="000000"/>
                      <w:szCs w:val="21"/>
                    </w:rPr>
                    <w:t>拌料机</w:t>
                  </w:r>
                </w:p>
              </w:tc>
              <w:tc>
                <w:tcPr>
                  <w:tcW w:w="374" w:type="pct"/>
                  <w:vAlign w:val="center"/>
                </w:tcPr>
                <w:p>
                  <w:pPr>
                    <w:pStyle w:val="57"/>
                    <w:rPr>
                      <w:color w:val="000000"/>
                      <w:lang w:val="en-US" w:eastAsia="zh-CN"/>
                    </w:rPr>
                  </w:pPr>
                  <w:r>
                    <w:rPr>
                      <w:rFonts w:hint="eastAsia"/>
                      <w:color w:val="000000"/>
                      <w:lang w:val="en-US" w:eastAsia="zh-CN"/>
                    </w:rPr>
                    <w:t>频发</w:t>
                  </w:r>
                </w:p>
              </w:tc>
              <w:tc>
                <w:tcPr>
                  <w:tcW w:w="302" w:type="pct"/>
                  <w:vAlign w:val="center"/>
                </w:tcPr>
                <w:p>
                  <w:pPr>
                    <w:jc w:val="center"/>
                    <w:rPr>
                      <w:color w:val="000000"/>
                    </w:rPr>
                  </w:pPr>
                  <w:r>
                    <w:rPr>
                      <w:rFonts w:hint="eastAsia"/>
                      <w:color w:val="000000"/>
                    </w:rPr>
                    <w:t>3台</w:t>
                  </w:r>
                </w:p>
              </w:tc>
              <w:tc>
                <w:tcPr>
                  <w:tcW w:w="354" w:type="pct"/>
                  <w:vAlign w:val="center"/>
                </w:tcPr>
                <w:p>
                  <w:pPr>
                    <w:pStyle w:val="57"/>
                    <w:rPr>
                      <w:color w:val="000000"/>
                      <w:lang w:val="en-US" w:eastAsia="zh-CN"/>
                    </w:rPr>
                  </w:pPr>
                  <w:r>
                    <w:rPr>
                      <w:rFonts w:hint="eastAsia"/>
                      <w:color w:val="000000"/>
                      <w:lang w:val="en-US" w:eastAsia="zh-CN"/>
                    </w:rPr>
                    <w:t>类比法</w:t>
                  </w:r>
                </w:p>
              </w:tc>
              <w:tc>
                <w:tcPr>
                  <w:tcW w:w="471" w:type="pct"/>
                  <w:vAlign w:val="center"/>
                </w:tcPr>
                <w:p>
                  <w:pPr>
                    <w:jc w:val="center"/>
                    <w:rPr>
                      <w:color w:val="000000"/>
                    </w:rPr>
                  </w:pPr>
                  <w:r>
                    <w:rPr>
                      <w:rFonts w:hint="eastAsia"/>
                      <w:color w:val="000000"/>
                    </w:rPr>
                    <w:t>80</w:t>
                  </w:r>
                </w:p>
              </w:tc>
              <w:tc>
                <w:tcPr>
                  <w:tcW w:w="391" w:type="pct"/>
                  <w:vMerge w:val="continue"/>
                  <w:vAlign w:val="center"/>
                </w:tcPr>
                <w:p>
                  <w:pPr>
                    <w:pStyle w:val="57"/>
                    <w:rPr>
                      <w:color w:val="000000"/>
                      <w:lang w:val="en-US" w:eastAsia="zh-CN"/>
                    </w:rPr>
                  </w:pPr>
                </w:p>
              </w:tc>
              <w:tc>
                <w:tcPr>
                  <w:tcW w:w="599" w:type="pct"/>
                  <w:vAlign w:val="center"/>
                </w:tcPr>
                <w:p>
                  <w:pPr>
                    <w:pStyle w:val="57"/>
                    <w:rPr>
                      <w:color w:val="000000"/>
                      <w:lang w:val="en-US" w:eastAsia="zh-CN"/>
                    </w:rPr>
                  </w:pPr>
                  <w:r>
                    <w:rPr>
                      <w:color w:val="000000"/>
                      <w:lang w:val="en-US" w:eastAsia="zh-CN"/>
                    </w:rPr>
                    <w:t>车间、围墙</w:t>
                  </w:r>
                </w:p>
              </w:tc>
              <w:tc>
                <w:tcPr>
                  <w:tcW w:w="471" w:type="pct"/>
                  <w:vAlign w:val="center"/>
                </w:tcPr>
                <w:p>
                  <w:pPr>
                    <w:pStyle w:val="57"/>
                    <w:rPr>
                      <w:color w:val="000000"/>
                      <w:lang w:val="en-US" w:eastAsia="zh-CN"/>
                    </w:rPr>
                  </w:pPr>
                  <w:r>
                    <w:rPr>
                      <w:rFonts w:hint="eastAsia"/>
                      <w:color w:val="000000"/>
                      <w:lang w:val="en-US" w:eastAsia="zh-CN"/>
                    </w:rPr>
                    <w:t>15</w:t>
                  </w:r>
                </w:p>
              </w:tc>
              <w:tc>
                <w:tcPr>
                  <w:tcW w:w="354" w:type="pct"/>
                  <w:vAlign w:val="center"/>
                </w:tcPr>
                <w:p>
                  <w:pPr>
                    <w:jc w:val="center"/>
                    <w:rPr>
                      <w:color w:val="000000"/>
                    </w:rPr>
                  </w:pPr>
                  <w:r>
                    <w:rPr>
                      <w:rFonts w:hint="eastAsia"/>
                      <w:color w:val="000000"/>
                    </w:rPr>
                    <w:t>类比法</w:t>
                  </w:r>
                </w:p>
              </w:tc>
              <w:tc>
                <w:tcPr>
                  <w:tcW w:w="471" w:type="pct"/>
                  <w:vAlign w:val="center"/>
                </w:tcPr>
                <w:p>
                  <w:pPr>
                    <w:jc w:val="center"/>
                    <w:rPr>
                      <w:color w:val="000000"/>
                    </w:rPr>
                  </w:pPr>
                  <w:r>
                    <w:rPr>
                      <w:rFonts w:hint="eastAsia"/>
                      <w:color w:val="000000"/>
                    </w:rPr>
                    <w:t>65</w:t>
                  </w:r>
                </w:p>
              </w:tc>
              <w:tc>
                <w:tcPr>
                  <w:tcW w:w="379" w:type="pct"/>
                  <w:vMerge w:val="continue"/>
                  <w:vAlign w:val="center"/>
                </w:tcPr>
                <w:p>
                  <w:pPr>
                    <w:pStyle w:val="57"/>
                    <w:rPr>
                      <w:color w:val="000000"/>
                      <w:lang w:val="en-US" w:eastAsia="zh-C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 w:type="pct"/>
                  <w:vMerge w:val="continue"/>
                  <w:vAlign w:val="center"/>
                </w:tcPr>
                <w:p>
                  <w:pPr>
                    <w:pStyle w:val="57"/>
                    <w:rPr>
                      <w:color w:val="000000"/>
                      <w:lang w:val="en-US" w:eastAsia="zh-CN"/>
                    </w:rPr>
                  </w:pPr>
                </w:p>
              </w:tc>
              <w:tc>
                <w:tcPr>
                  <w:tcW w:w="454" w:type="pct"/>
                  <w:vAlign w:val="center"/>
                </w:tcPr>
                <w:p>
                  <w:pPr>
                    <w:jc w:val="center"/>
                    <w:rPr>
                      <w:color w:val="000000"/>
                      <w:szCs w:val="21"/>
                    </w:rPr>
                  </w:pPr>
                  <w:r>
                    <w:rPr>
                      <w:rFonts w:hint="eastAsia"/>
                      <w:color w:val="000000"/>
                      <w:szCs w:val="21"/>
                    </w:rPr>
                    <w:t>空压机</w:t>
                  </w:r>
                </w:p>
              </w:tc>
              <w:tc>
                <w:tcPr>
                  <w:tcW w:w="374" w:type="pct"/>
                  <w:vAlign w:val="center"/>
                </w:tcPr>
                <w:p>
                  <w:pPr>
                    <w:pStyle w:val="57"/>
                    <w:rPr>
                      <w:color w:val="000000"/>
                      <w:lang w:val="en-US" w:eastAsia="zh-CN"/>
                    </w:rPr>
                  </w:pPr>
                  <w:r>
                    <w:rPr>
                      <w:rFonts w:hint="eastAsia"/>
                      <w:color w:val="000000"/>
                      <w:lang w:val="en-US" w:eastAsia="zh-CN"/>
                    </w:rPr>
                    <w:t>频发</w:t>
                  </w:r>
                </w:p>
              </w:tc>
              <w:tc>
                <w:tcPr>
                  <w:tcW w:w="302" w:type="pct"/>
                  <w:vAlign w:val="center"/>
                </w:tcPr>
                <w:p>
                  <w:pPr>
                    <w:jc w:val="center"/>
                    <w:rPr>
                      <w:color w:val="000000"/>
                    </w:rPr>
                  </w:pPr>
                  <w:r>
                    <w:rPr>
                      <w:rFonts w:hint="eastAsia"/>
                      <w:color w:val="000000"/>
                    </w:rPr>
                    <w:t>1台</w:t>
                  </w:r>
                </w:p>
              </w:tc>
              <w:tc>
                <w:tcPr>
                  <w:tcW w:w="354" w:type="pct"/>
                  <w:vAlign w:val="center"/>
                </w:tcPr>
                <w:p>
                  <w:pPr>
                    <w:pStyle w:val="57"/>
                    <w:rPr>
                      <w:color w:val="000000"/>
                      <w:lang w:val="en-US" w:eastAsia="zh-CN"/>
                    </w:rPr>
                  </w:pPr>
                  <w:r>
                    <w:rPr>
                      <w:rFonts w:hint="eastAsia"/>
                      <w:color w:val="000000"/>
                      <w:lang w:val="en-US" w:eastAsia="zh-CN"/>
                    </w:rPr>
                    <w:t>类比法</w:t>
                  </w:r>
                </w:p>
              </w:tc>
              <w:tc>
                <w:tcPr>
                  <w:tcW w:w="471" w:type="pct"/>
                  <w:vAlign w:val="center"/>
                </w:tcPr>
                <w:p>
                  <w:pPr>
                    <w:jc w:val="center"/>
                    <w:rPr>
                      <w:color w:val="000000"/>
                    </w:rPr>
                  </w:pPr>
                  <w:r>
                    <w:rPr>
                      <w:rFonts w:hint="eastAsia"/>
                      <w:color w:val="000000"/>
                    </w:rPr>
                    <w:t>90</w:t>
                  </w:r>
                </w:p>
              </w:tc>
              <w:tc>
                <w:tcPr>
                  <w:tcW w:w="391" w:type="pct"/>
                  <w:vMerge w:val="continue"/>
                  <w:vAlign w:val="center"/>
                </w:tcPr>
                <w:p>
                  <w:pPr>
                    <w:pStyle w:val="57"/>
                    <w:rPr>
                      <w:color w:val="000000"/>
                      <w:lang w:val="en-US" w:eastAsia="zh-CN"/>
                    </w:rPr>
                  </w:pPr>
                </w:p>
              </w:tc>
              <w:tc>
                <w:tcPr>
                  <w:tcW w:w="599" w:type="pct"/>
                  <w:vAlign w:val="center"/>
                </w:tcPr>
                <w:p>
                  <w:pPr>
                    <w:pStyle w:val="57"/>
                    <w:rPr>
                      <w:color w:val="000000"/>
                      <w:lang w:val="en-US" w:eastAsia="zh-CN"/>
                    </w:rPr>
                  </w:pPr>
                  <w:r>
                    <w:rPr>
                      <w:color w:val="000000"/>
                      <w:lang w:val="en-US" w:eastAsia="zh-CN"/>
                    </w:rPr>
                    <w:t>车间、围墙</w:t>
                  </w:r>
                </w:p>
              </w:tc>
              <w:tc>
                <w:tcPr>
                  <w:tcW w:w="471" w:type="pct"/>
                  <w:vAlign w:val="center"/>
                </w:tcPr>
                <w:p>
                  <w:pPr>
                    <w:pStyle w:val="57"/>
                    <w:rPr>
                      <w:color w:val="000000"/>
                      <w:lang w:val="en-US" w:eastAsia="zh-CN"/>
                    </w:rPr>
                  </w:pPr>
                  <w:r>
                    <w:rPr>
                      <w:rFonts w:hint="eastAsia"/>
                      <w:color w:val="000000"/>
                      <w:lang w:val="en-US" w:eastAsia="zh-CN"/>
                    </w:rPr>
                    <w:t>15</w:t>
                  </w:r>
                </w:p>
              </w:tc>
              <w:tc>
                <w:tcPr>
                  <w:tcW w:w="354" w:type="pct"/>
                  <w:vAlign w:val="center"/>
                </w:tcPr>
                <w:p>
                  <w:pPr>
                    <w:jc w:val="center"/>
                    <w:rPr>
                      <w:color w:val="000000"/>
                    </w:rPr>
                  </w:pPr>
                  <w:r>
                    <w:rPr>
                      <w:rFonts w:hint="eastAsia"/>
                      <w:color w:val="000000"/>
                    </w:rPr>
                    <w:t>类比法</w:t>
                  </w:r>
                </w:p>
              </w:tc>
              <w:tc>
                <w:tcPr>
                  <w:tcW w:w="471" w:type="pct"/>
                  <w:vAlign w:val="center"/>
                </w:tcPr>
                <w:p>
                  <w:pPr>
                    <w:jc w:val="center"/>
                    <w:rPr>
                      <w:color w:val="000000"/>
                    </w:rPr>
                  </w:pPr>
                  <w:r>
                    <w:rPr>
                      <w:rFonts w:hint="eastAsia"/>
                      <w:color w:val="000000"/>
                    </w:rPr>
                    <w:t>75</w:t>
                  </w:r>
                </w:p>
              </w:tc>
              <w:tc>
                <w:tcPr>
                  <w:tcW w:w="379" w:type="pct"/>
                  <w:vMerge w:val="continue"/>
                  <w:vAlign w:val="center"/>
                </w:tcPr>
                <w:p>
                  <w:pPr>
                    <w:pStyle w:val="57"/>
                    <w:rPr>
                      <w:color w:val="000000"/>
                      <w:lang w:val="en-US" w:eastAsia="zh-CN"/>
                    </w:rPr>
                  </w:pPr>
                </w:p>
              </w:tc>
            </w:tr>
          </w:tbl>
          <w:p>
            <w:pPr>
              <w:adjustRightInd w:val="0"/>
              <w:spacing w:line="360" w:lineRule="auto"/>
              <w:ind w:firstLine="480" w:firstLineChars="200"/>
              <w:contextualSpacing/>
              <w:rPr>
                <w:color w:val="000000"/>
                <w:sz w:val="24"/>
              </w:rPr>
            </w:pPr>
            <w:r>
              <w:rPr>
                <w:color w:val="000000"/>
                <w:sz w:val="24"/>
              </w:rPr>
              <w:t>本项目噪声环境影响预测采用《环境影响评价技术导则声环境》推荐的预测模式：</w:t>
            </w:r>
          </w:p>
          <w:p>
            <w:pPr>
              <w:adjustRightInd w:val="0"/>
              <w:spacing w:line="360" w:lineRule="auto"/>
              <w:ind w:firstLine="480" w:firstLineChars="200"/>
              <w:contextualSpacing/>
              <w:rPr>
                <w:color w:val="000000"/>
                <w:sz w:val="24"/>
              </w:rPr>
            </w:pPr>
            <w:r>
              <w:rPr>
                <w:color w:val="000000"/>
                <w:sz w:val="24"/>
              </w:rPr>
              <w:t>（1）建设项目声源在预测点的等效声级贡献值</w:t>
            </w:r>
          </w:p>
          <w:p>
            <w:pPr>
              <w:adjustRightInd w:val="0"/>
              <w:spacing w:line="360" w:lineRule="auto"/>
              <w:ind w:firstLine="480" w:firstLineChars="200"/>
              <w:contextualSpacing/>
              <w:rPr>
                <w:color w:val="000000"/>
                <w:sz w:val="24"/>
              </w:rPr>
            </w:pPr>
            <w:r>
              <w:rPr>
                <w:color w:val="000000"/>
                <w:sz w:val="24"/>
              </w:rPr>
              <w:drawing>
                <wp:inline distT="0" distB="0" distL="0" distR="0">
                  <wp:extent cx="1326515" cy="340360"/>
                  <wp:effectExtent l="0" t="0" r="0" b="0"/>
                  <wp:docPr id="199" name="图片 29" descr="file:///C:\Users\ADMINI~1\AppData\Local\Temp\ksohtml\wps9A34.tmp.png"/>
                  <wp:cNvGraphicFramePr/>
                  <a:graphic xmlns:a="http://schemas.openxmlformats.org/drawingml/2006/main">
                    <a:graphicData uri="http://schemas.openxmlformats.org/drawingml/2006/picture">
                      <pic:pic xmlns:pic="http://schemas.openxmlformats.org/drawingml/2006/picture">
                        <pic:nvPicPr>
                          <pic:cNvPr id="199" name="图片 29" descr="file:///C:\Users\ADMINI~1\AppData\Local\Temp\ksohtml\wps9A34.tmp.png"/>
                          <pic:cNvPicPr/>
                        </pic:nvPicPr>
                        <pic:blipFill>
                          <a:blip r:embed="rId11">
                            <a:extLst>
                              <a:ext uri="{28A0092B-C50C-407E-A947-70E740481C1C}">
                                <a14:useLocalDpi xmlns:a14="http://schemas.microsoft.com/office/drawing/2010/main" val="0"/>
                              </a:ext>
                            </a:extLst>
                          </a:blip>
                          <a:srcRect/>
                          <a:stretch>
                            <a:fillRect/>
                          </a:stretch>
                        </pic:blipFill>
                        <pic:spPr>
                          <a:xfrm>
                            <a:off x="0" y="0"/>
                            <a:ext cx="1326515" cy="340360"/>
                          </a:xfrm>
                          <a:prstGeom prst="rect">
                            <a:avLst/>
                          </a:prstGeom>
                          <a:noFill/>
                          <a:ln>
                            <a:noFill/>
                          </a:ln>
                        </pic:spPr>
                      </pic:pic>
                    </a:graphicData>
                  </a:graphic>
                </wp:inline>
              </w:drawing>
            </w:r>
          </w:p>
          <w:p>
            <w:pPr>
              <w:adjustRightInd w:val="0"/>
              <w:spacing w:line="360" w:lineRule="auto"/>
              <w:ind w:firstLine="480" w:firstLineChars="200"/>
              <w:contextualSpacing/>
              <w:rPr>
                <w:color w:val="000000"/>
                <w:sz w:val="24"/>
              </w:rPr>
            </w:pPr>
            <w:r>
              <w:rPr>
                <w:color w:val="000000"/>
                <w:sz w:val="24"/>
              </w:rPr>
              <w:t>式中：L</w:t>
            </w:r>
            <w:r>
              <w:rPr>
                <w:color w:val="000000"/>
                <w:sz w:val="24"/>
                <w:vertAlign w:val="subscript"/>
              </w:rPr>
              <w:t>eqg</w:t>
            </w:r>
            <w:r>
              <w:rPr>
                <w:color w:val="000000"/>
                <w:sz w:val="24"/>
              </w:rPr>
              <w:t>——建设项目声源在预测点的贡献值，等效声级Leq(dB(A))；</w:t>
            </w:r>
          </w:p>
          <w:p>
            <w:pPr>
              <w:adjustRightInd w:val="0"/>
              <w:spacing w:line="360" w:lineRule="auto"/>
              <w:ind w:firstLine="480" w:firstLineChars="200"/>
              <w:contextualSpacing/>
              <w:rPr>
                <w:color w:val="000000"/>
                <w:sz w:val="24"/>
              </w:rPr>
            </w:pPr>
            <w:r>
              <w:rPr>
                <w:color w:val="000000"/>
                <w:sz w:val="24"/>
              </w:rPr>
              <w:t>LAi——声源在预测点产生的A声级，dB(A)；</w:t>
            </w:r>
          </w:p>
          <w:p>
            <w:pPr>
              <w:adjustRightInd w:val="0"/>
              <w:spacing w:line="360" w:lineRule="auto"/>
              <w:ind w:firstLine="480" w:firstLineChars="200"/>
              <w:contextualSpacing/>
              <w:rPr>
                <w:color w:val="000000"/>
                <w:sz w:val="24"/>
              </w:rPr>
            </w:pPr>
            <w:r>
              <w:rPr>
                <w:color w:val="000000"/>
                <w:sz w:val="24"/>
              </w:rPr>
              <w:t>Ti——预测计算的时间段，s；</w:t>
            </w:r>
          </w:p>
          <w:p>
            <w:pPr>
              <w:adjustRightInd w:val="0"/>
              <w:spacing w:line="360" w:lineRule="auto"/>
              <w:ind w:firstLine="480" w:firstLineChars="200"/>
              <w:contextualSpacing/>
              <w:rPr>
                <w:color w:val="000000"/>
                <w:sz w:val="24"/>
              </w:rPr>
            </w:pPr>
            <w:r>
              <w:rPr>
                <w:color w:val="000000"/>
                <w:sz w:val="24"/>
              </w:rPr>
              <w:t>ti——i声源在T时段内的运行时间，s。</w:t>
            </w:r>
          </w:p>
          <w:p>
            <w:pPr>
              <w:adjustRightInd w:val="0"/>
              <w:spacing w:line="360" w:lineRule="auto"/>
              <w:ind w:firstLine="480" w:firstLineChars="200"/>
              <w:contextualSpacing/>
              <w:rPr>
                <w:color w:val="000000"/>
                <w:sz w:val="24"/>
              </w:rPr>
            </w:pPr>
            <w:r>
              <w:rPr>
                <w:color w:val="000000"/>
                <w:sz w:val="24"/>
              </w:rPr>
              <w:t>（2）户外声传播衰减计算</w:t>
            </w:r>
          </w:p>
          <w:p>
            <w:pPr>
              <w:adjustRightInd w:val="0"/>
              <w:spacing w:line="360" w:lineRule="auto"/>
              <w:ind w:firstLine="480" w:firstLineChars="200"/>
              <w:contextualSpacing/>
              <w:rPr>
                <w:color w:val="000000"/>
                <w:sz w:val="24"/>
              </w:rPr>
            </w:pPr>
            <w:r>
              <w:rPr>
                <w:rFonts w:hint="eastAsia" w:ascii="宋体" w:hAnsi="宋体" w:cs="宋体"/>
                <w:color w:val="000000"/>
                <w:sz w:val="24"/>
              </w:rPr>
              <w:t>①</w:t>
            </w:r>
            <w:r>
              <w:rPr>
                <w:color w:val="000000"/>
                <w:sz w:val="24"/>
              </w:rPr>
              <w:t>基本公式</w:t>
            </w:r>
          </w:p>
          <w:p>
            <w:pPr>
              <w:adjustRightInd w:val="0"/>
              <w:spacing w:line="360" w:lineRule="auto"/>
              <w:ind w:firstLine="480" w:firstLineChars="200"/>
              <w:contextualSpacing/>
              <w:rPr>
                <w:color w:val="000000"/>
                <w:sz w:val="24"/>
              </w:rPr>
            </w:pPr>
            <w:r>
              <w:rPr>
                <w:color w:val="000000"/>
                <w:sz w:val="24"/>
              </w:rPr>
              <w:t>a)根据声源声功率级或靠近声源某一参考位置处的已知声级、户外声传播衰减，计算距离声源较远处的预测点的声级。</w:t>
            </w:r>
          </w:p>
          <w:p>
            <w:pPr>
              <w:adjustRightInd w:val="0"/>
              <w:spacing w:line="360" w:lineRule="auto"/>
              <w:ind w:firstLine="480" w:firstLineChars="200"/>
              <w:contextualSpacing/>
              <w:rPr>
                <w:color w:val="000000"/>
                <w:sz w:val="24"/>
              </w:rPr>
            </w:pPr>
            <w:r>
              <w:rPr>
                <w:color w:val="000000"/>
                <w:sz w:val="24"/>
              </w:rPr>
              <w:t>在已知距离无指向性点声源参考点r0处的倍频带(用63Hz到8KHz的8个标称倍频带中心频率)声压级和计算出参考点(r0)和预测点(r)处之间的户外声传播衰减后，预测点8个倍频带声压级公式：</w:t>
            </w:r>
          </w:p>
          <w:p>
            <w:pPr>
              <w:adjustRightInd w:val="0"/>
              <w:spacing w:line="360" w:lineRule="auto"/>
              <w:ind w:firstLine="480" w:firstLineChars="200"/>
              <w:contextualSpacing/>
              <w:rPr>
                <w:color w:val="000000"/>
                <w:sz w:val="24"/>
              </w:rPr>
            </w:pPr>
            <w:r>
              <w:rPr>
                <w:color w:val="000000"/>
                <w:sz w:val="24"/>
              </w:rPr>
              <w:t>Lp(r)=Lp(r0)-(A</w:t>
            </w:r>
            <w:r>
              <w:rPr>
                <w:color w:val="000000"/>
                <w:sz w:val="24"/>
                <w:vertAlign w:val="subscript"/>
              </w:rPr>
              <w:t>div</w:t>
            </w:r>
            <w:r>
              <w:rPr>
                <w:color w:val="000000"/>
                <w:sz w:val="24"/>
              </w:rPr>
              <w:t>+A</w:t>
            </w:r>
            <w:r>
              <w:rPr>
                <w:color w:val="000000"/>
                <w:sz w:val="24"/>
                <w:vertAlign w:val="subscript"/>
              </w:rPr>
              <w:t>atm</w:t>
            </w:r>
            <w:r>
              <w:rPr>
                <w:color w:val="000000"/>
                <w:sz w:val="24"/>
              </w:rPr>
              <w:t>+A</w:t>
            </w:r>
            <w:r>
              <w:rPr>
                <w:color w:val="000000"/>
                <w:sz w:val="24"/>
                <w:vertAlign w:val="subscript"/>
              </w:rPr>
              <w:t>bar</w:t>
            </w:r>
            <w:r>
              <w:rPr>
                <w:color w:val="000000"/>
                <w:sz w:val="24"/>
              </w:rPr>
              <w:t>+A</w:t>
            </w:r>
            <w:r>
              <w:rPr>
                <w:color w:val="000000"/>
                <w:sz w:val="24"/>
                <w:vertAlign w:val="subscript"/>
              </w:rPr>
              <w:t>gr</w:t>
            </w:r>
            <w:r>
              <w:rPr>
                <w:color w:val="000000"/>
                <w:sz w:val="24"/>
              </w:rPr>
              <w:t>+A</w:t>
            </w:r>
            <w:r>
              <w:rPr>
                <w:color w:val="000000"/>
                <w:sz w:val="24"/>
                <w:vertAlign w:val="subscript"/>
              </w:rPr>
              <w:t>misc)</w:t>
            </w:r>
          </w:p>
          <w:p>
            <w:pPr>
              <w:adjustRightInd w:val="0"/>
              <w:spacing w:line="360" w:lineRule="auto"/>
              <w:ind w:firstLine="480" w:firstLineChars="200"/>
              <w:contextualSpacing/>
              <w:rPr>
                <w:color w:val="000000"/>
                <w:sz w:val="24"/>
              </w:rPr>
            </w:pPr>
            <w:r>
              <w:rPr>
                <w:color w:val="000000"/>
                <w:sz w:val="24"/>
              </w:rPr>
              <w:t>式中：Lp(r)——距声源r处的倍频带声压级；</w:t>
            </w:r>
          </w:p>
          <w:p>
            <w:pPr>
              <w:adjustRightInd w:val="0"/>
              <w:spacing w:line="360" w:lineRule="auto"/>
              <w:ind w:firstLine="480" w:firstLineChars="200"/>
              <w:contextualSpacing/>
              <w:rPr>
                <w:color w:val="000000"/>
                <w:sz w:val="24"/>
              </w:rPr>
            </w:pPr>
            <w:r>
              <w:rPr>
                <w:color w:val="000000"/>
                <w:sz w:val="24"/>
              </w:rPr>
              <w:t>Lp(r0)——参考位置r0处的倍频带声压级；</w:t>
            </w:r>
          </w:p>
          <w:p>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div</w:t>
            </w:r>
            <w:r>
              <w:rPr>
                <w:color w:val="000000"/>
                <w:sz w:val="24"/>
              </w:rPr>
              <w:t>——声波几何发散引起的倍频带衰减，dB；</w:t>
            </w:r>
          </w:p>
          <w:p>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atm</w:t>
            </w:r>
            <w:r>
              <w:rPr>
                <w:color w:val="000000"/>
                <w:sz w:val="24"/>
              </w:rPr>
              <w:t>——空气吸收引起的倍频带衰减，dB；</w:t>
            </w:r>
          </w:p>
          <w:p>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bar</w:t>
            </w:r>
            <w:r>
              <w:rPr>
                <w:color w:val="000000"/>
                <w:sz w:val="24"/>
              </w:rPr>
              <w:t>——屏蔽屏障引起的倍频带衰减，dB；</w:t>
            </w:r>
          </w:p>
          <w:p>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gr</w:t>
            </w:r>
            <w:r>
              <w:rPr>
                <w:color w:val="000000"/>
                <w:sz w:val="24"/>
              </w:rPr>
              <w:t>——地面效应引起的倍频带衰减，dB；</w:t>
            </w:r>
          </w:p>
          <w:p>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misc</w:t>
            </w:r>
            <w:r>
              <w:rPr>
                <w:color w:val="000000"/>
                <w:sz w:val="24"/>
              </w:rPr>
              <w:t>——其他多方面效应引起的倍频带衰减，dB。</w:t>
            </w:r>
          </w:p>
          <w:p>
            <w:pPr>
              <w:adjustRightInd w:val="0"/>
              <w:spacing w:line="360" w:lineRule="auto"/>
              <w:ind w:firstLine="480" w:firstLineChars="200"/>
              <w:contextualSpacing/>
              <w:rPr>
                <w:color w:val="000000"/>
                <w:sz w:val="24"/>
              </w:rPr>
            </w:pPr>
            <w:r>
              <w:rPr>
                <w:color w:val="000000"/>
                <w:sz w:val="24"/>
              </w:rPr>
              <w:t>b)预测点的A声级可按下列公式计算，即将8个倍频带声压级合成，计算出预测点的A声级LA(r)：</w:t>
            </w:r>
          </w:p>
          <w:p>
            <w:pPr>
              <w:adjustRightInd w:val="0"/>
              <w:spacing w:line="360" w:lineRule="auto"/>
              <w:ind w:firstLine="480" w:firstLineChars="200"/>
              <w:contextualSpacing/>
              <w:rPr>
                <w:color w:val="000000"/>
                <w:sz w:val="24"/>
              </w:rPr>
            </w:pPr>
            <w:r>
              <w:rPr>
                <w:color w:val="000000"/>
                <w:sz w:val="24"/>
              </w:rPr>
              <w:drawing>
                <wp:inline distT="0" distB="0" distL="0" distR="0">
                  <wp:extent cx="1873885" cy="421640"/>
                  <wp:effectExtent l="0" t="0" r="0" b="0"/>
                  <wp:docPr id="198" name="图片 30" descr="file:///C:\Users\ADMINI~1\AppData\Local\Temp\ksohtml\wps9A45.tmp.png"/>
                  <wp:cNvGraphicFramePr/>
                  <a:graphic xmlns:a="http://schemas.openxmlformats.org/drawingml/2006/main">
                    <a:graphicData uri="http://schemas.openxmlformats.org/drawingml/2006/picture">
                      <pic:pic xmlns:pic="http://schemas.openxmlformats.org/drawingml/2006/picture">
                        <pic:nvPicPr>
                          <pic:cNvPr id="198" name="图片 30" descr="file:///C:\Users\ADMINI~1\AppData\Local\Temp\ksohtml\wps9A45.tmp.png"/>
                          <pic:cNvPicPr/>
                        </pic:nvPicPr>
                        <pic:blipFill>
                          <a:blip r:embed="rId12">
                            <a:extLst>
                              <a:ext uri="{28A0092B-C50C-407E-A947-70E740481C1C}">
                                <a14:useLocalDpi xmlns:a14="http://schemas.microsoft.com/office/drawing/2010/main" val="0"/>
                              </a:ext>
                            </a:extLst>
                          </a:blip>
                          <a:srcRect/>
                          <a:stretch>
                            <a:fillRect/>
                          </a:stretch>
                        </pic:blipFill>
                        <pic:spPr>
                          <a:xfrm>
                            <a:off x="0" y="0"/>
                            <a:ext cx="1873885" cy="421640"/>
                          </a:xfrm>
                          <a:prstGeom prst="rect">
                            <a:avLst/>
                          </a:prstGeom>
                          <a:noFill/>
                          <a:ln>
                            <a:noFill/>
                          </a:ln>
                        </pic:spPr>
                      </pic:pic>
                    </a:graphicData>
                  </a:graphic>
                </wp:inline>
              </w:drawing>
            </w:r>
          </w:p>
          <w:p>
            <w:pPr>
              <w:adjustRightInd w:val="0"/>
              <w:spacing w:line="360" w:lineRule="auto"/>
              <w:ind w:firstLine="480" w:firstLineChars="200"/>
              <w:contextualSpacing/>
              <w:rPr>
                <w:color w:val="000000"/>
                <w:sz w:val="24"/>
              </w:rPr>
            </w:pPr>
            <w:r>
              <w:rPr>
                <w:color w:val="000000"/>
                <w:sz w:val="24"/>
              </w:rPr>
              <w:t>式中：LPi(r)——预测点(r)处，第i倍频带声压级，dB；</w:t>
            </w:r>
          </w:p>
          <w:p>
            <w:pPr>
              <w:adjustRightInd w:val="0"/>
              <w:spacing w:line="360" w:lineRule="auto"/>
              <w:ind w:firstLine="480" w:firstLineChars="200"/>
              <w:contextualSpacing/>
              <w:rPr>
                <w:color w:val="000000"/>
                <w:sz w:val="24"/>
              </w:rPr>
            </w:pPr>
            <w:r>
              <w:rPr>
                <w:color w:val="000000"/>
                <w:sz w:val="24"/>
              </w:rPr>
              <w:t>ΔLi——第i倍频带的A计权网络修正值，dB。</w:t>
            </w:r>
          </w:p>
          <w:p>
            <w:pPr>
              <w:adjustRightInd w:val="0"/>
              <w:spacing w:line="360" w:lineRule="auto"/>
              <w:ind w:firstLine="480" w:firstLineChars="200"/>
              <w:contextualSpacing/>
              <w:rPr>
                <w:color w:val="000000"/>
                <w:sz w:val="24"/>
              </w:rPr>
            </w:pPr>
            <w:r>
              <w:rPr>
                <w:color w:val="000000"/>
                <w:sz w:val="24"/>
              </w:rPr>
              <w:t>c)在只考虑几何发散衰减时，可用下列公式计算：</w:t>
            </w:r>
          </w:p>
          <w:p>
            <w:pPr>
              <w:adjustRightInd w:val="0"/>
              <w:spacing w:line="360" w:lineRule="auto"/>
              <w:ind w:firstLine="480" w:firstLineChars="200"/>
              <w:contextualSpacing/>
              <w:rPr>
                <w:color w:val="000000"/>
                <w:sz w:val="24"/>
              </w:rPr>
            </w:pPr>
            <w:r>
              <w:rPr>
                <w:color w:val="000000"/>
                <w:sz w:val="24"/>
              </w:rPr>
              <w:t>LA(r)=LA(r0)-A</w:t>
            </w:r>
            <w:r>
              <w:rPr>
                <w:color w:val="000000"/>
                <w:sz w:val="24"/>
                <w:vertAlign w:val="subscript"/>
              </w:rPr>
              <w:t>div</w:t>
            </w:r>
          </w:p>
          <w:p>
            <w:pPr>
              <w:adjustRightInd w:val="0"/>
              <w:spacing w:line="360" w:lineRule="auto"/>
              <w:ind w:firstLine="480" w:firstLineChars="200"/>
              <w:contextualSpacing/>
              <w:rPr>
                <w:color w:val="000000"/>
                <w:sz w:val="24"/>
              </w:rPr>
            </w:pPr>
            <w:r>
              <w:rPr>
                <w:rFonts w:hint="eastAsia" w:ascii="宋体" w:hAnsi="宋体" w:cs="宋体"/>
                <w:color w:val="000000"/>
                <w:sz w:val="24"/>
              </w:rPr>
              <w:t>②</w:t>
            </w:r>
            <w:r>
              <w:rPr>
                <w:color w:val="000000"/>
                <w:sz w:val="24"/>
              </w:rPr>
              <w:t>几何发散衰减(A</w:t>
            </w:r>
            <w:r>
              <w:rPr>
                <w:color w:val="000000"/>
                <w:sz w:val="24"/>
                <w:vertAlign w:val="subscript"/>
              </w:rPr>
              <w:t>div</w:t>
            </w:r>
            <w:r>
              <w:rPr>
                <w:color w:val="000000"/>
                <w:sz w:val="24"/>
              </w:rPr>
              <w:t>)：</w:t>
            </w:r>
          </w:p>
          <w:p>
            <w:pPr>
              <w:adjustRightInd w:val="0"/>
              <w:spacing w:line="360" w:lineRule="auto"/>
              <w:ind w:firstLine="480" w:firstLineChars="200"/>
              <w:contextualSpacing/>
              <w:rPr>
                <w:color w:val="000000"/>
                <w:sz w:val="24"/>
              </w:rPr>
            </w:pPr>
            <w:r>
              <w:rPr>
                <w:color w:val="000000"/>
                <w:sz w:val="24"/>
              </w:rPr>
              <w:t>无指向性点声源几何发散衰减的基本公式是：</w:t>
            </w:r>
          </w:p>
          <w:p>
            <w:pPr>
              <w:adjustRightInd w:val="0"/>
              <w:spacing w:line="360" w:lineRule="auto"/>
              <w:ind w:firstLine="480" w:firstLineChars="200"/>
              <w:contextualSpacing/>
              <w:rPr>
                <w:color w:val="000000"/>
                <w:sz w:val="24"/>
              </w:rPr>
            </w:pPr>
            <w:r>
              <w:rPr>
                <w:color w:val="000000"/>
                <w:sz w:val="24"/>
              </w:rPr>
              <w:t>Lp(r)=Lp(r0)-20lg(r/r0)</w:t>
            </w:r>
          </w:p>
          <w:p>
            <w:pPr>
              <w:adjustRightInd w:val="0"/>
              <w:spacing w:line="360" w:lineRule="auto"/>
              <w:ind w:firstLine="480" w:firstLineChars="200"/>
              <w:contextualSpacing/>
              <w:rPr>
                <w:color w:val="000000"/>
                <w:sz w:val="24"/>
              </w:rPr>
            </w:pPr>
            <w:r>
              <w:rPr>
                <w:color w:val="000000"/>
                <w:sz w:val="24"/>
              </w:rPr>
              <w:t>A</w:t>
            </w:r>
            <w:r>
              <w:rPr>
                <w:color w:val="000000"/>
                <w:sz w:val="24"/>
                <w:vertAlign w:val="subscript"/>
              </w:rPr>
              <w:t>div</w:t>
            </w:r>
            <w:r>
              <w:rPr>
                <w:color w:val="000000"/>
                <w:sz w:val="24"/>
              </w:rPr>
              <w:t>=20lg(r/r0)</w:t>
            </w:r>
          </w:p>
          <w:p>
            <w:pPr>
              <w:adjustRightInd w:val="0"/>
              <w:spacing w:line="360" w:lineRule="auto"/>
              <w:ind w:firstLine="480" w:firstLineChars="200"/>
              <w:contextualSpacing/>
              <w:rPr>
                <w:color w:val="000000"/>
                <w:sz w:val="24"/>
              </w:rPr>
            </w:pPr>
            <w:r>
              <w:rPr>
                <w:rFonts w:hint="eastAsia" w:ascii="宋体" w:hAnsi="宋体" w:cs="宋体"/>
                <w:color w:val="000000"/>
                <w:sz w:val="24"/>
              </w:rPr>
              <w:t>③</w:t>
            </w:r>
            <w:r>
              <w:rPr>
                <w:color w:val="000000"/>
                <w:sz w:val="24"/>
              </w:rPr>
              <w:t>屏障引起的衰减(A</w:t>
            </w:r>
            <w:r>
              <w:rPr>
                <w:color w:val="000000"/>
                <w:sz w:val="24"/>
                <w:vertAlign w:val="subscript"/>
              </w:rPr>
              <w:t>bar</w:t>
            </w:r>
            <w:r>
              <w:rPr>
                <w:color w:val="000000"/>
                <w:sz w:val="24"/>
              </w:rPr>
              <w:t>)</w:t>
            </w:r>
          </w:p>
          <w:p>
            <w:pPr>
              <w:adjustRightInd w:val="0"/>
              <w:spacing w:line="360" w:lineRule="auto"/>
              <w:ind w:firstLine="480" w:firstLineChars="200"/>
              <w:contextualSpacing/>
              <w:rPr>
                <w:color w:val="000000"/>
                <w:sz w:val="24"/>
              </w:rPr>
            </w:pPr>
            <w:r>
              <w:rPr>
                <w:color w:val="000000"/>
                <w:sz w:val="24"/>
              </w:rPr>
              <w:t>位于声源和预测点之间的实体障碍物，如围墙、建筑物、土坡或地堑等起声屏障作用，从而引起声能量的较大衰减。</w:t>
            </w:r>
          </w:p>
          <w:p>
            <w:pPr>
              <w:adjustRightInd w:val="0"/>
              <w:spacing w:line="360" w:lineRule="auto"/>
              <w:ind w:firstLine="480" w:firstLineChars="200"/>
              <w:contextualSpacing/>
              <w:rPr>
                <w:color w:val="000000"/>
                <w:sz w:val="24"/>
              </w:rPr>
            </w:pPr>
            <w:r>
              <w:rPr>
                <w:rFonts w:hint="eastAsia" w:ascii="宋体" w:hAnsi="宋体" w:cs="宋体"/>
                <w:color w:val="000000"/>
                <w:sz w:val="24"/>
              </w:rPr>
              <w:t>④</w:t>
            </w:r>
            <w:r>
              <w:rPr>
                <w:color w:val="000000"/>
                <w:sz w:val="24"/>
              </w:rPr>
              <w:t>本评价忽略空气吸收引起的衰减(A</w:t>
            </w:r>
            <w:r>
              <w:rPr>
                <w:color w:val="000000"/>
                <w:sz w:val="24"/>
                <w:vertAlign w:val="subscript"/>
              </w:rPr>
              <w:t>atm</w:t>
            </w:r>
            <w:r>
              <w:rPr>
                <w:color w:val="000000"/>
                <w:sz w:val="24"/>
              </w:rPr>
              <w:t>)、地面效应衰减(A</w:t>
            </w:r>
            <w:r>
              <w:rPr>
                <w:color w:val="000000"/>
                <w:sz w:val="24"/>
                <w:vertAlign w:val="subscript"/>
              </w:rPr>
              <w:t>gr</w:t>
            </w:r>
            <w:r>
              <w:rPr>
                <w:color w:val="000000"/>
                <w:sz w:val="24"/>
              </w:rPr>
              <w:t>)和其他多方面效应引起的衰减(A</w:t>
            </w:r>
            <w:r>
              <w:rPr>
                <w:color w:val="000000"/>
                <w:sz w:val="24"/>
                <w:vertAlign w:val="subscript"/>
              </w:rPr>
              <w:t>misc</w:t>
            </w:r>
            <w:r>
              <w:rPr>
                <w:color w:val="000000"/>
                <w:sz w:val="24"/>
              </w:rPr>
              <w:t>)。</w:t>
            </w:r>
          </w:p>
          <w:p>
            <w:pPr>
              <w:adjustRightInd w:val="0"/>
              <w:spacing w:line="360" w:lineRule="auto"/>
              <w:ind w:firstLine="480" w:firstLineChars="200"/>
              <w:contextualSpacing/>
              <w:rPr>
                <w:color w:val="000000"/>
                <w:sz w:val="24"/>
              </w:rPr>
            </w:pPr>
            <w:r>
              <w:rPr>
                <w:color w:val="000000"/>
                <w:sz w:val="24"/>
              </w:rPr>
              <w:t>采用上述模式预测结果见表4.2-</w:t>
            </w:r>
            <w:r>
              <w:rPr>
                <w:rFonts w:hint="eastAsia"/>
                <w:color w:val="000000"/>
                <w:sz w:val="24"/>
              </w:rPr>
              <w:t>13</w:t>
            </w:r>
            <w:r>
              <w:rPr>
                <w:color w:val="000000"/>
                <w:sz w:val="24"/>
              </w:rPr>
              <w:t>。</w:t>
            </w:r>
          </w:p>
          <w:p>
            <w:pPr>
              <w:widowControl/>
              <w:adjustRightInd w:val="0"/>
              <w:snapToGrid w:val="0"/>
              <w:spacing w:before="120" w:beforeLines="50" w:line="360" w:lineRule="auto"/>
              <w:contextualSpacing/>
              <w:jc w:val="center"/>
              <w:rPr>
                <w:b/>
                <w:color w:val="000000"/>
                <w:sz w:val="24"/>
                <w:szCs w:val="28"/>
              </w:rPr>
            </w:pPr>
            <w:bookmarkStart w:id="44" w:name="_Ref26733901"/>
            <w:r>
              <w:rPr>
                <w:b/>
                <w:color w:val="000000"/>
                <w:sz w:val="24"/>
                <w:szCs w:val="28"/>
              </w:rPr>
              <w:t>表4.2-</w:t>
            </w:r>
            <w:r>
              <w:rPr>
                <w:rFonts w:hint="eastAsia"/>
                <w:b/>
                <w:color w:val="000000"/>
                <w:sz w:val="24"/>
                <w:szCs w:val="28"/>
              </w:rPr>
              <w:t>13</w:t>
            </w:r>
            <w:r>
              <w:rPr>
                <w:b/>
                <w:color w:val="000000"/>
                <w:sz w:val="24"/>
                <w:szCs w:val="28"/>
              </w:rPr>
              <w:t xml:space="preserve">  项目厂界噪声预测结果一览表</w:t>
            </w:r>
            <w:bookmarkEnd w:id="44"/>
            <w:r>
              <w:rPr>
                <w:b/>
                <w:color w:val="000000"/>
                <w:sz w:val="24"/>
                <w:szCs w:val="28"/>
              </w:rPr>
              <w:t xml:space="preserve"> （dB(A)）</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832"/>
              <w:gridCol w:w="1082"/>
              <w:gridCol w:w="1022"/>
              <w:gridCol w:w="1051"/>
              <w:gridCol w:w="1022"/>
              <w:gridCol w:w="1051"/>
              <w:gridCol w:w="1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pPr>
                    <w:pStyle w:val="137"/>
                    <w:jc w:val="both"/>
                    <w:rPr>
                      <w:b/>
                      <w:bCs/>
                      <w:color w:val="000000"/>
                    </w:rPr>
                  </w:pPr>
                  <w:r>
                    <w:rPr>
                      <w:b/>
                      <w:bCs/>
                      <w:color w:val="000000"/>
                    </w:rPr>
                    <w:t>车间名称</w:t>
                  </w:r>
                </w:p>
              </w:tc>
              <w:tc>
                <w:tcPr>
                  <w:tcW w:w="489" w:type="pct"/>
                  <w:vMerge w:val="restart"/>
                  <w:vAlign w:val="center"/>
                </w:tcPr>
                <w:p>
                  <w:pPr>
                    <w:pStyle w:val="137"/>
                    <w:jc w:val="both"/>
                    <w:rPr>
                      <w:b/>
                      <w:bCs/>
                      <w:color w:val="000000"/>
                    </w:rPr>
                  </w:pPr>
                  <w:r>
                    <w:rPr>
                      <w:b/>
                      <w:bCs/>
                      <w:color w:val="000000"/>
                    </w:rPr>
                    <w:t>噪声</w:t>
                  </w:r>
                </w:p>
                <w:p>
                  <w:pPr>
                    <w:pStyle w:val="137"/>
                    <w:jc w:val="both"/>
                    <w:rPr>
                      <w:b/>
                      <w:bCs/>
                      <w:color w:val="000000"/>
                    </w:rPr>
                  </w:pPr>
                  <w:r>
                    <w:rPr>
                      <w:b/>
                      <w:bCs/>
                      <w:color w:val="000000"/>
                    </w:rPr>
                    <w:t>源强</w:t>
                  </w:r>
                </w:p>
              </w:tc>
              <w:tc>
                <w:tcPr>
                  <w:tcW w:w="1237" w:type="pct"/>
                  <w:gridSpan w:val="2"/>
                  <w:vAlign w:val="center"/>
                </w:tcPr>
                <w:p>
                  <w:pPr>
                    <w:pStyle w:val="137"/>
                    <w:jc w:val="both"/>
                    <w:rPr>
                      <w:b/>
                      <w:bCs/>
                      <w:color w:val="000000"/>
                    </w:rPr>
                  </w:pPr>
                  <w:r>
                    <w:rPr>
                      <w:b/>
                      <w:bCs/>
                      <w:color w:val="000000"/>
                    </w:rPr>
                    <w:t>北侧厂界</w:t>
                  </w:r>
                </w:p>
              </w:tc>
              <w:tc>
                <w:tcPr>
                  <w:tcW w:w="1219" w:type="pct"/>
                  <w:gridSpan w:val="2"/>
                  <w:vAlign w:val="center"/>
                </w:tcPr>
                <w:p>
                  <w:pPr>
                    <w:pStyle w:val="137"/>
                    <w:jc w:val="both"/>
                    <w:rPr>
                      <w:b/>
                      <w:bCs/>
                      <w:color w:val="000000"/>
                    </w:rPr>
                  </w:pPr>
                  <w:r>
                    <w:rPr>
                      <w:b/>
                      <w:bCs/>
                      <w:color w:val="000000"/>
                    </w:rPr>
                    <w:t>西侧厂界</w:t>
                  </w:r>
                </w:p>
              </w:tc>
              <w:tc>
                <w:tcPr>
                  <w:tcW w:w="1214" w:type="pct"/>
                  <w:gridSpan w:val="2"/>
                  <w:vAlign w:val="center"/>
                </w:tcPr>
                <w:p>
                  <w:pPr>
                    <w:pStyle w:val="137"/>
                    <w:jc w:val="both"/>
                    <w:rPr>
                      <w:b/>
                      <w:bCs/>
                      <w:color w:val="000000"/>
                    </w:rPr>
                  </w:pPr>
                  <w:r>
                    <w:rPr>
                      <w:b/>
                      <w:bCs/>
                      <w:color w:val="000000"/>
                    </w:rPr>
                    <w:t>南侧厂界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pPr>
                    <w:pStyle w:val="137"/>
                    <w:jc w:val="both"/>
                    <w:rPr>
                      <w:b/>
                      <w:bCs/>
                      <w:color w:val="000000"/>
                    </w:rPr>
                  </w:pPr>
                </w:p>
              </w:tc>
              <w:tc>
                <w:tcPr>
                  <w:tcW w:w="489" w:type="pct"/>
                  <w:vMerge w:val="continue"/>
                  <w:vAlign w:val="center"/>
                </w:tcPr>
                <w:p>
                  <w:pPr>
                    <w:pStyle w:val="137"/>
                    <w:jc w:val="both"/>
                    <w:rPr>
                      <w:b/>
                      <w:bCs/>
                      <w:color w:val="000000"/>
                    </w:rPr>
                  </w:pPr>
                </w:p>
              </w:tc>
              <w:tc>
                <w:tcPr>
                  <w:tcW w:w="636" w:type="pct"/>
                  <w:vAlign w:val="center"/>
                </w:tcPr>
                <w:p>
                  <w:pPr>
                    <w:pStyle w:val="137"/>
                    <w:jc w:val="both"/>
                    <w:rPr>
                      <w:b/>
                      <w:bCs/>
                      <w:color w:val="000000"/>
                    </w:rPr>
                  </w:pPr>
                  <w:r>
                    <w:rPr>
                      <w:b/>
                      <w:bCs/>
                      <w:color w:val="000000"/>
                    </w:rPr>
                    <w:t>距离(m)</w:t>
                  </w:r>
                </w:p>
              </w:tc>
              <w:tc>
                <w:tcPr>
                  <w:tcW w:w="601" w:type="pct"/>
                  <w:vAlign w:val="center"/>
                </w:tcPr>
                <w:p>
                  <w:pPr>
                    <w:pStyle w:val="137"/>
                    <w:jc w:val="both"/>
                    <w:rPr>
                      <w:b/>
                      <w:bCs/>
                      <w:color w:val="000000"/>
                    </w:rPr>
                  </w:pPr>
                  <w:r>
                    <w:rPr>
                      <w:b/>
                      <w:bCs/>
                      <w:color w:val="000000"/>
                    </w:rPr>
                    <w:t>贡献值</w:t>
                  </w:r>
                </w:p>
              </w:tc>
              <w:tc>
                <w:tcPr>
                  <w:tcW w:w="618" w:type="pct"/>
                  <w:vAlign w:val="center"/>
                </w:tcPr>
                <w:p>
                  <w:pPr>
                    <w:pStyle w:val="137"/>
                    <w:jc w:val="both"/>
                    <w:rPr>
                      <w:b/>
                      <w:bCs/>
                      <w:color w:val="000000"/>
                    </w:rPr>
                  </w:pPr>
                  <w:r>
                    <w:rPr>
                      <w:b/>
                      <w:bCs/>
                      <w:color w:val="000000"/>
                    </w:rPr>
                    <w:t>距离(m)</w:t>
                  </w:r>
                </w:p>
              </w:tc>
              <w:tc>
                <w:tcPr>
                  <w:tcW w:w="601" w:type="pct"/>
                  <w:vAlign w:val="center"/>
                </w:tcPr>
                <w:p>
                  <w:pPr>
                    <w:pStyle w:val="137"/>
                    <w:jc w:val="both"/>
                    <w:rPr>
                      <w:b/>
                      <w:bCs/>
                      <w:color w:val="000000"/>
                    </w:rPr>
                  </w:pPr>
                  <w:r>
                    <w:rPr>
                      <w:b/>
                      <w:bCs/>
                      <w:color w:val="000000"/>
                    </w:rPr>
                    <w:t>贡献值</w:t>
                  </w:r>
                </w:p>
              </w:tc>
              <w:tc>
                <w:tcPr>
                  <w:tcW w:w="618" w:type="pct"/>
                  <w:vAlign w:val="center"/>
                </w:tcPr>
                <w:p>
                  <w:pPr>
                    <w:pStyle w:val="137"/>
                    <w:jc w:val="both"/>
                    <w:rPr>
                      <w:b/>
                      <w:bCs/>
                      <w:color w:val="000000"/>
                    </w:rPr>
                  </w:pPr>
                  <w:r>
                    <w:rPr>
                      <w:b/>
                      <w:bCs/>
                      <w:color w:val="000000"/>
                    </w:rPr>
                    <w:t>距离(m)</w:t>
                  </w:r>
                </w:p>
              </w:tc>
              <w:tc>
                <w:tcPr>
                  <w:tcW w:w="596" w:type="pct"/>
                  <w:vAlign w:val="center"/>
                </w:tcPr>
                <w:p>
                  <w:pPr>
                    <w:pStyle w:val="137"/>
                    <w:jc w:val="both"/>
                    <w:rPr>
                      <w:b/>
                      <w:bCs/>
                      <w:color w:val="000000"/>
                    </w:rPr>
                  </w:pPr>
                  <w:r>
                    <w:rPr>
                      <w:b/>
                      <w:bCs/>
                      <w:color w:val="000000"/>
                    </w:rPr>
                    <w:t>贡献值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pPr>
                    <w:pStyle w:val="137"/>
                    <w:jc w:val="both"/>
                    <w:rPr>
                      <w:color w:val="000000"/>
                    </w:rPr>
                  </w:pPr>
                  <w:r>
                    <w:rPr>
                      <w:color w:val="000000"/>
                    </w:rPr>
                    <w:t>生产车间</w:t>
                  </w:r>
                </w:p>
              </w:tc>
              <w:tc>
                <w:tcPr>
                  <w:tcW w:w="489" w:type="pct"/>
                  <w:vAlign w:val="center"/>
                </w:tcPr>
                <w:p>
                  <w:pPr>
                    <w:pStyle w:val="137"/>
                    <w:rPr>
                      <w:color w:val="000000"/>
                    </w:rPr>
                  </w:pPr>
                  <w:r>
                    <w:rPr>
                      <w:rFonts w:hint="eastAsia"/>
                      <w:color w:val="000000"/>
                    </w:rPr>
                    <w:t>76.5</w:t>
                  </w:r>
                </w:p>
              </w:tc>
              <w:tc>
                <w:tcPr>
                  <w:tcW w:w="636" w:type="pct"/>
                  <w:vAlign w:val="center"/>
                </w:tcPr>
                <w:p>
                  <w:pPr>
                    <w:pStyle w:val="137"/>
                    <w:rPr>
                      <w:color w:val="000000"/>
                    </w:rPr>
                  </w:pPr>
                  <w:r>
                    <w:rPr>
                      <w:rFonts w:hint="eastAsia"/>
                      <w:color w:val="000000"/>
                    </w:rPr>
                    <w:t>35</w:t>
                  </w:r>
                </w:p>
              </w:tc>
              <w:tc>
                <w:tcPr>
                  <w:tcW w:w="601" w:type="pct"/>
                  <w:vAlign w:val="center"/>
                </w:tcPr>
                <w:p>
                  <w:pPr>
                    <w:pStyle w:val="137"/>
                    <w:rPr>
                      <w:color w:val="000000"/>
                    </w:rPr>
                  </w:pPr>
                  <w:r>
                    <w:rPr>
                      <w:rFonts w:hint="eastAsia"/>
                      <w:color w:val="000000"/>
                    </w:rPr>
                    <w:t>45.7</w:t>
                  </w:r>
                </w:p>
              </w:tc>
              <w:tc>
                <w:tcPr>
                  <w:tcW w:w="618" w:type="pct"/>
                  <w:vAlign w:val="center"/>
                </w:tcPr>
                <w:p>
                  <w:pPr>
                    <w:pStyle w:val="137"/>
                    <w:rPr>
                      <w:color w:val="000000"/>
                    </w:rPr>
                  </w:pPr>
                  <w:r>
                    <w:rPr>
                      <w:rFonts w:hint="eastAsia"/>
                      <w:color w:val="000000"/>
                    </w:rPr>
                    <w:t>15</w:t>
                  </w:r>
                </w:p>
              </w:tc>
              <w:tc>
                <w:tcPr>
                  <w:tcW w:w="601" w:type="pct"/>
                  <w:vAlign w:val="center"/>
                </w:tcPr>
                <w:p>
                  <w:pPr>
                    <w:pStyle w:val="137"/>
                    <w:rPr>
                      <w:color w:val="000000"/>
                    </w:rPr>
                  </w:pPr>
                  <w:r>
                    <w:rPr>
                      <w:rFonts w:hint="eastAsia"/>
                      <w:color w:val="000000"/>
                    </w:rPr>
                    <w:t>53.0</w:t>
                  </w:r>
                </w:p>
              </w:tc>
              <w:tc>
                <w:tcPr>
                  <w:tcW w:w="618" w:type="pct"/>
                  <w:vAlign w:val="center"/>
                </w:tcPr>
                <w:p>
                  <w:pPr>
                    <w:pStyle w:val="137"/>
                    <w:rPr>
                      <w:color w:val="000000"/>
                    </w:rPr>
                  </w:pPr>
                  <w:r>
                    <w:rPr>
                      <w:rFonts w:hint="eastAsia"/>
                      <w:color w:val="000000"/>
                    </w:rPr>
                    <w:t>40</w:t>
                  </w:r>
                </w:p>
              </w:tc>
              <w:tc>
                <w:tcPr>
                  <w:tcW w:w="596" w:type="pct"/>
                  <w:vAlign w:val="center"/>
                </w:tcPr>
                <w:p>
                  <w:pPr>
                    <w:pStyle w:val="137"/>
                    <w:rPr>
                      <w:color w:val="000000"/>
                    </w:rPr>
                  </w:pPr>
                  <w:r>
                    <w:rPr>
                      <w:rFonts w:hint="eastAsia"/>
                      <w:color w:val="000000"/>
                    </w:rPr>
                    <w:t>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pPr>
                    <w:pStyle w:val="137"/>
                    <w:jc w:val="both"/>
                    <w:rPr>
                      <w:color w:val="000000"/>
                    </w:rPr>
                  </w:pPr>
                  <w:r>
                    <w:rPr>
                      <w:rFonts w:hint="eastAsia"/>
                      <w:color w:val="000000"/>
                    </w:rPr>
                    <w:t>备注</w:t>
                  </w:r>
                </w:p>
              </w:tc>
              <w:tc>
                <w:tcPr>
                  <w:tcW w:w="4159" w:type="pct"/>
                  <w:gridSpan w:val="7"/>
                  <w:vAlign w:val="center"/>
                </w:tcPr>
                <w:p>
                  <w:pPr>
                    <w:pStyle w:val="137"/>
                    <w:jc w:val="both"/>
                    <w:rPr>
                      <w:color w:val="000000"/>
                    </w:rPr>
                  </w:pPr>
                  <w:r>
                    <w:rPr>
                      <w:rFonts w:hint="eastAsia"/>
                      <w:color w:val="000000"/>
                    </w:rPr>
                    <w:t>厂房东侧为相邻厂房</w:t>
                  </w:r>
                </w:p>
              </w:tc>
            </w:tr>
          </w:tbl>
          <w:p>
            <w:pPr>
              <w:adjustRightInd w:val="0"/>
              <w:spacing w:line="360" w:lineRule="auto"/>
              <w:ind w:firstLine="480" w:firstLineChars="200"/>
              <w:contextualSpacing/>
              <w:rPr>
                <w:color w:val="000000"/>
                <w:sz w:val="24"/>
              </w:rPr>
            </w:pPr>
            <w:r>
              <w:rPr>
                <w:color w:val="000000"/>
                <w:sz w:val="24"/>
              </w:rPr>
              <w:t>由预测结果可知，本项目投产后正常运行过程中，对厂界的噪声预测值可以满足《工业企业厂界环境噪声排放标准》（GB12348-2008）</w:t>
            </w:r>
            <w:r>
              <w:rPr>
                <w:rFonts w:hint="eastAsia"/>
                <w:color w:val="000000"/>
                <w:sz w:val="24"/>
              </w:rPr>
              <w:t>3</w:t>
            </w:r>
            <w:r>
              <w:rPr>
                <w:color w:val="000000"/>
                <w:sz w:val="24"/>
              </w:rPr>
              <w:t>类标准</w:t>
            </w:r>
            <w:r>
              <w:rPr>
                <w:rFonts w:hint="eastAsia"/>
                <w:color w:val="000000"/>
                <w:sz w:val="24"/>
              </w:rPr>
              <w:t>。</w:t>
            </w:r>
          </w:p>
          <w:p>
            <w:pPr>
              <w:adjustRightInd w:val="0"/>
              <w:spacing w:line="360" w:lineRule="auto"/>
              <w:ind w:firstLine="480" w:firstLineChars="200"/>
              <w:contextualSpacing/>
              <w:rPr>
                <w:color w:val="000000"/>
                <w:sz w:val="24"/>
              </w:rPr>
            </w:pPr>
            <w:r>
              <w:rPr>
                <w:color w:val="000000"/>
                <w:sz w:val="24"/>
              </w:rPr>
              <w:t>综上所述，运营期噪声经隔声降噪及距离衰减后，对周边声环境影响较小。</w:t>
            </w:r>
          </w:p>
          <w:p>
            <w:pPr>
              <w:widowControl/>
              <w:spacing w:line="360" w:lineRule="auto"/>
              <w:jc w:val="left"/>
              <w:outlineLvl w:val="2"/>
              <w:rPr>
                <w:b/>
                <w:color w:val="000000"/>
                <w:kern w:val="0"/>
                <w:sz w:val="28"/>
                <w:szCs w:val="28"/>
              </w:rPr>
            </w:pPr>
            <w:r>
              <w:rPr>
                <w:b/>
                <w:color w:val="000000"/>
                <w:kern w:val="0"/>
                <w:sz w:val="28"/>
                <w:szCs w:val="28"/>
              </w:rPr>
              <w:t>4.2.4固体废物</w:t>
            </w:r>
          </w:p>
          <w:p>
            <w:pPr>
              <w:adjustRightInd w:val="0"/>
              <w:spacing w:line="360" w:lineRule="auto"/>
              <w:ind w:firstLine="480" w:firstLineChars="200"/>
              <w:contextualSpacing/>
              <w:rPr>
                <w:color w:val="000000"/>
                <w:sz w:val="24"/>
              </w:rPr>
            </w:pPr>
            <w:r>
              <w:rPr>
                <w:color w:val="000000"/>
                <w:sz w:val="24"/>
              </w:rPr>
              <w:t>（1）污染源分析</w:t>
            </w:r>
          </w:p>
          <w:p>
            <w:pPr>
              <w:pStyle w:val="31"/>
              <w:ind w:firstLine="480"/>
              <w:rPr>
                <w:color w:val="000000"/>
                <w:kern w:val="2"/>
                <w:sz w:val="24"/>
                <w:szCs w:val="24"/>
              </w:rPr>
            </w:pPr>
            <w:r>
              <w:rPr>
                <w:color w:val="000000"/>
                <w:kern w:val="2"/>
                <w:sz w:val="24"/>
                <w:szCs w:val="24"/>
              </w:rPr>
              <w:t>1）一般工业固废</w:t>
            </w:r>
          </w:p>
          <w:p>
            <w:pPr>
              <w:spacing w:line="360" w:lineRule="auto"/>
              <w:ind w:firstLine="480" w:firstLineChars="200"/>
              <w:rPr>
                <w:color w:val="000000"/>
                <w:sz w:val="24"/>
              </w:rPr>
            </w:pPr>
            <w:r>
              <w:rPr>
                <w:rFonts w:hint="eastAsia" w:ascii="宋体" w:hAnsi="宋体" w:cs="宋体"/>
                <w:color w:val="000000"/>
                <w:sz w:val="24"/>
              </w:rPr>
              <w:t>①</w:t>
            </w:r>
            <w:r>
              <w:rPr>
                <w:color w:val="000000"/>
                <w:sz w:val="24"/>
              </w:rPr>
              <w:t>废包装材料</w:t>
            </w:r>
          </w:p>
          <w:p>
            <w:pPr>
              <w:spacing w:line="360" w:lineRule="auto"/>
              <w:ind w:firstLine="480" w:firstLineChars="200"/>
              <w:rPr>
                <w:color w:val="000000"/>
                <w:sz w:val="24"/>
              </w:rPr>
            </w:pPr>
            <w:r>
              <w:rPr>
                <w:color w:val="000000"/>
                <w:sz w:val="24"/>
              </w:rPr>
              <w:t>项目包装过程中会产生少量的废包装材料（如废包装袋等），根据类比分析，项目包装过程产生的废包装材料产生量约</w:t>
            </w:r>
            <w:r>
              <w:rPr>
                <w:rFonts w:hint="eastAsia"/>
                <w:color w:val="000000"/>
                <w:sz w:val="24"/>
              </w:rPr>
              <w:t>0.5</w:t>
            </w:r>
            <w:r>
              <w:rPr>
                <w:color w:val="000000"/>
                <w:sz w:val="24"/>
              </w:rPr>
              <w:t>t/a，经收集后外售综合利用。</w:t>
            </w:r>
          </w:p>
          <w:p>
            <w:pPr>
              <w:pStyle w:val="31"/>
              <w:ind w:firstLine="480"/>
              <w:rPr>
                <w:color w:val="000000"/>
                <w:sz w:val="24"/>
                <w:szCs w:val="24"/>
              </w:rPr>
            </w:pPr>
            <w:r>
              <w:rPr>
                <w:rFonts w:hint="eastAsia" w:ascii="宋体" w:hAnsi="宋体" w:cs="宋体"/>
                <w:color w:val="000000"/>
                <w:sz w:val="24"/>
                <w:szCs w:val="24"/>
              </w:rPr>
              <w:t>②</w:t>
            </w:r>
            <w:r>
              <w:rPr>
                <w:rFonts w:hint="eastAsia"/>
                <w:color w:val="000000"/>
                <w:kern w:val="2"/>
                <w:sz w:val="24"/>
                <w:szCs w:val="24"/>
              </w:rPr>
              <w:t>不合格产品</w:t>
            </w:r>
          </w:p>
          <w:p>
            <w:pPr>
              <w:adjustRightInd w:val="0"/>
              <w:snapToGrid w:val="0"/>
              <w:spacing w:line="360" w:lineRule="auto"/>
              <w:ind w:firstLine="480" w:firstLineChars="200"/>
              <w:rPr>
                <w:color w:val="000000"/>
                <w:sz w:val="24"/>
              </w:rPr>
            </w:pPr>
            <w:r>
              <w:rPr>
                <w:rFonts w:hint="eastAsia"/>
                <w:color w:val="000000"/>
                <w:sz w:val="24"/>
              </w:rPr>
              <w:t>本项目生产固废主要为不合格产品，根据建设单位提供的资料，生产过程中产生不合格产品，其年产生量约8.5</w:t>
            </w:r>
            <w:r>
              <w:rPr>
                <w:color w:val="000000"/>
                <w:sz w:val="24"/>
              </w:rPr>
              <w:t>t</w:t>
            </w:r>
            <w:r>
              <w:rPr>
                <w:rFonts w:hint="eastAsia"/>
                <w:color w:val="000000"/>
                <w:sz w:val="24"/>
                <w:lang w:eastAsia="zh-CN"/>
              </w:rPr>
              <w:t>且</w:t>
            </w:r>
            <w:r>
              <w:rPr>
                <w:rFonts w:hint="eastAsia"/>
                <w:color w:val="000000"/>
                <w:sz w:val="24"/>
              </w:rPr>
              <w:t>回收可利用价值高，经收集后出售给回收企业回收利用。</w:t>
            </w:r>
          </w:p>
          <w:p>
            <w:pPr>
              <w:adjustRightInd w:val="0"/>
              <w:snapToGrid w:val="0"/>
              <w:spacing w:line="360" w:lineRule="auto"/>
              <w:ind w:firstLine="480" w:firstLineChars="200"/>
              <w:rPr>
                <w:color w:val="000000"/>
                <w:sz w:val="24"/>
              </w:rPr>
            </w:pPr>
            <w:r>
              <w:rPr>
                <w:rFonts w:hint="eastAsia"/>
                <w:color w:val="000000"/>
                <w:sz w:val="24"/>
              </w:rPr>
              <w:t>③布袋除尘粉尘</w:t>
            </w:r>
          </w:p>
          <w:p>
            <w:pPr>
              <w:adjustRightInd w:val="0"/>
              <w:snapToGrid w:val="0"/>
              <w:spacing w:line="360" w:lineRule="auto"/>
              <w:ind w:firstLine="480" w:firstLineChars="200"/>
              <w:rPr>
                <w:color w:val="000000"/>
                <w:sz w:val="24"/>
              </w:rPr>
            </w:pPr>
            <w:r>
              <w:rPr>
                <w:color w:val="000000"/>
                <w:sz w:val="24"/>
              </w:rPr>
              <w:t>项目布袋除尘器收集的粉尘约</w:t>
            </w:r>
            <w:r>
              <w:rPr>
                <w:rFonts w:hint="eastAsia"/>
                <w:color w:val="000000"/>
                <w:sz w:val="24"/>
              </w:rPr>
              <w:t>0.063</w:t>
            </w:r>
            <w:r>
              <w:rPr>
                <w:color w:val="000000"/>
                <w:sz w:val="24"/>
              </w:rPr>
              <w:t>t/a，外售物资单位综合利用。</w:t>
            </w:r>
          </w:p>
          <w:p>
            <w:pPr>
              <w:pStyle w:val="31"/>
              <w:ind w:firstLine="480"/>
              <w:rPr>
                <w:color w:val="000000"/>
                <w:kern w:val="2"/>
                <w:sz w:val="24"/>
                <w:szCs w:val="24"/>
              </w:rPr>
            </w:pPr>
            <w:r>
              <w:rPr>
                <w:color w:val="000000"/>
                <w:kern w:val="2"/>
                <w:sz w:val="24"/>
                <w:szCs w:val="24"/>
              </w:rPr>
              <w:t>2）生活垃圾</w:t>
            </w:r>
          </w:p>
          <w:p>
            <w:pPr>
              <w:adjustRightInd w:val="0"/>
              <w:snapToGrid w:val="0"/>
              <w:spacing w:line="360" w:lineRule="auto"/>
              <w:ind w:firstLine="480" w:firstLineChars="200"/>
              <w:rPr>
                <w:color w:val="000000"/>
                <w:sz w:val="24"/>
              </w:rPr>
            </w:pPr>
            <w:r>
              <w:rPr>
                <w:color w:val="000000"/>
                <w:sz w:val="24"/>
              </w:rPr>
              <w:t>生活垃圾主要来源于项目职工日常生活中产生的垃圾，项目职工人数共15人，均不在厂区内食宿，职工生活垃圾排放量按0.5kg/人·天计，则生活垃圾产生量为7.5kg/d，年产生量约为2.25t(按年工作300天计)，统一收集后，全部委托环卫部门定期外运统一处置。</w:t>
            </w:r>
          </w:p>
          <w:p>
            <w:pPr>
              <w:pStyle w:val="31"/>
              <w:ind w:firstLine="480"/>
              <w:rPr>
                <w:color w:val="000000"/>
                <w:kern w:val="2"/>
                <w:sz w:val="24"/>
                <w:szCs w:val="24"/>
              </w:rPr>
            </w:pPr>
            <w:r>
              <w:rPr>
                <w:color w:val="000000"/>
                <w:kern w:val="2"/>
                <w:sz w:val="24"/>
                <w:szCs w:val="24"/>
              </w:rPr>
              <w:t>3）危险废物</w:t>
            </w:r>
          </w:p>
          <w:p>
            <w:pPr>
              <w:pStyle w:val="2"/>
              <w:spacing w:before="0" w:after="0" w:line="360" w:lineRule="auto"/>
              <w:ind w:left="0" w:firstLine="480" w:firstLineChars="200"/>
              <w:rPr>
                <w:rFonts w:eastAsia="宋体"/>
                <w:b w:val="0"/>
                <w:bCs w:val="0"/>
                <w:sz w:val="24"/>
                <w:szCs w:val="24"/>
              </w:rPr>
            </w:pPr>
            <w:r>
              <w:rPr>
                <w:rFonts w:hint="eastAsia" w:ascii="宋体" w:hAnsi="宋体" w:eastAsia="宋体" w:cs="宋体"/>
                <w:b w:val="0"/>
                <w:bCs w:val="0"/>
                <w:sz w:val="24"/>
                <w:szCs w:val="24"/>
              </w:rPr>
              <w:t>①</w:t>
            </w:r>
            <w:r>
              <w:rPr>
                <w:rFonts w:eastAsia="宋体"/>
                <w:b w:val="0"/>
                <w:bCs w:val="0"/>
                <w:sz w:val="24"/>
                <w:szCs w:val="24"/>
              </w:rPr>
              <w:t>活性炭</w:t>
            </w:r>
          </w:p>
          <w:p>
            <w:pPr>
              <w:spacing w:line="360" w:lineRule="auto"/>
              <w:ind w:firstLine="480" w:firstLineChars="200"/>
              <w:rPr>
                <w:color w:val="000000"/>
                <w:sz w:val="24"/>
              </w:rPr>
            </w:pPr>
            <w:r>
              <w:rPr>
                <w:color w:val="000000"/>
                <w:sz w:val="24"/>
              </w:rPr>
              <w:t>根据中国建筑出版社(1997)出版的《简明通风设计手册》第十章中关于活性吸附处理治理废气的方法中提供的数据：每1.0kg活性炭吸附有机废气的平衡量为0.</w:t>
            </w:r>
            <w:r>
              <w:rPr>
                <w:rFonts w:hint="eastAsia"/>
                <w:color w:val="000000"/>
                <w:sz w:val="24"/>
              </w:rPr>
              <w:t>23</w:t>
            </w:r>
            <w:r>
              <w:rPr>
                <w:color w:val="000000"/>
                <w:sz w:val="24"/>
              </w:rPr>
              <w:t>～0.</w:t>
            </w:r>
            <w:r>
              <w:rPr>
                <w:rFonts w:hint="eastAsia"/>
                <w:color w:val="000000"/>
                <w:sz w:val="24"/>
              </w:rPr>
              <w:t>3</w:t>
            </w:r>
            <w:r>
              <w:rPr>
                <w:color w:val="000000"/>
                <w:sz w:val="24"/>
              </w:rPr>
              <w:t>kg，本项目按1t活性炭吸附0.</w:t>
            </w:r>
            <w:r>
              <w:rPr>
                <w:rFonts w:hint="eastAsia"/>
                <w:color w:val="000000"/>
                <w:sz w:val="24"/>
              </w:rPr>
              <w:t>3</w:t>
            </w:r>
            <w:r>
              <w:rPr>
                <w:color w:val="000000"/>
                <w:sz w:val="24"/>
              </w:rPr>
              <w:t>t有机废气计算，本项目有组织有机废气量净化</w:t>
            </w:r>
            <w:r>
              <w:rPr>
                <w:rFonts w:hint="eastAsia"/>
                <w:color w:val="000000"/>
                <w:sz w:val="24"/>
              </w:rPr>
              <w:t>量为2.66t</w:t>
            </w:r>
            <w:r>
              <w:rPr>
                <w:color w:val="000000"/>
                <w:sz w:val="24"/>
              </w:rPr>
              <w:t>/a，则预计项目年消耗活性炭量为</w:t>
            </w:r>
            <w:r>
              <w:rPr>
                <w:rFonts w:hint="eastAsia"/>
                <w:color w:val="000000"/>
                <w:sz w:val="24"/>
              </w:rPr>
              <w:t>8.87t</w:t>
            </w:r>
            <w:r>
              <w:rPr>
                <w:color w:val="000000"/>
                <w:sz w:val="24"/>
              </w:rPr>
              <w:t>，则项目每年产生的废活性炭吸附饱和物量约为</w:t>
            </w:r>
            <w:r>
              <w:rPr>
                <w:rFonts w:hint="eastAsia"/>
                <w:color w:val="000000"/>
                <w:sz w:val="24"/>
              </w:rPr>
              <w:t>11.53t</w:t>
            </w:r>
            <w:r>
              <w:rPr>
                <w:color w:val="000000"/>
                <w:sz w:val="24"/>
              </w:rPr>
              <w:t>/a，项目计划</w:t>
            </w:r>
            <w:r>
              <w:rPr>
                <w:rFonts w:hint="eastAsia"/>
                <w:color w:val="000000"/>
                <w:sz w:val="24"/>
              </w:rPr>
              <w:t>每月</w:t>
            </w:r>
            <w:r>
              <w:rPr>
                <w:color w:val="000000"/>
                <w:sz w:val="24"/>
              </w:rPr>
              <w:t>更换一次活性炭吸附填料</w:t>
            </w:r>
            <w:r>
              <w:rPr>
                <w:rFonts w:hint="eastAsia"/>
                <w:color w:val="000000"/>
                <w:sz w:val="24"/>
              </w:rPr>
              <w:t>，每次填充量约为1t</w:t>
            </w:r>
            <w:r>
              <w:rPr>
                <w:color w:val="000000"/>
                <w:sz w:val="24"/>
              </w:rPr>
              <w:t>，确保项目有机废气达标排放，</w:t>
            </w:r>
            <w:r>
              <w:rPr>
                <w:rFonts w:hint="eastAsia"/>
                <w:color w:val="000000"/>
                <w:sz w:val="24"/>
              </w:rPr>
              <w:t>则项目废活性炭产生量约为14.7t/a。</w:t>
            </w:r>
            <w:r>
              <w:rPr>
                <w:color w:val="000000"/>
                <w:sz w:val="24"/>
              </w:rPr>
              <w:t>根据《国家危险废物名录》(2021年版)，废弃活性炭吸附饱和物属于危险废物，废物类别为HW49其他废物，废物代码900-039-49。</w:t>
            </w:r>
          </w:p>
          <w:p>
            <w:pPr>
              <w:pStyle w:val="31"/>
              <w:ind w:firstLine="480"/>
              <w:rPr>
                <w:color w:val="000000"/>
                <w:kern w:val="2"/>
                <w:sz w:val="21"/>
                <w:szCs w:val="24"/>
              </w:rPr>
            </w:pPr>
            <w:r>
              <w:rPr>
                <w:color w:val="000000"/>
                <w:kern w:val="2"/>
                <w:sz w:val="24"/>
                <w:szCs w:val="24"/>
              </w:rPr>
              <w:t>综上所述，一般工业固</w:t>
            </w:r>
            <w:r>
              <w:rPr>
                <w:rFonts w:hint="eastAsia"/>
                <w:color w:val="000000"/>
                <w:kern w:val="2"/>
                <w:sz w:val="24"/>
                <w:szCs w:val="24"/>
              </w:rPr>
              <w:t>废弃物</w:t>
            </w:r>
            <w:r>
              <w:rPr>
                <w:color w:val="000000"/>
                <w:kern w:val="2"/>
                <w:sz w:val="24"/>
                <w:szCs w:val="24"/>
              </w:rPr>
              <w:t>及生活垃圾产生量及防治措施情况表见</w:t>
            </w:r>
            <w:r>
              <w:rPr>
                <w:rFonts w:hint="eastAsia"/>
                <w:color w:val="000000"/>
                <w:kern w:val="2"/>
                <w:sz w:val="24"/>
                <w:szCs w:val="24"/>
              </w:rPr>
              <w:t>4.</w:t>
            </w:r>
            <w:r>
              <w:rPr>
                <w:color w:val="000000"/>
                <w:kern w:val="2"/>
                <w:sz w:val="24"/>
                <w:szCs w:val="24"/>
              </w:rPr>
              <w:t>2</w:t>
            </w:r>
            <w:r>
              <w:rPr>
                <w:rFonts w:hint="eastAsia"/>
                <w:color w:val="000000"/>
                <w:kern w:val="2"/>
                <w:sz w:val="24"/>
                <w:szCs w:val="24"/>
              </w:rPr>
              <w:t>-13；危险废物识别见表4</w:t>
            </w:r>
            <w:r>
              <w:rPr>
                <w:color w:val="000000"/>
                <w:kern w:val="2"/>
                <w:sz w:val="24"/>
                <w:szCs w:val="24"/>
              </w:rPr>
              <w:t>.2</w:t>
            </w:r>
            <w:r>
              <w:rPr>
                <w:rFonts w:hint="eastAsia"/>
                <w:color w:val="000000"/>
                <w:kern w:val="2"/>
                <w:sz w:val="24"/>
                <w:szCs w:val="24"/>
              </w:rPr>
              <w:t>-14</w:t>
            </w:r>
            <w:r>
              <w:rPr>
                <w:color w:val="000000"/>
                <w:kern w:val="2"/>
                <w:sz w:val="24"/>
                <w:szCs w:val="24"/>
              </w:rPr>
              <w:t>。</w:t>
            </w:r>
          </w:p>
          <w:p>
            <w:pPr>
              <w:spacing w:before="120" w:beforeLines="50"/>
              <w:jc w:val="center"/>
              <w:rPr>
                <w:b/>
                <w:bCs/>
                <w:color w:val="000000"/>
                <w:szCs w:val="21"/>
              </w:rPr>
            </w:pPr>
            <w:r>
              <w:rPr>
                <w:b/>
                <w:bCs/>
                <w:color w:val="000000"/>
                <w:szCs w:val="21"/>
              </w:rPr>
              <w:t>表</w:t>
            </w:r>
            <w:r>
              <w:rPr>
                <w:rFonts w:hint="eastAsia"/>
                <w:b/>
                <w:bCs/>
                <w:color w:val="000000"/>
                <w:szCs w:val="21"/>
              </w:rPr>
              <w:t>4.</w:t>
            </w:r>
            <w:r>
              <w:rPr>
                <w:b/>
                <w:bCs/>
                <w:color w:val="000000"/>
                <w:szCs w:val="21"/>
              </w:rPr>
              <w:t>2</w:t>
            </w:r>
            <w:r>
              <w:rPr>
                <w:rFonts w:hint="eastAsia"/>
                <w:b/>
                <w:bCs/>
                <w:color w:val="000000"/>
                <w:szCs w:val="21"/>
              </w:rPr>
              <w:t>-13</w:t>
            </w:r>
            <w:r>
              <w:rPr>
                <w:b/>
                <w:bCs/>
                <w:color w:val="000000"/>
                <w:szCs w:val="21"/>
              </w:rPr>
              <w:t xml:space="preserve"> 项目</w:t>
            </w:r>
            <w:r>
              <w:rPr>
                <w:rFonts w:hint="eastAsia"/>
                <w:b/>
                <w:bCs/>
                <w:color w:val="000000"/>
                <w:szCs w:val="21"/>
              </w:rPr>
              <w:t>固体废物</w:t>
            </w:r>
            <w:r>
              <w:rPr>
                <w:b/>
                <w:bCs/>
                <w:color w:val="000000"/>
                <w:szCs w:val="21"/>
              </w:rPr>
              <w:t>产生及处置措施表</w:t>
            </w:r>
          </w:p>
          <w:tbl>
            <w:tblPr>
              <w:tblStyle w:val="20"/>
              <w:tblW w:w="86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7"/>
              <w:gridCol w:w="2998"/>
              <w:gridCol w:w="1418"/>
              <w:gridCol w:w="1305"/>
              <w:gridCol w:w="23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80" w:type="dxa"/>
                  <w:gridSpan w:val="3"/>
                  <w:vAlign w:val="center"/>
                </w:tcPr>
                <w:p>
                  <w:pPr>
                    <w:pStyle w:val="111"/>
                    <w:rPr>
                      <w:color w:val="000000"/>
                      <w:lang w:val="en-US" w:eastAsia="zh-CN"/>
                    </w:rPr>
                  </w:pPr>
                  <w:r>
                    <w:rPr>
                      <w:rFonts w:hint="eastAsia"/>
                      <w:color w:val="000000"/>
                      <w:lang w:val="en-US" w:eastAsia="zh-CN"/>
                    </w:rPr>
                    <w:t>名称</w:t>
                  </w:r>
                </w:p>
              </w:tc>
              <w:tc>
                <w:tcPr>
                  <w:tcW w:w="1418" w:type="dxa"/>
                  <w:vAlign w:val="center"/>
                </w:tcPr>
                <w:p>
                  <w:pPr>
                    <w:pStyle w:val="111"/>
                    <w:rPr>
                      <w:color w:val="000000"/>
                      <w:lang w:val="en-US" w:eastAsia="zh-CN"/>
                    </w:rPr>
                  </w:pPr>
                  <w:r>
                    <w:rPr>
                      <w:rFonts w:hint="eastAsia"/>
                      <w:color w:val="000000"/>
                      <w:lang w:val="en-US" w:eastAsia="zh-CN"/>
                    </w:rPr>
                    <w:t>产生量（</w:t>
                  </w:r>
                  <w:r>
                    <w:rPr>
                      <w:color w:val="000000"/>
                      <w:lang w:val="en-US" w:eastAsia="zh-CN"/>
                    </w:rPr>
                    <w:t>t/a</w:t>
                  </w:r>
                  <w:r>
                    <w:rPr>
                      <w:rFonts w:hint="eastAsia"/>
                      <w:color w:val="000000"/>
                      <w:lang w:val="en-US" w:eastAsia="zh-CN"/>
                    </w:rPr>
                    <w:t>）</w:t>
                  </w:r>
                </w:p>
              </w:tc>
              <w:tc>
                <w:tcPr>
                  <w:tcW w:w="1305" w:type="dxa"/>
                  <w:vAlign w:val="center"/>
                </w:tcPr>
                <w:p>
                  <w:pPr>
                    <w:pStyle w:val="111"/>
                    <w:rPr>
                      <w:color w:val="000000"/>
                      <w:lang w:val="en-US" w:eastAsia="zh-CN"/>
                    </w:rPr>
                  </w:pPr>
                  <w:r>
                    <w:rPr>
                      <w:rFonts w:hint="eastAsia"/>
                      <w:color w:val="000000"/>
                      <w:lang w:val="en-US" w:eastAsia="zh-CN"/>
                    </w:rPr>
                    <w:t>排放量（</w:t>
                  </w:r>
                  <w:r>
                    <w:rPr>
                      <w:color w:val="000000"/>
                      <w:lang w:val="en-US" w:eastAsia="zh-CN"/>
                    </w:rPr>
                    <w:t>t/a</w:t>
                  </w:r>
                  <w:r>
                    <w:rPr>
                      <w:rFonts w:hint="eastAsia"/>
                      <w:color w:val="000000"/>
                      <w:lang w:val="en-US" w:eastAsia="zh-CN"/>
                    </w:rPr>
                    <w:t>）</w:t>
                  </w:r>
                </w:p>
              </w:tc>
              <w:tc>
                <w:tcPr>
                  <w:tcW w:w="2366" w:type="dxa"/>
                  <w:vAlign w:val="center"/>
                </w:tcPr>
                <w:p>
                  <w:pPr>
                    <w:pStyle w:val="111"/>
                    <w:rPr>
                      <w:color w:val="000000"/>
                      <w:lang w:val="en-US" w:eastAsia="zh-CN"/>
                    </w:rPr>
                  </w:pPr>
                  <w:r>
                    <w:rPr>
                      <w:rFonts w:hint="eastAsia"/>
                      <w:color w:val="000000"/>
                      <w:lang w:val="en-US" w:eastAsia="zh-CN"/>
                    </w:rPr>
                    <w:t>处理处置措施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69" w:type="dxa"/>
                  <w:gridSpan w:val="6"/>
                  <w:vAlign w:val="center"/>
                </w:tcPr>
                <w:p>
                  <w:pPr>
                    <w:pStyle w:val="111"/>
                    <w:rPr>
                      <w:color w:val="000000"/>
                      <w:lang w:val="en-US" w:eastAsia="zh-CN"/>
                    </w:rPr>
                  </w:pPr>
                  <w:r>
                    <w:rPr>
                      <w:rFonts w:hint="eastAsia"/>
                      <w:color w:val="000000"/>
                      <w:lang w:val="en-US" w:eastAsia="zh-CN"/>
                    </w:rPr>
                    <w:t>一、生活垃圾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2" w:type="dxa"/>
                  <w:gridSpan w:val="2"/>
                  <w:vAlign w:val="center"/>
                </w:tcPr>
                <w:p>
                  <w:pPr>
                    <w:pStyle w:val="111"/>
                    <w:rPr>
                      <w:color w:val="000000"/>
                      <w:lang w:val="en-US" w:eastAsia="zh-CN"/>
                    </w:rPr>
                  </w:pPr>
                  <w:r>
                    <w:rPr>
                      <w:rFonts w:hint="eastAsia"/>
                      <w:color w:val="000000"/>
                      <w:lang w:val="en-US" w:eastAsia="zh-CN"/>
                    </w:rPr>
                    <w:t>1</w:t>
                  </w:r>
                </w:p>
              </w:tc>
              <w:tc>
                <w:tcPr>
                  <w:tcW w:w="2998" w:type="dxa"/>
                  <w:vAlign w:val="center"/>
                </w:tcPr>
                <w:p>
                  <w:pPr>
                    <w:pStyle w:val="111"/>
                    <w:rPr>
                      <w:color w:val="000000"/>
                      <w:lang w:val="en-US" w:eastAsia="zh-CN"/>
                    </w:rPr>
                  </w:pPr>
                  <w:r>
                    <w:rPr>
                      <w:rFonts w:hint="eastAsia"/>
                      <w:color w:val="000000"/>
                      <w:lang w:val="en-US" w:eastAsia="zh-CN"/>
                    </w:rPr>
                    <w:t>生活垃圾</w:t>
                  </w:r>
                </w:p>
              </w:tc>
              <w:tc>
                <w:tcPr>
                  <w:tcW w:w="1418" w:type="dxa"/>
                  <w:vAlign w:val="center"/>
                </w:tcPr>
                <w:p>
                  <w:pPr>
                    <w:pStyle w:val="111"/>
                    <w:rPr>
                      <w:color w:val="000000"/>
                      <w:lang w:val="en-US" w:eastAsia="zh-CN"/>
                    </w:rPr>
                  </w:pPr>
                  <w:r>
                    <w:rPr>
                      <w:rFonts w:hint="eastAsia"/>
                      <w:color w:val="000000"/>
                      <w:lang w:val="en-US" w:eastAsia="zh-CN"/>
                    </w:rPr>
                    <w:t>2.25</w:t>
                  </w:r>
                </w:p>
              </w:tc>
              <w:tc>
                <w:tcPr>
                  <w:tcW w:w="1305" w:type="dxa"/>
                  <w:vAlign w:val="center"/>
                </w:tcPr>
                <w:p>
                  <w:pPr>
                    <w:pStyle w:val="111"/>
                    <w:rPr>
                      <w:color w:val="000000"/>
                      <w:lang w:val="en-US" w:eastAsia="zh-CN"/>
                    </w:rPr>
                  </w:pPr>
                  <w:r>
                    <w:rPr>
                      <w:rFonts w:hint="eastAsia"/>
                      <w:color w:val="000000"/>
                      <w:lang w:val="en-US" w:eastAsia="zh-CN"/>
                    </w:rPr>
                    <w:t>0</w:t>
                  </w:r>
                </w:p>
              </w:tc>
              <w:tc>
                <w:tcPr>
                  <w:tcW w:w="2366" w:type="dxa"/>
                  <w:vAlign w:val="center"/>
                </w:tcPr>
                <w:p>
                  <w:pPr>
                    <w:pStyle w:val="111"/>
                    <w:rPr>
                      <w:color w:val="000000"/>
                      <w:lang w:val="en-US" w:eastAsia="zh-CN"/>
                    </w:rPr>
                  </w:pPr>
                  <w:r>
                    <w:rPr>
                      <w:snapToGrid w:val="0"/>
                      <w:color w:val="000000"/>
                      <w:kern w:val="18"/>
                      <w:szCs w:val="21"/>
                    </w:rPr>
                    <w:t>委托环卫部门统一外运处置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69" w:type="dxa"/>
                  <w:gridSpan w:val="6"/>
                  <w:vAlign w:val="center"/>
                </w:tcPr>
                <w:p>
                  <w:pPr>
                    <w:pStyle w:val="111"/>
                    <w:rPr>
                      <w:color w:val="000000"/>
                      <w:lang w:val="en-US" w:eastAsia="zh-CN"/>
                    </w:rPr>
                  </w:pPr>
                  <w:r>
                    <w:rPr>
                      <w:rFonts w:hint="eastAsia"/>
                      <w:color w:val="000000"/>
                      <w:lang w:val="en-US" w:eastAsia="zh-CN"/>
                    </w:rPr>
                    <w:t>二、一般固废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dxa"/>
                  <w:vAlign w:val="center"/>
                </w:tcPr>
                <w:p>
                  <w:pPr>
                    <w:pStyle w:val="111"/>
                    <w:rPr>
                      <w:color w:val="000000"/>
                      <w:lang w:val="en-US" w:eastAsia="zh-CN"/>
                    </w:rPr>
                  </w:pPr>
                  <w:r>
                    <w:rPr>
                      <w:rFonts w:hint="eastAsia"/>
                      <w:color w:val="000000"/>
                      <w:lang w:val="en-US" w:eastAsia="zh-CN"/>
                    </w:rPr>
                    <w:t>2</w:t>
                  </w:r>
                </w:p>
              </w:tc>
              <w:tc>
                <w:tcPr>
                  <w:tcW w:w="3015" w:type="dxa"/>
                  <w:gridSpan w:val="2"/>
                  <w:vAlign w:val="center"/>
                </w:tcPr>
                <w:p>
                  <w:pPr>
                    <w:pStyle w:val="111"/>
                    <w:rPr>
                      <w:color w:val="000000"/>
                      <w:lang w:val="en-US" w:eastAsia="zh-CN"/>
                    </w:rPr>
                  </w:pPr>
                  <w:r>
                    <w:rPr>
                      <w:color w:val="000000"/>
                      <w:lang w:val="en-US" w:eastAsia="zh-CN"/>
                    </w:rPr>
                    <w:t>废包装材料</w:t>
                  </w:r>
                </w:p>
              </w:tc>
              <w:tc>
                <w:tcPr>
                  <w:tcW w:w="1418" w:type="dxa"/>
                  <w:vAlign w:val="center"/>
                </w:tcPr>
                <w:p>
                  <w:pPr>
                    <w:pStyle w:val="111"/>
                    <w:rPr>
                      <w:color w:val="000000"/>
                      <w:lang w:val="en-US" w:eastAsia="zh-CN"/>
                    </w:rPr>
                  </w:pPr>
                  <w:r>
                    <w:rPr>
                      <w:rFonts w:hint="eastAsia"/>
                      <w:color w:val="000000"/>
                      <w:lang w:val="en-US" w:eastAsia="zh-CN"/>
                    </w:rPr>
                    <w:t>0.5</w:t>
                  </w:r>
                </w:p>
              </w:tc>
              <w:tc>
                <w:tcPr>
                  <w:tcW w:w="1305" w:type="dxa"/>
                  <w:vAlign w:val="center"/>
                </w:tcPr>
                <w:p>
                  <w:pPr>
                    <w:pStyle w:val="111"/>
                    <w:rPr>
                      <w:color w:val="000000"/>
                      <w:lang w:val="en-US" w:eastAsia="zh-CN"/>
                    </w:rPr>
                  </w:pPr>
                  <w:r>
                    <w:rPr>
                      <w:color w:val="000000"/>
                      <w:lang w:val="en-US" w:eastAsia="zh-CN"/>
                    </w:rPr>
                    <w:t>0</w:t>
                  </w:r>
                </w:p>
              </w:tc>
              <w:tc>
                <w:tcPr>
                  <w:tcW w:w="2366" w:type="dxa"/>
                  <w:vMerge w:val="restart"/>
                  <w:vAlign w:val="center"/>
                </w:tcPr>
                <w:p>
                  <w:pPr>
                    <w:pStyle w:val="111"/>
                    <w:rPr>
                      <w:color w:val="000000"/>
                      <w:lang w:val="en-US" w:eastAsia="zh-CN"/>
                    </w:rPr>
                  </w:pPr>
                  <w:r>
                    <w:rPr>
                      <w:rFonts w:hint="eastAsia"/>
                      <w:color w:val="000000"/>
                      <w:lang w:val="en-US" w:eastAsia="zh-CN"/>
                    </w:rPr>
                    <w:t>车间内集中收集，外售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dxa"/>
                  <w:vAlign w:val="center"/>
                </w:tcPr>
                <w:p>
                  <w:pPr>
                    <w:pStyle w:val="111"/>
                    <w:rPr>
                      <w:color w:val="000000"/>
                      <w:lang w:val="en-US" w:eastAsia="zh-CN"/>
                    </w:rPr>
                  </w:pPr>
                  <w:r>
                    <w:rPr>
                      <w:rFonts w:hint="eastAsia"/>
                      <w:color w:val="000000"/>
                      <w:lang w:val="en-US" w:eastAsia="zh-CN"/>
                    </w:rPr>
                    <w:t>3</w:t>
                  </w:r>
                </w:p>
              </w:tc>
              <w:tc>
                <w:tcPr>
                  <w:tcW w:w="3015" w:type="dxa"/>
                  <w:gridSpan w:val="2"/>
                  <w:vAlign w:val="center"/>
                </w:tcPr>
                <w:p>
                  <w:pPr>
                    <w:pStyle w:val="111"/>
                    <w:rPr>
                      <w:color w:val="000000"/>
                      <w:lang w:val="en-US" w:eastAsia="zh-CN"/>
                    </w:rPr>
                  </w:pPr>
                  <w:r>
                    <w:rPr>
                      <w:rFonts w:hint="eastAsia"/>
                      <w:color w:val="000000"/>
                      <w:lang w:val="en-US" w:eastAsia="zh-CN"/>
                    </w:rPr>
                    <w:t>不合格产品</w:t>
                  </w:r>
                </w:p>
              </w:tc>
              <w:tc>
                <w:tcPr>
                  <w:tcW w:w="1418" w:type="dxa"/>
                  <w:vAlign w:val="center"/>
                </w:tcPr>
                <w:p>
                  <w:pPr>
                    <w:pStyle w:val="111"/>
                    <w:rPr>
                      <w:color w:val="000000"/>
                      <w:lang w:val="en-US" w:eastAsia="zh-CN"/>
                    </w:rPr>
                  </w:pPr>
                  <w:r>
                    <w:rPr>
                      <w:rFonts w:hint="eastAsia"/>
                      <w:color w:val="000000"/>
                      <w:lang w:val="en-US" w:eastAsia="zh-CN"/>
                    </w:rPr>
                    <w:t>8.5</w:t>
                  </w:r>
                </w:p>
              </w:tc>
              <w:tc>
                <w:tcPr>
                  <w:tcW w:w="1305" w:type="dxa"/>
                  <w:vAlign w:val="center"/>
                </w:tcPr>
                <w:p>
                  <w:pPr>
                    <w:pStyle w:val="111"/>
                    <w:rPr>
                      <w:color w:val="000000"/>
                      <w:lang w:val="en-US" w:eastAsia="zh-CN"/>
                    </w:rPr>
                  </w:pPr>
                  <w:r>
                    <w:rPr>
                      <w:rFonts w:hint="eastAsia"/>
                      <w:color w:val="000000"/>
                      <w:lang w:val="en-US" w:eastAsia="zh-CN"/>
                    </w:rPr>
                    <w:t>0</w:t>
                  </w:r>
                </w:p>
              </w:tc>
              <w:tc>
                <w:tcPr>
                  <w:tcW w:w="2366" w:type="dxa"/>
                  <w:vMerge w:val="continue"/>
                  <w:vAlign w:val="center"/>
                </w:tcPr>
                <w:p>
                  <w:pPr>
                    <w:pStyle w:val="111"/>
                    <w:rPr>
                      <w:color w:val="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dxa"/>
                  <w:vAlign w:val="center"/>
                </w:tcPr>
                <w:p>
                  <w:pPr>
                    <w:pStyle w:val="111"/>
                    <w:rPr>
                      <w:color w:val="000000"/>
                      <w:lang w:val="en-US" w:eastAsia="zh-CN"/>
                    </w:rPr>
                  </w:pPr>
                  <w:r>
                    <w:rPr>
                      <w:rFonts w:hint="eastAsia"/>
                      <w:color w:val="000000"/>
                      <w:lang w:val="en-US" w:eastAsia="zh-CN"/>
                    </w:rPr>
                    <w:t>4</w:t>
                  </w:r>
                </w:p>
              </w:tc>
              <w:tc>
                <w:tcPr>
                  <w:tcW w:w="3015" w:type="dxa"/>
                  <w:gridSpan w:val="2"/>
                  <w:vAlign w:val="center"/>
                </w:tcPr>
                <w:p>
                  <w:pPr>
                    <w:pStyle w:val="111"/>
                    <w:rPr>
                      <w:color w:val="000000"/>
                      <w:lang w:val="en-US" w:eastAsia="zh-CN"/>
                    </w:rPr>
                  </w:pPr>
                  <w:r>
                    <w:rPr>
                      <w:rFonts w:hint="eastAsia"/>
                      <w:color w:val="000000"/>
                      <w:lang w:val="en-US" w:eastAsia="zh-CN"/>
                    </w:rPr>
                    <w:t>布袋除尘粉尘</w:t>
                  </w:r>
                </w:p>
              </w:tc>
              <w:tc>
                <w:tcPr>
                  <w:tcW w:w="1418" w:type="dxa"/>
                  <w:vAlign w:val="center"/>
                </w:tcPr>
                <w:p>
                  <w:pPr>
                    <w:pStyle w:val="111"/>
                    <w:rPr>
                      <w:color w:val="000000"/>
                      <w:lang w:val="en-US" w:eastAsia="zh-CN"/>
                    </w:rPr>
                  </w:pPr>
                  <w:r>
                    <w:rPr>
                      <w:rFonts w:hint="eastAsia"/>
                      <w:color w:val="000000"/>
                      <w:lang w:val="en-US" w:eastAsia="zh-CN"/>
                    </w:rPr>
                    <w:t>0.063</w:t>
                  </w:r>
                </w:p>
              </w:tc>
              <w:tc>
                <w:tcPr>
                  <w:tcW w:w="1305" w:type="dxa"/>
                  <w:vAlign w:val="center"/>
                </w:tcPr>
                <w:p>
                  <w:pPr>
                    <w:pStyle w:val="111"/>
                    <w:rPr>
                      <w:color w:val="000000"/>
                      <w:lang w:val="en-US" w:eastAsia="zh-CN"/>
                    </w:rPr>
                  </w:pPr>
                  <w:r>
                    <w:rPr>
                      <w:rFonts w:hint="eastAsia"/>
                      <w:color w:val="000000"/>
                      <w:lang w:val="en-US" w:eastAsia="zh-CN"/>
                    </w:rPr>
                    <w:t>0</w:t>
                  </w:r>
                </w:p>
              </w:tc>
              <w:tc>
                <w:tcPr>
                  <w:tcW w:w="2366" w:type="dxa"/>
                  <w:vMerge w:val="continue"/>
                  <w:vAlign w:val="center"/>
                </w:tcPr>
                <w:p>
                  <w:pPr>
                    <w:pStyle w:val="111"/>
                    <w:rPr>
                      <w:color w:val="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80" w:type="dxa"/>
                  <w:gridSpan w:val="3"/>
                  <w:vAlign w:val="center"/>
                </w:tcPr>
                <w:p>
                  <w:pPr>
                    <w:pStyle w:val="111"/>
                    <w:rPr>
                      <w:color w:val="000000"/>
                      <w:lang w:val="en-US" w:eastAsia="zh-CN"/>
                    </w:rPr>
                  </w:pPr>
                  <w:r>
                    <w:rPr>
                      <w:rFonts w:hint="eastAsia"/>
                      <w:color w:val="000000"/>
                      <w:lang w:val="en-US" w:eastAsia="zh-CN"/>
                    </w:rPr>
                    <w:t>小计</w:t>
                  </w:r>
                </w:p>
              </w:tc>
              <w:tc>
                <w:tcPr>
                  <w:tcW w:w="1418" w:type="dxa"/>
                  <w:vAlign w:val="center"/>
                </w:tcPr>
                <w:p>
                  <w:pPr>
                    <w:pStyle w:val="111"/>
                    <w:rPr>
                      <w:color w:val="000000"/>
                      <w:lang w:val="en-US" w:eastAsia="zh-CN"/>
                    </w:rPr>
                  </w:pPr>
                  <w:r>
                    <w:rPr>
                      <w:rFonts w:hint="eastAsia"/>
                      <w:color w:val="000000"/>
                      <w:lang w:val="en-US" w:eastAsia="zh-CN"/>
                    </w:rPr>
                    <w:t>9.063</w:t>
                  </w:r>
                </w:p>
              </w:tc>
              <w:tc>
                <w:tcPr>
                  <w:tcW w:w="1305" w:type="dxa"/>
                  <w:vAlign w:val="center"/>
                </w:tcPr>
                <w:p>
                  <w:pPr>
                    <w:pStyle w:val="111"/>
                    <w:rPr>
                      <w:color w:val="000000"/>
                      <w:lang w:val="en-US" w:eastAsia="zh-CN"/>
                    </w:rPr>
                  </w:pPr>
                  <w:r>
                    <w:rPr>
                      <w:color w:val="000000"/>
                      <w:lang w:val="en-US" w:eastAsia="zh-CN"/>
                    </w:rPr>
                    <w:t>0</w:t>
                  </w:r>
                </w:p>
              </w:tc>
              <w:tc>
                <w:tcPr>
                  <w:tcW w:w="2366" w:type="dxa"/>
                  <w:vMerge w:val="continue"/>
                  <w:vAlign w:val="center"/>
                </w:tcPr>
                <w:p>
                  <w:pPr>
                    <w:pStyle w:val="111"/>
                    <w:rPr>
                      <w:color w:val="00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69" w:type="dxa"/>
                  <w:gridSpan w:val="6"/>
                  <w:vAlign w:val="center"/>
                </w:tcPr>
                <w:p>
                  <w:pPr>
                    <w:pStyle w:val="111"/>
                    <w:rPr>
                      <w:color w:val="000000"/>
                      <w:lang w:val="en-US" w:eastAsia="zh-CN"/>
                    </w:rPr>
                  </w:pPr>
                  <w:r>
                    <w:rPr>
                      <w:rFonts w:hint="eastAsia"/>
                      <w:color w:val="000000"/>
                      <w:lang w:val="en-US" w:eastAsia="zh-CN"/>
                    </w:rPr>
                    <w:t>三、危险废物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5" w:type="dxa"/>
                  <w:vAlign w:val="center"/>
                </w:tcPr>
                <w:p>
                  <w:pPr>
                    <w:pStyle w:val="111"/>
                    <w:rPr>
                      <w:color w:val="000000"/>
                      <w:lang w:val="en-US" w:eastAsia="zh-CN"/>
                    </w:rPr>
                  </w:pPr>
                  <w:r>
                    <w:rPr>
                      <w:rFonts w:hint="eastAsia"/>
                      <w:color w:val="000000"/>
                      <w:lang w:val="en-US" w:eastAsia="zh-CN"/>
                    </w:rPr>
                    <w:t>5</w:t>
                  </w:r>
                </w:p>
              </w:tc>
              <w:tc>
                <w:tcPr>
                  <w:tcW w:w="3015" w:type="dxa"/>
                  <w:gridSpan w:val="2"/>
                  <w:vAlign w:val="center"/>
                </w:tcPr>
                <w:p>
                  <w:pPr>
                    <w:pStyle w:val="111"/>
                    <w:rPr>
                      <w:color w:val="000000"/>
                      <w:lang w:val="en-US" w:eastAsia="zh-CN"/>
                    </w:rPr>
                  </w:pPr>
                  <w:r>
                    <w:rPr>
                      <w:rFonts w:hint="eastAsia"/>
                      <w:color w:val="000000"/>
                      <w:lang w:val="en-US" w:eastAsia="zh-CN"/>
                    </w:rPr>
                    <w:t>废活性炭</w:t>
                  </w:r>
                  <w:r>
                    <w:rPr>
                      <w:color w:val="000000"/>
                      <w:lang w:val="en-US" w:eastAsia="zh-CN"/>
                    </w:rPr>
                    <w:t>HW49</w:t>
                  </w:r>
                  <w:r>
                    <w:rPr>
                      <w:rFonts w:hint="eastAsia"/>
                      <w:color w:val="000000"/>
                      <w:lang w:val="en-US" w:eastAsia="zh-CN"/>
                    </w:rPr>
                    <w:t>（</w:t>
                  </w:r>
                  <w:r>
                    <w:rPr>
                      <w:color w:val="000000"/>
                      <w:lang w:val="en-US" w:eastAsia="zh-CN"/>
                    </w:rPr>
                    <w:t>900-039-49</w:t>
                  </w:r>
                  <w:r>
                    <w:rPr>
                      <w:rFonts w:hint="eastAsia"/>
                      <w:color w:val="000000"/>
                      <w:lang w:val="en-US" w:eastAsia="zh-CN"/>
                    </w:rPr>
                    <w:t>）</w:t>
                  </w:r>
                </w:p>
              </w:tc>
              <w:tc>
                <w:tcPr>
                  <w:tcW w:w="1418" w:type="dxa"/>
                  <w:vAlign w:val="center"/>
                </w:tcPr>
                <w:p>
                  <w:pPr>
                    <w:pStyle w:val="111"/>
                    <w:rPr>
                      <w:color w:val="000000"/>
                      <w:lang w:val="en-US" w:eastAsia="zh-CN"/>
                    </w:rPr>
                  </w:pPr>
                  <w:r>
                    <w:rPr>
                      <w:rFonts w:hint="eastAsia"/>
                      <w:color w:val="000000"/>
                      <w:lang w:val="en-US" w:eastAsia="zh-CN"/>
                    </w:rPr>
                    <w:t>14.7</w:t>
                  </w:r>
                </w:p>
              </w:tc>
              <w:tc>
                <w:tcPr>
                  <w:tcW w:w="1305" w:type="dxa"/>
                  <w:vAlign w:val="center"/>
                </w:tcPr>
                <w:p>
                  <w:pPr>
                    <w:pStyle w:val="111"/>
                    <w:rPr>
                      <w:color w:val="000000"/>
                      <w:lang w:val="en-US" w:eastAsia="zh-CN"/>
                    </w:rPr>
                  </w:pPr>
                  <w:r>
                    <w:rPr>
                      <w:color w:val="000000"/>
                      <w:lang w:val="en-US" w:eastAsia="zh-CN"/>
                    </w:rPr>
                    <w:t>0</w:t>
                  </w:r>
                </w:p>
              </w:tc>
              <w:tc>
                <w:tcPr>
                  <w:tcW w:w="2366" w:type="dxa"/>
                  <w:vMerge w:val="restart"/>
                  <w:vAlign w:val="center"/>
                </w:tcPr>
                <w:p>
                  <w:pPr>
                    <w:pStyle w:val="111"/>
                    <w:rPr>
                      <w:color w:val="000000"/>
                      <w:lang w:val="en-US" w:eastAsia="zh-CN"/>
                    </w:rPr>
                  </w:pPr>
                  <w:r>
                    <w:rPr>
                      <w:rFonts w:hint="eastAsia"/>
                      <w:color w:val="000000"/>
                      <w:lang w:val="en-US" w:eastAsia="zh-CN"/>
                    </w:rPr>
                    <w:t>分类暂存于危险废物贮存库，定期委托有资质单位处置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80" w:type="dxa"/>
                  <w:gridSpan w:val="3"/>
                  <w:vAlign w:val="center"/>
                </w:tcPr>
                <w:p>
                  <w:pPr>
                    <w:pStyle w:val="111"/>
                    <w:rPr>
                      <w:color w:val="000000"/>
                      <w:lang w:val="en-US" w:eastAsia="zh-CN"/>
                    </w:rPr>
                  </w:pPr>
                  <w:r>
                    <w:rPr>
                      <w:rFonts w:hint="eastAsia"/>
                      <w:color w:val="000000"/>
                      <w:lang w:val="en-US" w:eastAsia="zh-CN"/>
                    </w:rPr>
                    <w:t>小计</w:t>
                  </w:r>
                </w:p>
              </w:tc>
              <w:tc>
                <w:tcPr>
                  <w:tcW w:w="1418" w:type="dxa"/>
                  <w:vAlign w:val="center"/>
                </w:tcPr>
                <w:p>
                  <w:pPr>
                    <w:pStyle w:val="111"/>
                    <w:rPr>
                      <w:color w:val="000000"/>
                      <w:lang w:val="en-US" w:eastAsia="zh-CN"/>
                    </w:rPr>
                  </w:pPr>
                  <w:r>
                    <w:rPr>
                      <w:rFonts w:hint="eastAsia"/>
                      <w:color w:val="000000"/>
                      <w:lang w:val="en-US" w:eastAsia="zh-CN"/>
                    </w:rPr>
                    <w:t>14.7</w:t>
                  </w:r>
                </w:p>
              </w:tc>
              <w:tc>
                <w:tcPr>
                  <w:tcW w:w="1305" w:type="dxa"/>
                  <w:vAlign w:val="center"/>
                </w:tcPr>
                <w:p>
                  <w:pPr>
                    <w:pStyle w:val="111"/>
                    <w:rPr>
                      <w:color w:val="000000"/>
                      <w:lang w:val="en-US" w:eastAsia="zh-CN"/>
                    </w:rPr>
                  </w:pPr>
                  <w:r>
                    <w:rPr>
                      <w:rFonts w:hint="eastAsia"/>
                      <w:color w:val="000000"/>
                      <w:lang w:val="en-US" w:eastAsia="zh-CN"/>
                    </w:rPr>
                    <w:t>0</w:t>
                  </w:r>
                </w:p>
              </w:tc>
              <w:tc>
                <w:tcPr>
                  <w:tcW w:w="2366" w:type="dxa"/>
                  <w:vMerge w:val="continue"/>
                  <w:vAlign w:val="center"/>
                </w:tcPr>
                <w:p>
                  <w:pPr>
                    <w:pStyle w:val="111"/>
                    <w:rPr>
                      <w:color w:val="000000"/>
                      <w:lang w:val="en-US" w:eastAsia="zh-CN"/>
                    </w:rPr>
                  </w:pPr>
                </w:p>
              </w:tc>
            </w:tr>
          </w:tbl>
          <w:p>
            <w:pPr>
              <w:spacing w:before="120" w:beforeLines="50"/>
              <w:jc w:val="center"/>
              <w:rPr>
                <w:b/>
                <w:bCs/>
                <w:color w:val="000000"/>
                <w:szCs w:val="21"/>
              </w:rPr>
            </w:pPr>
            <w:r>
              <w:rPr>
                <w:b/>
                <w:bCs/>
                <w:color w:val="000000"/>
                <w:szCs w:val="21"/>
              </w:rPr>
              <w:t>表</w:t>
            </w:r>
            <w:r>
              <w:rPr>
                <w:rFonts w:hint="eastAsia"/>
                <w:b/>
                <w:bCs/>
                <w:color w:val="000000"/>
                <w:szCs w:val="21"/>
              </w:rPr>
              <w:t>4.</w:t>
            </w:r>
            <w:r>
              <w:rPr>
                <w:b/>
                <w:bCs/>
                <w:color w:val="000000"/>
                <w:szCs w:val="21"/>
              </w:rPr>
              <w:t>2</w:t>
            </w:r>
            <w:r>
              <w:rPr>
                <w:rFonts w:hint="eastAsia"/>
                <w:b/>
                <w:bCs/>
                <w:color w:val="000000"/>
                <w:szCs w:val="21"/>
              </w:rPr>
              <w:t>-14</w:t>
            </w:r>
            <w:r>
              <w:rPr>
                <w:b/>
                <w:bCs/>
                <w:color w:val="000000"/>
                <w:szCs w:val="21"/>
              </w:rPr>
              <w:t>项目危险废物识别</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636"/>
              <w:gridCol w:w="1084"/>
              <w:gridCol w:w="1356"/>
              <w:gridCol w:w="953"/>
              <w:gridCol w:w="680"/>
              <w:gridCol w:w="582"/>
              <w:gridCol w:w="798"/>
              <w:gridCol w:w="1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pPr>
                    <w:jc w:val="center"/>
                    <w:rPr>
                      <w:color w:val="000000"/>
                      <w:szCs w:val="21"/>
                    </w:rPr>
                  </w:pPr>
                  <w:r>
                    <w:rPr>
                      <w:color w:val="000000"/>
                      <w:szCs w:val="21"/>
                    </w:rPr>
                    <w:t>序号</w:t>
                  </w:r>
                </w:p>
              </w:tc>
              <w:tc>
                <w:tcPr>
                  <w:tcW w:w="374" w:type="pct"/>
                  <w:vAlign w:val="center"/>
                </w:tcPr>
                <w:p>
                  <w:pPr>
                    <w:jc w:val="center"/>
                    <w:rPr>
                      <w:color w:val="000000"/>
                      <w:szCs w:val="21"/>
                    </w:rPr>
                  </w:pPr>
                  <w:r>
                    <w:rPr>
                      <w:color w:val="000000"/>
                      <w:szCs w:val="21"/>
                    </w:rPr>
                    <w:t>危险废物名称</w:t>
                  </w:r>
                </w:p>
              </w:tc>
              <w:tc>
                <w:tcPr>
                  <w:tcW w:w="637" w:type="pct"/>
                  <w:vAlign w:val="center"/>
                </w:tcPr>
                <w:p>
                  <w:pPr>
                    <w:jc w:val="center"/>
                    <w:rPr>
                      <w:color w:val="000000"/>
                      <w:szCs w:val="21"/>
                    </w:rPr>
                  </w:pPr>
                  <w:r>
                    <w:rPr>
                      <w:color w:val="000000"/>
                      <w:szCs w:val="21"/>
                    </w:rPr>
                    <w:t>废物类别</w:t>
                  </w:r>
                </w:p>
              </w:tc>
              <w:tc>
                <w:tcPr>
                  <w:tcW w:w="797" w:type="pct"/>
                  <w:vAlign w:val="center"/>
                </w:tcPr>
                <w:p>
                  <w:pPr>
                    <w:jc w:val="center"/>
                    <w:rPr>
                      <w:color w:val="000000"/>
                      <w:szCs w:val="21"/>
                    </w:rPr>
                  </w:pPr>
                  <w:r>
                    <w:rPr>
                      <w:color w:val="000000"/>
                      <w:szCs w:val="21"/>
                    </w:rPr>
                    <w:t>废物代码</w:t>
                  </w:r>
                </w:p>
              </w:tc>
              <w:tc>
                <w:tcPr>
                  <w:tcW w:w="560" w:type="pct"/>
                  <w:vAlign w:val="center"/>
                </w:tcPr>
                <w:p>
                  <w:pPr>
                    <w:jc w:val="center"/>
                    <w:rPr>
                      <w:color w:val="000000"/>
                      <w:szCs w:val="21"/>
                    </w:rPr>
                  </w:pPr>
                  <w:r>
                    <w:rPr>
                      <w:color w:val="000000"/>
                      <w:szCs w:val="21"/>
                    </w:rPr>
                    <w:t>产生量（t/a）</w:t>
                  </w:r>
                </w:p>
              </w:tc>
              <w:tc>
                <w:tcPr>
                  <w:tcW w:w="400" w:type="pct"/>
                  <w:vAlign w:val="center"/>
                </w:tcPr>
                <w:p>
                  <w:pPr>
                    <w:jc w:val="center"/>
                    <w:rPr>
                      <w:color w:val="000000"/>
                      <w:szCs w:val="21"/>
                    </w:rPr>
                  </w:pPr>
                  <w:r>
                    <w:rPr>
                      <w:color w:val="000000"/>
                      <w:szCs w:val="21"/>
                    </w:rPr>
                    <w:t>产生工序及装置</w:t>
                  </w:r>
                </w:p>
              </w:tc>
              <w:tc>
                <w:tcPr>
                  <w:tcW w:w="342" w:type="pct"/>
                  <w:vAlign w:val="center"/>
                </w:tcPr>
                <w:p>
                  <w:pPr>
                    <w:jc w:val="center"/>
                    <w:rPr>
                      <w:color w:val="000000"/>
                      <w:szCs w:val="21"/>
                    </w:rPr>
                  </w:pPr>
                  <w:r>
                    <w:rPr>
                      <w:color w:val="000000"/>
                      <w:szCs w:val="21"/>
                    </w:rPr>
                    <w:t>形态</w:t>
                  </w:r>
                </w:p>
              </w:tc>
              <w:tc>
                <w:tcPr>
                  <w:tcW w:w="469" w:type="pct"/>
                  <w:tcBorders>
                    <w:bottom w:val="single" w:color="auto" w:sz="4" w:space="0"/>
                  </w:tcBorders>
                  <w:vAlign w:val="center"/>
                </w:tcPr>
                <w:p>
                  <w:pPr>
                    <w:jc w:val="center"/>
                    <w:rPr>
                      <w:color w:val="000000"/>
                      <w:szCs w:val="21"/>
                    </w:rPr>
                  </w:pPr>
                  <w:r>
                    <w:rPr>
                      <w:color w:val="000000"/>
                      <w:szCs w:val="21"/>
                    </w:rPr>
                    <w:t>危险特性</w:t>
                  </w:r>
                </w:p>
              </w:tc>
              <w:tc>
                <w:tcPr>
                  <w:tcW w:w="1143" w:type="pct"/>
                  <w:tcBorders>
                    <w:bottom w:val="single" w:color="auto" w:sz="4" w:space="0"/>
                  </w:tcBorders>
                  <w:vAlign w:val="center"/>
                </w:tcPr>
                <w:p>
                  <w:pPr>
                    <w:jc w:val="center"/>
                    <w:rPr>
                      <w:color w:val="000000"/>
                      <w:szCs w:val="21"/>
                    </w:rPr>
                  </w:pPr>
                  <w:r>
                    <w:rPr>
                      <w:color w:val="000000"/>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vAlign w:val="center"/>
                </w:tcPr>
                <w:p>
                  <w:pPr>
                    <w:jc w:val="center"/>
                    <w:rPr>
                      <w:color w:val="000000"/>
                      <w:szCs w:val="21"/>
                      <w:lang w:bidi="ar"/>
                    </w:rPr>
                  </w:pPr>
                  <w:r>
                    <w:rPr>
                      <w:rFonts w:hint="eastAsia"/>
                      <w:color w:val="000000"/>
                      <w:szCs w:val="21"/>
                      <w:lang w:bidi="ar"/>
                    </w:rPr>
                    <w:t>1</w:t>
                  </w:r>
                </w:p>
              </w:tc>
              <w:tc>
                <w:tcPr>
                  <w:tcW w:w="374" w:type="pct"/>
                  <w:vAlign w:val="center"/>
                </w:tcPr>
                <w:p>
                  <w:pPr>
                    <w:jc w:val="center"/>
                    <w:rPr>
                      <w:color w:val="000000"/>
                      <w:szCs w:val="21"/>
                    </w:rPr>
                  </w:pPr>
                  <w:r>
                    <w:rPr>
                      <w:rFonts w:hint="eastAsia"/>
                      <w:color w:val="000000"/>
                    </w:rPr>
                    <w:t>废活性炭</w:t>
                  </w:r>
                </w:p>
              </w:tc>
              <w:tc>
                <w:tcPr>
                  <w:tcW w:w="637" w:type="pct"/>
                  <w:vAlign w:val="center"/>
                </w:tcPr>
                <w:p>
                  <w:pPr>
                    <w:jc w:val="center"/>
                    <w:rPr>
                      <w:color w:val="000000"/>
                      <w:szCs w:val="21"/>
                    </w:rPr>
                  </w:pPr>
                  <w:r>
                    <w:rPr>
                      <w:color w:val="000000"/>
                    </w:rPr>
                    <w:t>HW49</w:t>
                  </w:r>
                  <w:r>
                    <w:rPr>
                      <w:rFonts w:hint="eastAsia"/>
                      <w:color w:val="000000"/>
                    </w:rPr>
                    <w:t>其他废物</w:t>
                  </w:r>
                </w:p>
              </w:tc>
              <w:tc>
                <w:tcPr>
                  <w:tcW w:w="797" w:type="pct"/>
                  <w:vAlign w:val="center"/>
                </w:tcPr>
                <w:p>
                  <w:pPr>
                    <w:jc w:val="center"/>
                    <w:rPr>
                      <w:color w:val="000000"/>
                      <w:szCs w:val="21"/>
                    </w:rPr>
                  </w:pPr>
                  <w:r>
                    <w:rPr>
                      <w:color w:val="000000"/>
                    </w:rPr>
                    <w:t>900-039-49</w:t>
                  </w:r>
                </w:p>
              </w:tc>
              <w:tc>
                <w:tcPr>
                  <w:tcW w:w="560" w:type="pct"/>
                  <w:vAlign w:val="center"/>
                </w:tcPr>
                <w:p>
                  <w:pPr>
                    <w:jc w:val="center"/>
                    <w:rPr>
                      <w:color w:val="000000"/>
                      <w:szCs w:val="21"/>
                    </w:rPr>
                  </w:pPr>
                  <w:r>
                    <w:rPr>
                      <w:rFonts w:hint="eastAsia"/>
                      <w:color w:val="000000"/>
                    </w:rPr>
                    <w:t>14.7</w:t>
                  </w:r>
                </w:p>
              </w:tc>
              <w:tc>
                <w:tcPr>
                  <w:tcW w:w="400" w:type="pct"/>
                  <w:vAlign w:val="center"/>
                </w:tcPr>
                <w:p>
                  <w:pPr>
                    <w:jc w:val="center"/>
                    <w:rPr>
                      <w:color w:val="000000"/>
                      <w:szCs w:val="21"/>
                    </w:rPr>
                  </w:pPr>
                  <w:r>
                    <w:rPr>
                      <w:rFonts w:hint="eastAsia"/>
                      <w:color w:val="000000"/>
                      <w:szCs w:val="21"/>
                    </w:rPr>
                    <w:t>废气处理设施</w:t>
                  </w:r>
                </w:p>
              </w:tc>
              <w:tc>
                <w:tcPr>
                  <w:tcW w:w="342" w:type="pct"/>
                  <w:vAlign w:val="center"/>
                </w:tcPr>
                <w:p>
                  <w:pPr>
                    <w:jc w:val="center"/>
                    <w:rPr>
                      <w:color w:val="000000"/>
                      <w:szCs w:val="21"/>
                    </w:rPr>
                  </w:pPr>
                  <w:r>
                    <w:rPr>
                      <w:rFonts w:hint="eastAsia"/>
                      <w:color w:val="000000"/>
                      <w:szCs w:val="21"/>
                    </w:rPr>
                    <w:t>固体</w:t>
                  </w:r>
                </w:p>
              </w:tc>
              <w:tc>
                <w:tcPr>
                  <w:tcW w:w="469" w:type="pct"/>
                  <w:vAlign w:val="center"/>
                </w:tcPr>
                <w:p>
                  <w:pPr>
                    <w:jc w:val="center"/>
                    <w:rPr>
                      <w:color w:val="000000"/>
                      <w:szCs w:val="21"/>
                    </w:rPr>
                  </w:pPr>
                  <w:r>
                    <w:rPr>
                      <w:color w:val="000000"/>
                      <w:szCs w:val="21"/>
                    </w:rPr>
                    <w:t>T毒性</w:t>
                  </w:r>
                </w:p>
              </w:tc>
              <w:tc>
                <w:tcPr>
                  <w:tcW w:w="1143" w:type="pct"/>
                  <w:vAlign w:val="center"/>
                </w:tcPr>
                <w:p>
                  <w:pPr>
                    <w:jc w:val="center"/>
                    <w:rPr>
                      <w:color w:val="000000"/>
                      <w:szCs w:val="21"/>
                    </w:rPr>
                  </w:pPr>
                  <w:r>
                    <w:rPr>
                      <w:color w:val="000000"/>
                      <w:szCs w:val="21"/>
                    </w:rPr>
                    <w:t>暂存在厂区危险废物暂存处，定期交由具有相应处理资质的单位清运处理，各类危险废物分类暂存。</w:t>
                  </w:r>
                </w:p>
              </w:tc>
            </w:tr>
          </w:tbl>
          <w:p>
            <w:pPr>
              <w:adjustRightInd w:val="0"/>
              <w:spacing w:line="360" w:lineRule="auto"/>
              <w:ind w:firstLine="480" w:firstLineChars="200"/>
              <w:contextualSpacing/>
              <w:rPr>
                <w:color w:val="000000"/>
                <w:sz w:val="24"/>
              </w:rPr>
            </w:pPr>
            <w:r>
              <w:rPr>
                <w:color w:val="000000"/>
                <w:sz w:val="24"/>
              </w:rPr>
              <w:t>（2）保护措施</w:t>
            </w:r>
          </w:p>
          <w:p>
            <w:pPr>
              <w:adjustRightInd w:val="0"/>
              <w:spacing w:line="360" w:lineRule="auto"/>
              <w:ind w:firstLine="480" w:firstLineChars="200"/>
              <w:contextualSpacing/>
              <w:rPr>
                <w:color w:val="000000"/>
                <w:sz w:val="24"/>
              </w:rPr>
            </w:pPr>
            <w:r>
              <w:rPr>
                <w:rFonts w:hint="eastAsia" w:ascii="宋体" w:hAnsi="宋体" w:cs="宋体"/>
                <w:color w:val="000000"/>
                <w:sz w:val="24"/>
              </w:rPr>
              <w:t>①</w:t>
            </w:r>
            <w:r>
              <w:rPr>
                <w:color w:val="000000"/>
                <w:sz w:val="24"/>
              </w:rPr>
              <w:t>一般固废</w:t>
            </w:r>
          </w:p>
          <w:p>
            <w:pPr>
              <w:adjustRightInd w:val="0"/>
              <w:spacing w:line="360" w:lineRule="auto"/>
              <w:ind w:firstLine="480" w:firstLineChars="200"/>
              <w:contextualSpacing/>
              <w:rPr>
                <w:color w:val="000000"/>
                <w:sz w:val="24"/>
              </w:rPr>
            </w:pPr>
            <w:r>
              <w:rPr>
                <w:color w:val="000000"/>
                <w:sz w:val="24"/>
              </w:rPr>
              <w:t>本项目在生产过程中会产生边角料、废包装材料等一般工业固废，其他一般工业固废等经收集后出售给回收企业回收利用，本评价要求项目产生的一般工业固废应按《一般工业固体废物贮存、处置场污染控制标准》（GB 18599-2020）中要求进行规范化的处理处置，并做好防风、防雨、防晒、防渗漏等措施。</w:t>
            </w:r>
          </w:p>
          <w:p>
            <w:pPr>
              <w:adjustRightInd w:val="0"/>
              <w:spacing w:line="360" w:lineRule="auto"/>
              <w:ind w:firstLine="480" w:firstLineChars="200"/>
              <w:contextualSpacing/>
              <w:rPr>
                <w:color w:val="000000"/>
                <w:sz w:val="24"/>
              </w:rPr>
            </w:pPr>
            <w:r>
              <w:rPr>
                <w:rFonts w:hint="eastAsia" w:ascii="宋体" w:hAnsi="宋体" w:cs="宋体"/>
                <w:color w:val="000000"/>
                <w:sz w:val="24"/>
              </w:rPr>
              <w:t>②</w:t>
            </w:r>
            <w:r>
              <w:rPr>
                <w:color w:val="000000"/>
                <w:sz w:val="24"/>
              </w:rPr>
              <w:t>危险废物</w:t>
            </w:r>
          </w:p>
          <w:p>
            <w:pPr>
              <w:adjustRightInd w:val="0"/>
              <w:spacing w:line="360" w:lineRule="auto"/>
              <w:ind w:firstLine="480" w:firstLineChars="200"/>
              <w:contextualSpacing/>
              <w:rPr>
                <w:color w:val="000000"/>
                <w:sz w:val="24"/>
              </w:rPr>
            </w:pPr>
            <w:r>
              <w:rPr>
                <w:color w:val="000000"/>
                <w:sz w:val="24"/>
              </w:rPr>
              <w:t>危险废物临时暂存于</w:t>
            </w:r>
            <w:r>
              <w:rPr>
                <w:rFonts w:hint="eastAsia"/>
                <w:color w:val="000000"/>
                <w:sz w:val="24"/>
              </w:rPr>
              <w:t>危险废物贮存库，危险废物贮存库位于项目生产车间，成品仓库区面积约</w:t>
            </w:r>
            <w:r>
              <w:rPr>
                <w:color w:val="000000"/>
                <w:sz w:val="24"/>
              </w:rPr>
              <w:t>20</w:t>
            </w:r>
            <w:r>
              <w:rPr>
                <w:rFonts w:hint="eastAsia"/>
                <w:color w:val="000000"/>
                <w:sz w:val="24"/>
              </w:rPr>
              <w:t>m</w:t>
            </w:r>
            <w:r>
              <w:rPr>
                <w:color w:val="000000"/>
                <w:sz w:val="24"/>
                <w:vertAlign w:val="superscript"/>
              </w:rPr>
              <w:t>2</w:t>
            </w:r>
            <w:r>
              <w:rPr>
                <w:rFonts w:hint="eastAsia"/>
                <w:color w:val="000000"/>
                <w:sz w:val="24"/>
              </w:rPr>
              <w:t>，能够达到储存要求</w:t>
            </w:r>
            <w:r>
              <w:rPr>
                <w:color w:val="000000"/>
                <w:sz w:val="24"/>
              </w:rPr>
              <w:t>，定期委托</w:t>
            </w:r>
            <w:r>
              <w:rPr>
                <w:rFonts w:hint="eastAsia"/>
                <w:color w:val="000000"/>
                <w:sz w:val="24"/>
              </w:rPr>
              <w:t>有资质单位</w:t>
            </w:r>
            <w:r>
              <w:rPr>
                <w:color w:val="000000"/>
                <w:sz w:val="24"/>
              </w:rPr>
              <w:t>进行处理。</w:t>
            </w:r>
          </w:p>
          <w:p>
            <w:pPr>
              <w:adjustRightInd w:val="0"/>
              <w:spacing w:line="360" w:lineRule="auto"/>
              <w:ind w:firstLine="480" w:firstLineChars="200"/>
              <w:contextualSpacing/>
              <w:rPr>
                <w:color w:val="000000"/>
                <w:sz w:val="24"/>
              </w:rPr>
            </w:pPr>
            <w:r>
              <w:rPr>
                <w:color w:val="000000"/>
                <w:sz w:val="24"/>
              </w:rPr>
              <w:t>本项目所产生的危险废物产生后放至</w:t>
            </w:r>
            <w:r>
              <w:rPr>
                <w:rFonts w:hint="eastAsia"/>
                <w:color w:val="000000"/>
                <w:sz w:val="24"/>
              </w:rPr>
              <w:t>危险废物贮存库</w:t>
            </w:r>
            <w:r>
              <w:rPr>
                <w:color w:val="000000"/>
                <w:sz w:val="24"/>
              </w:rPr>
              <w:t>贮存。</w:t>
            </w:r>
          </w:p>
          <w:p>
            <w:pPr>
              <w:adjustRightInd w:val="0"/>
              <w:spacing w:line="360" w:lineRule="auto"/>
              <w:ind w:firstLine="480" w:firstLineChars="200"/>
              <w:contextualSpacing/>
              <w:rPr>
                <w:color w:val="000000"/>
                <w:sz w:val="24"/>
              </w:rPr>
            </w:pPr>
            <w:r>
              <w:rPr>
                <w:rFonts w:hint="eastAsia" w:ascii="宋体" w:hAnsi="宋体" w:cs="宋体"/>
                <w:color w:val="000000"/>
                <w:sz w:val="24"/>
              </w:rPr>
              <w:t>Ⅰ</w:t>
            </w:r>
            <w:r>
              <w:rPr>
                <w:color w:val="000000"/>
                <w:sz w:val="24"/>
              </w:rPr>
              <w:t>.危废暂存管理需按以下要求进行：</w:t>
            </w:r>
          </w:p>
          <w:p>
            <w:pPr>
              <w:adjustRightInd w:val="0"/>
              <w:spacing w:line="360" w:lineRule="auto"/>
              <w:ind w:firstLine="480" w:firstLineChars="200"/>
              <w:contextualSpacing/>
              <w:rPr>
                <w:color w:val="000000"/>
                <w:sz w:val="24"/>
              </w:rPr>
            </w:pPr>
            <w:r>
              <w:rPr>
                <w:rFonts w:hint="eastAsia"/>
                <w:color w:val="000000"/>
                <w:sz w:val="24"/>
              </w:rPr>
              <w:t>危险废物贮存库</w:t>
            </w:r>
            <w:r>
              <w:rPr>
                <w:color w:val="000000"/>
                <w:sz w:val="24"/>
              </w:rPr>
              <w:t>应做好防渗要求，</w:t>
            </w:r>
            <w:r>
              <w:rPr>
                <w:rFonts w:hint="eastAsia"/>
                <w:color w:val="000000"/>
                <w:sz w:val="24"/>
              </w:rPr>
              <w:t>危险废物贮存库</w:t>
            </w:r>
            <w:r>
              <w:rPr>
                <w:color w:val="000000"/>
                <w:sz w:val="24"/>
              </w:rPr>
              <w:t>内的各类危险废物应分类存放，建设单位应加强危险废物的管理，注意台账的完善，定期对</w:t>
            </w:r>
            <w:r>
              <w:rPr>
                <w:rFonts w:hint="eastAsia"/>
                <w:color w:val="000000"/>
                <w:sz w:val="24"/>
              </w:rPr>
              <w:t>危险废物贮存库</w:t>
            </w:r>
            <w:r>
              <w:rPr>
                <w:color w:val="000000"/>
                <w:sz w:val="24"/>
              </w:rPr>
              <w:t xml:space="preserve">进行检查维修。还应按照GB18597-2023《危险废物贮存污染控制标准》要求进行贮存，贮存应符合下列要求： </w:t>
            </w:r>
          </w:p>
          <w:p>
            <w:pPr>
              <w:adjustRightInd w:val="0"/>
              <w:spacing w:line="360" w:lineRule="auto"/>
              <w:ind w:firstLine="480" w:firstLineChars="200"/>
              <w:contextualSpacing/>
              <w:rPr>
                <w:color w:val="000000"/>
                <w:sz w:val="24"/>
              </w:rPr>
            </w:pPr>
            <w:r>
              <w:rPr>
                <w:rFonts w:hint="eastAsia" w:ascii="宋体" w:hAnsi="宋体" w:cs="宋体"/>
                <w:color w:val="000000"/>
                <w:sz w:val="24"/>
              </w:rPr>
              <w:t>①</w:t>
            </w:r>
            <w:r>
              <w:rPr>
                <w:color w:val="000000"/>
                <w:sz w:val="24"/>
              </w:rPr>
              <w:t xml:space="preserve">必须将危险废物装入密闭容器内，并确保完好无损； </w:t>
            </w:r>
          </w:p>
          <w:p>
            <w:pPr>
              <w:adjustRightInd w:val="0"/>
              <w:spacing w:line="360" w:lineRule="auto"/>
              <w:ind w:firstLine="480" w:firstLineChars="200"/>
              <w:contextualSpacing/>
              <w:rPr>
                <w:color w:val="000000"/>
                <w:sz w:val="24"/>
              </w:rPr>
            </w:pPr>
            <w:r>
              <w:rPr>
                <w:rFonts w:hint="eastAsia" w:ascii="宋体" w:hAnsi="宋体" w:cs="宋体"/>
                <w:color w:val="000000"/>
                <w:sz w:val="24"/>
              </w:rPr>
              <w:t>②</w:t>
            </w:r>
            <w:r>
              <w:rPr>
                <w:color w:val="000000"/>
                <w:sz w:val="24"/>
              </w:rPr>
              <w:t>装载危险废物的容器及材质要满足相应的强度要求；</w:t>
            </w:r>
          </w:p>
          <w:p>
            <w:pPr>
              <w:adjustRightInd w:val="0"/>
              <w:spacing w:line="360" w:lineRule="auto"/>
              <w:ind w:firstLine="480" w:firstLineChars="200"/>
              <w:contextualSpacing/>
              <w:rPr>
                <w:color w:val="000000"/>
                <w:sz w:val="24"/>
              </w:rPr>
            </w:pPr>
            <w:r>
              <w:rPr>
                <w:rFonts w:hint="eastAsia" w:ascii="宋体" w:hAnsi="宋体" w:cs="宋体"/>
                <w:color w:val="000000"/>
                <w:sz w:val="24"/>
              </w:rPr>
              <w:t>③</w:t>
            </w:r>
            <w:r>
              <w:rPr>
                <w:color w:val="000000"/>
                <w:sz w:val="24"/>
              </w:rPr>
              <w:t>应当使用符合标准的容器盛装危险废物；</w:t>
            </w:r>
          </w:p>
          <w:p>
            <w:pPr>
              <w:adjustRightInd w:val="0"/>
              <w:spacing w:line="360" w:lineRule="auto"/>
              <w:ind w:firstLine="480" w:firstLineChars="200"/>
              <w:contextualSpacing/>
              <w:rPr>
                <w:color w:val="000000"/>
                <w:sz w:val="24"/>
              </w:rPr>
            </w:pPr>
            <w:r>
              <w:rPr>
                <w:rFonts w:hint="eastAsia" w:ascii="宋体" w:hAnsi="宋体" w:cs="宋体"/>
                <w:color w:val="000000"/>
                <w:sz w:val="24"/>
              </w:rPr>
              <w:t>④</w:t>
            </w:r>
            <w:r>
              <w:rPr>
                <w:color w:val="000000"/>
                <w:sz w:val="24"/>
              </w:rPr>
              <w:t>盛装危险废物的容器材质要与危险废物相容(不相互反应)；</w:t>
            </w:r>
          </w:p>
          <w:p>
            <w:pPr>
              <w:adjustRightInd w:val="0"/>
              <w:spacing w:line="360" w:lineRule="auto"/>
              <w:ind w:firstLine="480" w:firstLineChars="200"/>
              <w:contextualSpacing/>
              <w:rPr>
                <w:color w:val="000000"/>
                <w:sz w:val="24"/>
              </w:rPr>
            </w:pPr>
            <w:r>
              <w:rPr>
                <w:rFonts w:hint="eastAsia" w:ascii="宋体" w:hAnsi="宋体" w:cs="宋体"/>
                <w:color w:val="000000"/>
                <w:sz w:val="24"/>
              </w:rPr>
              <w:t>⑤</w:t>
            </w:r>
            <w:r>
              <w:rPr>
                <w:color w:val="000000"/>
                <w:sz w:val="24"/>
              </w:rPr>
              <w:t>盛装危险废物的容器上必须粘贴符合标准的标签。</w:t>
            </w:r>
          </w:p>
          <w:p>
            <w:pPr>
              <w:adjustRightInd w:val="0"/>
              <w:spacing w:line="360" w:lineRule="auto"/>
              <w:ind w:firstLine="480" w:firstLineChars="200"/>
              <w:contextualSpacing/>
              <w:rPr>
                <w:color w:val="000000"/>
                <w:sz w:val="24"/>
              </w:rPr>
            </w:pPr>
            <w:r>
              <w:rPr>
                <w:color w:val="000000"/>
                <w:sz w:val="24"/>
              </w:rPr>
              <w:t>流转管理要求：企业必须对危险固废进行申报登记，制定定期外运制度，并对危险废物的流向和最终处置进行跟踪，确保固废得到有效处置，禁止在转移过程中将危险废物排放至环境中。</w:t>
            </w:r>
          </w:p>
          <w:p>
            <w:pPr>
              <w:adjustRightInd w:val="0"/>
              <w:spacing w:line="360" w:lineRule="auto"/>
              <w:ind w:firstLine="480" w:firstLineChars="200"/>
              <w:contextualSpacing/>
              <w:rPr>
                <w:color w:val="000000"/>
                <w:sz w:val="24"/>
              </w:rPr>
            </w:pPr>
            <w:r>
              <w:rPr>
                <w:rFonts w:hint="eastAsia" w:ascii="宋体" w:hAnsi="宋体" w:cs="宋体"/>
                <w:color w:val="000000"/>
                <w:sz w:val="24"/>
              </w:rPr>
              <w:t>Ⅱ</w:t>
            </w:r>
            <w:r>
              <w:rPr>
                <w:color w:val="000000"/>
                <w:sz w:val="24"/>
              </w:rPr>
              <w:t>.本项目危险废物转移全过程环境管理如下：</w:t>
            </w:r>
          </w:p>
          <w:p>
            <w:pPr>
              <w:adjustRightInd w:val="0"/>
              <w:spacing w:line="360" w:lineRule="auto"/>
              <w:ind w:firstLine="480" w:firstLineChars="200"/>
              <w:contextualSpacing/>
              <w:rPr>
                <w:color w:val="000000"/>
                <w:sz w:val="24"/>
              </w:rPr>
            </w:pPr>
            <w:r>
              <w:rPr>
                <w:color w:val="000000"/>
                <w:sz w:val="24"/>
              </w:rPr>
              <w:t>目前，福建省已建立福建省固体废物环境监管平台，危险废物已实行网上电子联单管理，企业运营过程产生的危险废物应按管理平台流程填报，主要流程包括：</w:t>
            </w:r>
          </w:p>
          <w:p>
            <w:pPr>
              <w:adjustRightInd w:val="0"/>
              <w:spacing w:line="360" w:lineRule="auto"/>
              <w:ind w:firstLine="480" w:firstLineChars="200"/>
              <w:contextualSpacing/>
              <w:rPr>
                <w:color w:val="000000"/>
                <w:sz w:val="24"/>
              </w:rPr>
            </w:pPr>
            <w:r>
              <w:rPr>
                <w:rFonts w:hint="eastAsia" w:ascii="宋体" w:hAnsi="宋体" w:cs="宋体"/>
                <w:color w:val="000000"/>
                <w:sz w:val="24"/>
              </w:rPr>
              <w:t>①</w:t>
            </w:r>
            <w:r>
              <w:rPr>
                <w:color w:val="000000"/>
                <w:sz w:val="24"/>
              </w:rPr>
              <w:t>产生单位填写电子联单。转移当天，产生单位</w:t>
            </w:r>
            <w:r>
              <w:rPr>
                <w:rFonts w:hint="eastAsia"/>
                <w:color w:val="000000"/>
                <w:sz w:val="24"/>
                <w:lang w:eastAsia="zh-CN"/>
              </w:rPr>
              <w:t>登录</w:t>
            </w:r>
            <w:r>
              <w:rPr>
                <w:color w:val="000000"/>
                <w:sz w:val="24"/>
              </w:rPr>
              <w:t>省固废平台填报转移信息，即电子联单第一部分内容，确定无误后保存提交，并打印加盖公章，交付危险废物运输单位核实验收并随车携带。</w:t>
            </w:r>
          </w:p>
          <w:p>
            <w:pPr>
              <w:adjustRightInd w:val="0"/>
              <w:spacing w:line="360" w:lineRule="auto"/>
              <w:ind w:firstLine="480" w:firstLineChars="200"/>
              <w:contextualSpacing/>
              <w:rPr>
                <w:color w:val="000000"/>
                <w:sz w:val="24"/>
              </w:rPr>
            </w:pPr>
            <w:r>
              <w:rPr>
                <w:rFonts w:hint="eastAsia" w:ascii="宋体" w:hAnsi="宋体" w:cs="宋体"/>
                <w:color w:val="000000"/>
                <w:sz w:val="24"/>
              </w:rPr>
              <w:t>②</w:t>
            </w:r>
            <w:r>
              <w:rPr>
                <w:color w:val="000000"/>
                <w:sz w:val="24"/>
              </w:rPr>
              <w:t>接收单位填写电子联单并完成审核。危险废物运至接收单位后，运输单位将随车携带的纸质联单交接收单位，接收单位对危险废物核实验收，确认转移信息无误后，当天登录省固废平台填写电子联单第二部分和第三部分内容并确认提交。发现联单第一部分转移信息有误的，退回产生单位修改重新提交确认。</w:t>
            </w:r>
          </w:p>
          <w:p>
            <w:pPr>
              <w:adjustRightInd w:val="0"/>
              <w:spacing w:line="360" w:lineRule="auto"/>
              <w:ind w:firstLine="480" w:firstLineChars="200"/>
              <w:contextualSpacing/>
              <w:rPr>
                <w:color w:val="000000"/>
                <w:sz w:val="24"/>
              </w:rPr>
            </w:pPr>
            <w:r>
              <w:rPr>
                <w:rFonts w:hint="eastAsia" w:ascii="宋体" w:hAnsi="宋体" w:cs="宋体"/>
                <w:color w:val="000000"/>
                <w:sz w:val="24"/>
              </w:rPr>
              <w:t>③</w:t>
            </w:r>
            <w:r>
              <w:rPr>
                <w:color w:val="000000"/>
                <w:sz w:val="24"/>
              </w:rPr>
              <w:t>打印电子联单并盖章存档备查。电子联单确认完毕后，产生单位打印一式5份纸质联单，产生单位和接收单位分别盖章，产生单位、接收单位、运输单位、产生地环保分局和接受地生态环境局各存一份备查。发生转移12天内由产生单位将联单报送所在地环保分局，并附上对应过磅单。</w:t>
            </w:r>
          </w:p>
          <w:p>
            <w:pPr>
              <w:adjustRightInd w:val="0"/>
              <w:spacing w:line="360" w:lineRule="auto"/>
              <w:ind w:firstLine="480" w:firstLineChars="200"/>
              <w:contextualSpacing/>
              <w:rPr>
                <w:color w:val="000000"/>
                <w:sz w:val="24"/>
              </w:rPr>
            </w:pPr>
            <w:r>
              <w:rPr>
                <w:rFonts w:hint="eastAsia" w:ascii="宋体" w:hAnsi="宋体" w:cs="宋体"/>
                <w:color w:val="000000"/>
                <w:sz w:val="24"/>
              </w:rPr>
              <w:t>④</w:t>
            </w:r>
            <w:r>
              <w:rPr>
                <w:color w:val="000000"/>
                <w:sz w:val="24"/>
              </w:rPr>
              <w:t>各</w:t>
            </w:r>
            <w:r>
              <w:rPr>
                <w:rFonts w:hint="eastAsia"/>
                <w:color w:val="000000"/>
                <w:sz w:val="24"/>
              </w:rPr>
              <w:t>生态环境局</w:t>
            </w:r>
            <w:r>
              <w:rPr>
                <w:color w:val="000000"/>
                <w:sz w:val="24"/>
              </w:rPr>
              <w:t>对省固废平台电子联单、企业报送的纸质联单和过磅单进行核对，确认无误后于每月15日前汇总上月的危废转移情况报送市生态环境局（危险废物管理—危险废物转移管理—转移联单管理—联单查询—导出）。</w:t>
            </w:r>
          </w:p>
          <w:p>
            <w:pPr>
              <w:adjustRightInd w:val="0"/>
              <w:spacing w:line="360" w:lineRule="auto"/>
              <w:ind w:firstLine="480" w:firstLineChars="200"/>
              <w:contextualSpacing/>
              <w:rPr>
                <w:color w:val="000000"/>
                <w:sz w:val="24"/>
              </w:rPr>
            </w:pPr>
            <w:r>
              <w:rPr>
                <w:color w:val="000000"/>
                <w:sz w:val="24"/>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pPr>
              <w:adjustRightInd w:val="0"/>
              <w:spacing w:line="360" w:lineRule="auto"/>
              <w:ind w:firstLine="480" w:firstLineChars="200"/>
              <w:contextualSpacing/>
              <w:rPr>
                <w:color w:val="000000"/>
                <w:sz w:val="24"/>
              </w:rPr>
            </w:pPr>
            <w:r>
              <w:rPr>
                <w:color w:val="000000"/>
                <w:sz w:val="24"/>
              </w:rPr>
              <w:t>经以上措施处理后，本项目各项固废不会对周边环境产生影响。因此，只要加强固体废弃物的管理，就不会对周围的环境产生二次污染。</w:t>
            </w:r>
          </w:p>
          <w:p>
            <w:pPr>
              <w:adjustRightInd w:val="0"/>
              <w:spacing w:line="360" w:lineRule="auto"/>
              <w:ind w:firstLine="480" w:firstLineChars="200"/>
              <w:contextualSpacing/>
              <w:rPr>
                <w:color w:val="000000"/>
                <w:sz w:val="24"/>
              </w:rPr>
            </w:pPr>
            <w:r>
              <w:rPr>
                <w:color w:val="000000"/>
                <w:sz w:val="24"/>
              </w:rPr>
              <w:t>综述，项目建成后产生的固废种类明确，均可以得到合理的处置处理，对周边环境产生影响小。</w:t>
            </w:r>
          </w:p>
          <w:p>
            <w:pPr>
              <w:widowControl/>
              <w:spacing w:line="360" w:lineRule="auto"/>
              <w:jc w:val="left"/>
              <w:outlineLvl w:val="2"/>
              <w:rPr>
                <w:b/>
                <w:color w:val="000000"/>
                <w:kern w:val="0"/>
                <w:sz w:val="28"/>
                <w:szCs w:val="28"/>
              </w:rPr>
            </w:pPr>
            <w:r>
              <w:rPr>
                <w:b/>
                <w:color w:val="000000"/>
                <w:kern w:val="0"/>
                <w:sz w:val="28"/>
                <w:szCs w:val="28"/>
              </w:rPr>
              <w:t>4.2.5 地下水、土壤环境影响分析</w:t>
            </w:r>
          </w:p>
          <w:p>
            <w:pPr>
              <w:spacing w:line="360" w:lineRule="auto"/>
              <w:ind w:firstLine="480" w:firstLineChars="200"/>
              <w:textAlignment w:val="center"/>
              <w:rPr>
                <w:color w:val="000000"/>
                <w:kern w:val="0"/>
                <w:sz w:val="24"/>
                <w:szCs w:val="20"/>
              </w:rPr>
            </w:pPr>
            <w:r>
              <w:rPr>
                <w:color w:val="000000"/>
                <w:kern w:val="0"/>
                <w:sz w:val="24"/>
                <w:szCs w:val="20"/>
              </w:rPr>
              <w:t>（1）影响分析</w:t>
            </w:r>
          </w:p>
          <w:p>
            <w:pPr>
              <w:spacing w:line="360" w:lineRule="auto"/>
              <w:ind w:firstLine="480" w:firstLineChars="200"/>
              <w:textAlignment w:val="center"/>
              <w:rPr>
                <w:color w:val="000000"/>
                <w:kern w:val="0"/>
                <w:sz w:val="24"/>
                <w:szCs w:val="20"/>
              </w:rPr>
            </w:pPr>
            <w:r>
              <w:rPr>
                <w:color w:val="000000"/>
                <w:kern w:val="0"/>
                <w:sz w:val="24"/>
                <w:szCs w:val="20"/>
              </w:rPr>
              <w:t>本项目现有生活污水经处理达标后汇合通过厂区污水总排放口排入市政污水管网，送</w:t>
            </w:r>
            <w:r>
              <w:rPr>
                <w:color w:val="000000"/>
                <w:kern w:val="0"/>
                <w:sz w:val="24"/>
              </w:rPr>
              <w:t>往</w:t>
            </w:r>
            <w:r>
              <w:rPr>
                <w:rFonts w:hint="eastAsia"/>
                <w:color w:val="000000"/>
                <w:kern w:val="0"/>
                <w:sz w:val="24"/>
              </w:rPr>
              <w:t>福清市融元污水处理厂</w:t>
            </w:r>
            <w:r>
              <w:rPr>
                <w:color w:val="000000"/>
                <w:kern w:val="0"/>
                <w:sz w:val="24"/>
              </w:rPr>
              <w:t>处理</w:t>
            </w:r>
            <w:r>
              <w:rPr>
                <w:color w:val="000000"/>
                <w:kern w:val="0"/>
                <w:sz w:val="24"/>
                <w:szCs w:val="20"/>
              </w:rPr>
              <w:t>。</w:t>
            </w:r>
            <w:r>
              <w:rPr>
                <w:color w:val="000000"/>
                <w:kern w:val="0"/>
                <w:sz w:val="24"/>
              </w:rPr>
              <w:t>正常工况下废水处理设施各构筑物采取严格的防渗、防溢流等措施，废水不易渗漏和进入地下水。</w:t>
            </w:r>
            <w:r>
              <w:rPr>
                <w:color w:val="000000"/>
                <w:kern w:val="0"/>
                <w:sz w:val="24"/>
                <w:szCs w:val="20"/>
              </w:rPr>
              <w:t>根据现场调查，项目评价区域无饮用水水源地。</w:t>
            </w:r>
          </w:p>
          <w:p>
            <w:pPr>
              <w:spacing w:line="360" w:lineRule="auto"/>
              <w:ind w:firstLine="480" w:firstLineChars="200"/>
              <w:textAlignment w:val="center"/>
              <w:rPr>
                <w:color w:val="000000"/>
                <w:kern w:val="0"/>
                <w:sz w:val="24"/>
              </w:rPr>
            </w:pPr>
            <w:r>
              <w:rPr>
                <w:color w:val="000000"/>
                <w:kern w:val="0"/>
                <w:sz w:val="24"/>
              </w:rPr>
              <w:t>项目一般工业固废暂存场所及</w:t>
            </w:r>
            <w:r>
              <w:rPr>
                <w:rFonts w:hint="eastAsia"/>
                <w:color w:val="000000"/>
                <w:sz w:val="24"/>
              </w:rPr>
              <w:t>危险废物贮存库</w:t>
            </w:r>
            <w:r>
              <w:rPr>
                <w:color w:val="000000"/>
                <w:kern w:val="0"/>
                <w:sz w:val="24"/>
              </w:rPr>
              <w:t>严格按照《一般工业固体废物贮存、处置场污染控制标准》(GB18599-2020)的要求及《危险废物贮存污染控制标准》(GB18597-20</w:t>
            </w:r>
            <w:r>
              <w:rPr>
                <w:rFonts w:hint="eastAsia"/>
                <w:color w:val="000000"/>
                <w:kern w:val="0"/>
                <w:sz w:val="24"/>
              </w:rPr>
              <w:t>23</w:t>
            </w:r>
            <w:r>
              <w:rPr>
                <w:color w:val="000000"/>
                <w:kern w:val="0"/>
                <w:sz w:val="24"/>
              </w:rPr>
              <w:t>)要求进行建设，具备防风、防雨、防晒、防渗漏等要求。在正常工况，不会对评价区地下水、土壤产生明显影响，其影响程度是可接受的。</w:t>
            </w:r>
          </w:p>
          <w:p>
            <w:pPr>
              <w:spacing w:line="360" w:lineRule="auto"/>
              <w:ind w:firstLine="480" w:firstLineChars="200"/>
              <w:textAlignment w:val="center"/>
              <w:rPr>
                <w:color w:val="000000"/>
                <w:kern w:val="0"/>
                <w:sz w:val="24"/>
              </w:rPr>
            </w:pPr>
            <w:r>
              <w:rPr>
                <w:rFonts w:hint="eastAsia"/>
                <w:color w:val="000000"/>
                <w:sz w:val="24"/>
              </w:rPr>
              <w:t>危险废物贮存库</w:t>
            </w:r>
            <w:r>
              <w:rPr>
                <w:color w:val="000000"/>
                <w:kern w:val="0"/>
                <w:sz w:val="24"/>
              </w:rPr>
              <w:t>，应按照《危险化学品安全贮存通则》(GB15603-1995)和《危险化学品安全管理条例》(2011)中的要求，采取防泄漏、防溢流、防腐蚀等措施，严格遵守危险化学品的管理，正常工况下不会导致危险化学品进入地下污染地下水、土壤。</w:t>
            </w:r>
          </w:p>
          <w:p>
            <w:pPr>
              <w:spacing w:line="360" w:lineRule="auto"/>
              <w:ind w:firstLine="480" w:firstLineChars="200"/>
              <w:textAlignment w:val="center"/>
              <w:rPr>
                <w:color w:val="000000"/>
                <w:kern w:val="0"/>
                <w:sz w:val="24"/>
              </w:rPr>
            </w:pPr>
            <w:r>
              <w:rPr>
                <w:rFonts w:hint="eastAsia"/>
                <w:color w:val="000000"/>
                <w:kern w:val="0"/>
                <w:sz w:val="24"/>
                <w:lang w:eastAsia="zh-CN"/>
              </w:rPr>
              <w:t>综上所述</w:t>
            </w:r>
            <w:r>
              <w:rPr>
                <w:color w:val="000000"/>
                <w:kern w:val="0"/>
                <w:sz w:val="24"/>
              </w:rPr>
              <w:t>，项目在正常运行工况下，项目对地下水、土壤影响不大。但公司应加强管理，杜绝防渗层破裂等事故影响。</w:t>
            </w:r>
          </w:p>
          <w:p>
            <w:pPr>
              <w:spacing w:line="360" w:lineRule="auto"/>
              <w:ind w:firstLine="480" w:firstLineChars="200"/>
              <w:textAlignment w:val="center"/>
              <w:rPr>
                <w:color w:val="000000"/>
                <w:kern w:val="0"/>
                <w:sz w:val="24"/>
                <w:szCs w:val="20"/>
              </w:rPr>
            </w:pPr>
            <w:r>
              <w:rPr>
                <w:color w:val="000000"/>
                <w:kern w:val="0"/>
                <w:sz w:val="24"/>
                <w:szCs w:val="20"/>
              </w:rPr>
              <w:t>（2）地下水、土壤环境防控措施</w:t>
            </w:r>
          </w:p>
          <w:p>
            <w:pPr>
              <w:spacing w:line="360" w:lineRule="auto"/>
              <w:ind w:firstLine="480" w:firstLineChars="200"/>
              <w:rPr>
                <w:color w:val="000000"/>
                <w:sz w:val="24"/>
              </w:rPr>
            </w:pPr>
            <w:r>
              <w:rPr>
                <w:color w:val="000000"/>
                <w:sz w:val="24"/>
              </w:rPr>
              <w:t>根据本项目厂区可能泄漏至地面区域污染物的性质和生产单元的构筑方式，将厂区划分为重点污染防治区、一般污染防治区，针对不同的区域提出相应的防渗要求。结合项目的特点，项目防渗防治分区见表4.2-1</w:t>
            </w:r>
            <w:r>
              <w:rPr>
                <w:rFonts w:hint="eastAsia"/>
                <w:color w:val="000000"/>
                <w:sz w:val="24"/>
              </w:rPr>
              <w:t>5</w:t>
            </w:r>
            <w:r>
              <w:rPr>
                <w:color w:val="000000"/>
                <w:sz w:val="24"/>
              </w:rPr>
              <w:t>。</w:t>
            </w:r>
          </w:p>
          <w:p>
            <w:pPr>
              <w:adjustRightInd w:val="0"/>
              <w:snapToGrid w:val="0"/>
              <w:spacing w:before="120" w:beforeLines="50"/>
              <w:jc w:val="center"/>
              <w:rPr>
                <w:rFonts w:eastAsia="黑体"/>
                <w:b/>
                <w:color w:val="000000"/>
                <w:sz w:val="24"/>
                <w:szCs w:val="20"/>
              </w:rPr>
            </w:pPr>
            <w:r>
              <w:rPr>
                <w:rFonts w:eastAsia="黑体"/>
                <w:b/>
                <w:color w:val="000000"/>
                <w:sz w:val="24"/>
                <w:szCs w:val="20"/>
              </w:rPr>
              <w:t>表4.2-1</w:t>
            </w:r>
            <w:r>
              <w:rPr>
                <w:rFonts w:hint="eastAsia" w:eastAsia="黑体"/>
                <w:b/>
                <w:color w:val="000000"/>
                <w:sz w:val="24"/>
                <w:szCs w:val="20"/>
              </w:rPr>
              <w:t>5</w:t>
            </w:r>
            <w:r>
              <w:rPr>
                <w:rFonts w:eastAsia="黑体"/>
                <w:b/>
                <w:color w:val="000000"/>
                <w:sz w:val="24"/>
                <w:szCs w:val="20"/>
              </w:rPr>
              <w:t xml:space="preserve">  土壤污染防治分区一览表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330"/>
              <w:gridCol w:w="1254"/>
              <w:gridCol w:w="1502"/>
              <w:gridCol w:w="1034"/>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shd w:val="clear" w:color="auto" w:fill="E7E6E6"/>
                  <w:vAlign w:val="center"/>
                </w:tcPr>
                <w:p>
                  <w:pPr>
                    <w:pStyle w:val="57"/>
                    <w:rPr>
                      <w:rStyle w:val="42"/>
                      <w:rFonts w:cs="Times New Roman"/>
                      <w:color w:val="000000"/>
                      <w:lang w:val="en-US" w:eastAsia="zh-CN"/>
                    </w:rPr>
                  </w:pPr>
                  <w:r>
                    <w:rPr>
                      <w:rStyle w:val="42"/>
                      <w:rFonts w:cs="Times New Roman"/>
                      <w:color w:val="000000"/>
                      <w:lang w:val="en-US" w:eastAsia="zh-CN"/>
                    </w:rPr>
                    <w:t>防治区分区</w:t>
                  </w:r>
                </w:p>
              </w:tc>
              <w:tc>
                <w:tcPr>
                  <w:tcW w:w="1330" w:type="dxa"/>
                  <w:shd w:val="clear" w:color="auto" w:fill="E7E6E6"/>
                  <w:vAlign w:val="center"/>
                </w:tcPr>
                <w:p>
                  <w:pPr>
                    <w:pStyle w:val="57"/>
                    <w:rPr>
                      <w:rStyle w:val="42"/>
                      <w:rFonts w:cs="Times New Roman"/>
                      <w:color w:val="000000"/>
                      <w:lang w:val="en-US" w:eastAsia="zh-CN"/>
                    </w:rPr>
                  </w:pPr>
                  <w:r>
                    <w:rPr>
                      <w:rStyle w:val="42"/>
                      <w:rFonts w:cs="Times New Roman"/>
                      <w:color w:val="000000"/>
                      <w:lang w:val="en-US" w:eastAsia="zh-CN"/>
                    </w:rPr>
                    <w:t>装置或构筑物名称</w:t>
                  </w:r>
                </w:p>
              </w:tc>
              <w:tc>
                <w:tcPr>
                  <w:tcW w:w="1254" w:type="dxa"/>
                  <w:shd w:val="clear" w:color="auto" w:fill="E7E6E6"/>
                  <w:vAlign w:val="center"/>
                </w:tcPr>
                <w:p>
                  <w:pPr>
                    <w:pStyle w:val="57"/>
                    <w:rPr>
                      <w:rStyle w:val="42"/>
                      <w:rFonts w:cs="Times New Roman"/>
                      <w:color w:val="000000"/>
                      <w:lang w:val="en-US" w:eastAsia="zh-CN"/>
                    </w:rPr>
                  </w:pPr>
                  <w:r>
                    <w:rPr>
                      <w:rStyle w:val="42"/>
                      <w:rFonts w:cs="Times New Roman"/>
                      <w:color w:val="000000"/>
                      <w:lang w:val="en-US" w:eastAsia="zh-CN"/>
                    </w:rPr>
                    <w:t>防渗区域</w:t>
                  </w:r>
                </w:p>
              </w:tc>
              <w:tc>
                <w:tcPr>
                  <w:tcW w:w="1502" w:type="dxa"/>
                  <w:shd w:val="clear" w:color="auto" w:fill="E7E6E6"/>
                  <w:vAlign w:val="center"/>
                </w:tcPr>
                <w:p>
                  <w:pPr>
                    <w:pStyle w:val="57"/>
                    <w:rPr>
                      <w:rStyle w:val="42"/>
                      <w:rFonts w:cs="Times New Roman"/>
                      <w:color w:val="000000"/>
                      <w:lang w:val="en-US" w:eastAsia="zh-CN"/>
                    </w:rPr>
                  </w:pPr>
                  <w:r>
                    <w:rPr>
                      <w:rStyle w:val="42"/>
                      <w:rFonts w:cs="Times New Roman"/>
                      <w:color w:val="000000"/>
                      <w:lang w:val="en-US" w:eastAsia="zh-CN"/>
                    </w:rPr>
                    <w:t>现状防渗</w:t>
                  </w:r>
                </w:p>
                <w:p>
                  <w:pPr>
                    <w:pStyle w:val="57"/>
                    <w:rPr>
                      <w:rStyle w:val="42"/>
                      <w:rFonts w:cs="Times New Roman"/>
                      <w:color w:val="000000"/>
                      <w:lang w:val="en-US" w:eastAsia="zh-CN"/>
                    </w:rPr>
                  </w:pPr>
                  <w:r>
                    <w:rPr>
                      <w:rStyle w:val="42"/>
                      <w:rFonts w:cs="Times New Roman"/>
                      <w:color w:val="000000"/>
                      <w:lang w:val="en-US" w:eastAsia="zh-CN"/>
                    </w:rPr>
                    <w:t>情况</w:t>
                  </w:r>
                </w:p>
              </w:tc>
              <w:tc>
                <w:tcPr>
                  <w:tcW w:w="1034" w:type="dxa"/>
                  <w:shd w:val="clear" w:color="auto" w:fill="E7E6E6"/>
                  <w:vAlign w:val="center"/>
                </w:tcPr>
                <w:p>
                  <w:pPr>
                    <w:pStyle w:val="57"/>
                    <w:rPr>
                      <w:rStyle w:val="42"/>
                      <w:rFonts w:cs="Times New Roman"/>
                      <w:color w:val="000000"/>
                      <w:lang w:val="en-US" w:eastAsia="zh-CN"/>
                    </w:rPr>
                  </w:pPr>
                  <w:r>
                    <w:rPr>
                      <w:rStyle w:val="42"/>
                      <w:rFonts w:cs="Times New Roman"/>
                      <w:color w:val="000000"/>
                      <w:lang w:val="en-US" w:eastAsia="zh-CN"/>
                    </w:rPr>
                    <w:t>本项目建设内容</w:t>
                  </w:r>
                </w:p>
              </w:tc>
              <w:tc>
                <w:tcPr>
                  <w:tcW w:w="2389" w:type="dxa"/>
                  <w:shd w:val="clear" w:color="auto" w:fill="E7E6E6"/>
                  <w:vAlign w:val="center"/>
                </w:tcPr>
                <w:p>
                  <w:pPr>
                    <w:pStyle w:val="57"/>
                    <w:rPr>
                      <w:rStyle w:val="42"/>
                      <w:rFonts w:cs="Times New Roman"/>
                      <w:color w:val="000000"/>
                      <w:lang w:val="en-US" w:eastAsia="zh-CN"/>
                    </w:rPr>
                  </w:pPr>
                  <w:r>
                    <w:rPr>
                      <w:rStyle w:val="42"/>
                      <w:rFonts w:cs="Times New Roman"/>
                      <w:color w:val="000000"/>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重点污染防治区</w:t>
                  </w:r>
                </w:p>
              </w:tc>
              <w:tc>
                <w:tcPr>
                  <w:tcW w:w="1330" w:type="dxa"/>
                  <w:vAlign w:val="center"/>
                </w:tcPr>
                <w:p>
                  <w:pPr>
                    <w:pStyle w:val="57"/>
                    <w:rPr>
                      <w:rStyle w:val="42"/>
                      <w:rFonts w:cs="Times New Roman"/>
                      <w:b w:val="0"/>
                      <w:color w:val="000000"/>
                      <w:lang w:val="en-US" w:eastAsia="zh-CN"/>
                    </w:rPr>
                  </w:pPr>
                  <w:r>
                    <w:rPr>
                      <w:rStyle w:val="42"/>
                      <w:rFonts w:hint="eastAsia" w:cs="Times New Roman"/>
                      <w:b w:val="0"/>
                      <w:color w:val="000000"/>
                      <w:lang w:val="en-US" w:eastAsia="zh-CN"/>
                    </w:rPr>
                    <w:t>危险废物贮存库</w:t>
                  </w:r>
                </w:p>
              </w:tc>
              <w:tc>
                <w:tcPr>
                  <w:tcW w:w="125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地面</w:t>
                  </w:r>
                </w:p>
              </w:tc>
              <w:tc>
                <w:tcPr>
                  <w:tcW w:w="1502"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地面已进行水泥硬化</w:t>
                  </w:r>
                </w:p>
              </w:tc>
              <w:tc>
                <w:tcPr>
                  <w:tcW w:w="103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开展重点防渗工作</w:t>
                  </w:r>
                </w:p>
              </w:tc>
              <w:tc>
                <w:tcPr>
                  <w:tcW w:w="2389"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等效黏土防渗层Mb≥6.0m，K≤1.0×10</w:t>
                  </w:r>
                  <w:r>
                    <w:rPr>
                      <w:rStyle w:val="42"/>
                      <w:rFonts w:cs="Times New Roman"/>
                      <w:b w:val="0"/>
                      <w:color w:val="000000"/>
                      <w:vertAlign w:val="superscript"/>
                      <w:lang w:val="en-US" w:eastAsia="zh-CN"/>
                    </w:rPr>
                    <w:t>-7</w:t>
                  </w:r>
                  <w:r>
                    <w:rPr>
                      <w:rStyle w:val="42"/>
                      <w:rFonts w:cs="Times New Roman"/>
                      <w:b w:val="0"/>
                      <w:color w:val="000000"/>
                      <w:lang w:val="en-US" w:eastAsia="zh-CN"/>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restart"/>
                  <w:vAlign w:val="center"/>
                </w:tcPr>
                <w:p>
                  <w:pPr>
                    <w:pStyle w:val="57"/>
                    <w:rPr>
                      <w:rStyle w:val="42"/>
                      <w:rFonts w:cs="Times New Roman"/>
                      <w:b w:val="0"/>
                      <w:color w:val="000000"/>
                      <w:lang w:val="en-US" w:eastAsia="zh-CN"/>
                    </w:rPr>
                  </w:pPr>
                  <w:r>
                    <w:rPr>
                      <w:rStyle w:val="42"/>
                      <w:rFonts w:cs="Times New Roman"/>
                      <w:b w:val="0"/>
                      <w:color w:val="000000"/>
                      <w:lang w:val="en-US" w:eastAsia="zh-CN"/>
                    </w:rPr>
                    <w:t>一般污染防治区</w:t>
                  </w:r>
                </w:p>
              </w:tc>
              <w:tc>
                <w:tcPr>
                  <w:tcW w:w="1330"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生产车间</w:t>
                  </w:r>
                </w:p>
              </w:tc>
              <w:tc>
                <w:tcPr>
                  <w:tcW w:w="125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地面</w:t>
                  </w:r>
                </w:p>
              </w:tc>
              <w:tc>
                <w:tcPr>
                  <w:tcW w:w="1502"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地面已进行水泥硬化</w:t>
                  </w:r>
                </w:p>
              </w:tc>
              <w:tc>
                <w:tcPr>
                  <w:tcW w:w="103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Merge w:val="restart"/>
                  <w:vAlign w:val="center"/>
                </w:tcPr>
                <w:p>
                  <w:pPr>
                    <w:pStyle w:val="57"/>
                    <w:rPr>
                      <w:rStyle w:val="42"/>
                      <w:rFonts w:cs="Times New Roman"/>
                      <w:b w:val="0"/>
                      <w:color w:val="000000"/>
                      <w:lang w:val="en-US" w:eastAsia="zh-CN"/>
                    </w:rPr>
                  </w:pPr>
                  <w:r>
                    <w:rPr>
                      <w:rStyle w:val="42"/>
                      <w:rFonts w:cs="Times New Roman"/>
                      <w:b w:val="0"/>
                      <w:color w:val="000000"/>
                      <w:lang w:val="en-US" w:eastAsia="zh-CN"/>
                    </w:rPr>
                    <w:t>等效黏土防渗层Mb≥1.5.0m，K≤1.0×10</w:t>
                  </w:r>
                  <w:r>
                    <w:rPr>
                      <w:rStyle w:val="42"/>
                      <w:rFonts w:cs="Times New Roman"/>
                      <w:b w:val="0"/>
                      <w:color w:val="000000"/>
                      <w:vertAlign w:val="superscript"/>
                      <w:lang w:val="en-US" w:eastAsia="zh-CN"/>
                    </w:rPr>
                    <w:t>-7</w:t>
                  </w:r>
                  <w:r>
                    <w:rPr>
                      <w:rStyle w:val="42"/>
                      <w:rFonts w:cs="Times New Roman"/>
                      <w:b w:val="0"/>
                      <w:color w:val="000000"/>
                      <w:lang w:val="en-US" w:eastAsia="zh-CN"/>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vAlign w:val="center"/>
                </w:tcPr>
                <w:p>
                  <w:pPr>
                    <w:pStyle w:val="57"/>
                    <w:rPr>
                      <w:rStyle w:val="42"/>
                      <w:rFonts w:cs="Times New Roman"/>
                      <w:b w:val="0"/>
                      <w:color w:val="000000"/>
                      <w:lang w:val="en-US" w:eastAsia="zh-CN"/>
                    </w:rPr>
                  </w:pPr>
                </w:p>
              </w:tc>
              <w:tc>
                <w:tcPr>
                  <w:tcW w:w="1330"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化粪池</w:t>
                  </w:r>
                </w:p>
              </w:tc>
              <w:tc>
                <w:tcPr>
                  <w:tcW w:w="125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地面、处理池壁</w:t>
                  </w:r>
                </w:p>
              </w:tc>
              <w:tc>
                <w:tcPr>
                  <w:tcW w:w="1502"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已进行水泥硬化</w:t>
                  </w:r>
                </w:p>
              </w:tc>
              <w:tc>
                <w:tcPr>
                  <w:tcW w:w="103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Merge w:val="continue"/>
                  <w:vAlign w:val="center"/>
                </w:tcPr>
                <w:p>
                  <w:pPr>
                    <w:pStyle w:val="57"/>
                    <w:rPr>
                      <w:rStyle w:val="42"/>
                      <w:rFonts w:cs="Times New Roman"/>
                      <w:b w:val="0"/>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vAlign w:val="center"/>
                </w:tcPr>
                <w:p>
                  <w:pPr>
                    <w:pStyle w:val="57"/>
                    <w:rPr>
                      <w:rStyle w:val="42"/>
                      <w:rFonts w:cs="Times New Roman"/>
                      <w:b w:val="0"/>
                      <w:color w:val="000000"/>
                      <w:lang w:val="en-US" w:eastAsia="zh-CN"/>
                    </w:rPr>
                  </w:pPr>
                </w:p>
              </w:tc>
              <w:tc>
                <w:tcPr>
                  <w:tcW w:w="1330"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污水管线</w:t>
                  </w:r>
                </w:p>
              </w:tc>
              <w:tc>
                <w:tcPr>
                  <w:tcW w:w="125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管线连接处、管线壁</w:t>
                  </w:r>
                </w:p>
              </w:tc>
              <w:tc>
                <w:tcPr>
                  <w:tcW w:w="1502"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管线连接处密闭</w:t>
                  </w:r>
                </w:p>
              </w:tc>
              <w:tc>
                <w:tcPr>
                  <w:tcW w:w="103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Merge w:val="continue"/>
                  <w:vAlign w:val="center"/>
                </w:tcPr>
                <w:p>
                  <w:pPr>
                    <w:pStyle w:val="57"/>
                    <w:rPr>
                      <w:rStyle w:val="42"/>
                      <w:rFonts w:cs="Times New Roman"/>
                      <w:b w:val="0"/>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Merge w:val="continue"/>
                  <w:vAlign w:val="center"/>
                </w:tcPr>
                <w:p>
                  <w:pPr>
                    <w:pStyle w:val="57"/>
                    <w:rPr>
                      <w:rStyle w:val="42"/>
                      <w:rFonts w:cs="Times New Roman"/>
                      <w:b w:val="0"/>
                      <w:color w:val="000000"/>
                      <w:lang w:val="en-US" w:eastAsia="zh-CN"/>
                    </w:rPr>
                  </w:pPr>
                </w:p>
              </w:tc>
              <w:tc>
                <w:tcPr>
                  <w:tcW w:w="1330"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仓库</w:t>
                  </w:r>
                </w:p>
              </w:tc>
              <w:tc>
                <w:tcPr>
                  <w:tcW w:w="125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地面</w:t>
                  </w:r>
                </w:p>
              </w:tc>
              <w:tc>
                <w:tcPr>
                  <w:tcW w:w="1502"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已进行水泥硬化</w:t>
                  </w:r>
                </w:p>
              </w:tc>
              <w:tc>
                <w:tcPr>
                  <w:tcW w:w="103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Merge w:val="continue"/>
                  <w:vAlign w:val="center"/>
                </w:tcPr>
                <w:p>
                  <w:pPr>
                    <w:pStyle w:val="57"/>
                    <w:rPr>
                      <w:rStyle w:val="42"/>
                      <w:rFonts w:cs="Times New Roman"/>
                      <w:b w:val="0"/>
                      <w:color w:val="00000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简单防渗区</w:t>
                  </w:r>
                </w:p>
              </w:tc>
              <w:tc>
                <w:tcPr>
                  <w:tcW w:w="1330"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厂内道路</w:t>
                  </w:r>
                </w:p>
              </w:tc>
              <w:tc>
                <w:tcPr>
                  <w:tcW w:w="125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路面</w:t>
                  </w:r>
                </w:p>
              </w:tc>
              <w:tc>
                <w:tcPr>
                  <w:tcW w:w="1502"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已进行水泥硬化</w:t>
                  </w:r>
                </w:p>
              </w:tc>
              <w:tc>
                <w:tcPr>
                  <w:tcW w:w="1034"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w:t>
                  </w:r>
                </w:p>
              </w:tc>
              <w:tc>
                <w:tcPr>
                  <w:tcW w:w="2389" w:type="dxa"/>
                  <w:vAlign w:val="center"/>
                </w:tcPr>
                <w:p>
                  <w:pPr>
                    <w:pStyle w:val="57"/>
                    <w:rPr>
                      <w:rStyle w:val="42"/>
                      <w:rFonts w:cs="Times New Roman"/>
                      <w:b w:val="0"/>
                      <w:color w:val="000000"/>
                      <w:lang w:val="en-US" w:eastAsia="zh-CN"/>
                    </w:rPr>
                  </w:pPr>
                  <w:r>
                    <w:rPr>
                      <w:rStyle w:val="42"/>
                      <w:rFonts w:cs="Times New Roman"/>
                      <w:b w:val="0"/>
                      <w:color w:val="000000"/>
                      <w:lang w:val="en-US" w:eastAsia="zh-CN"/>
                    </w:rPr>
                    <w:t>一般地面硬化</w:t>
                  </w:r>
                </w:p>
              </w:tc>
            </w:tr>
          </w:tbl>
          <w:p>
            <w:pPr>
              <w:spacing w:line="360" w:lineRule="auto"/>
              <w:ind w:firstLine="480" w:firstLineChars="200"/>
              <w:rPr>
                <w:color w:val="000000"/>
                <w:sz w:val="24"/>
              </w:rPr>
            </w:pPr>
            <w:r>
              <w:rPr>
                <w:color w:val="000000"/>
                <w:sz w:val="24"/>
              </w:rPr>
              <w:t xml:space="preserve"> (3)监控措施</w:t>
            </w:r>
          </w:p>
          <w:p>
            <w:pPr>
              <w:spacing w:line="360" w:lineRule="auto"/>
              <w:ind w:firstLine="480" w:firstLineChars="200"/>
              <w:rPr>
                <w:color w:val="000000"/>
                <w:sz w:val="24"/>
              </w:rPr>
            </w:pPr>
            <w:r>
              <w:rPr>
                <w:rFonts w:hint="eastAsia" w:ascii="宋体" w:hAnsi="宋体" w:cs="宋体"/>
                <w:color w:val="000000"/>
                <w:sz w:val="24"/>
              </w:rPr>
              <w:t>①</w:t>
            </w:r>
            <w:r>
              <w:rPr>
                <w:color w:val="000000"/>
                <w:sz w:val="24"/>
              </w:rPr>
              <w:t>项目</w:t>
            </w:r>
            <w:r>
              <w:rPr>
                <w:rFonts w:hint="eastAsia"/>
                <w:color w:val="000000"/>
                <w:sz w:val="24"/>
              </w:rPr>
              <w:t>危险废物贮存库</w:t>
            </w:r>
            <w:r>
              <w:rPr>
                <w:color w:val="000000"/>
                <w:sz w:val="24"/>
              </w:rPr>
              <w:t>四周建设导流沟装置，防止危险废物等泄漏时四处扩散，并可及时移除或者清理污染源；</w:t>
            </w:r>
          </w:p>
          <w:p>
            <w:pPr>
              <w:spacing w:line="360" w:lineRule="auto"/>
              <w:ind w:firstLine="480" w:firstLineChars="200"/>
              <w:rPr>
                <w:color w:val="000000"/>
                <w:sz w:val="24"/>
              </w:rPr>
            </w:pPr>
            <w:r>
              <w:rPr>
                <w:rFonts w:hint="eastAsia" w:ascii="宋体" w:hAnsi="宋体" w:cs="宋体"/>
                <w:color w:val="000000"/>
                <w:sz w:val="24"/>
              </w:rPr>
              <w:t>②</w:t>
            </w:r>
            <w:r>
              <w:rPr>
                <w:color w:val="000000"/>
                <w:sz w:val="24"/>
              </w:rPr>
              <w:t>建立健全环境管理和监测制度，保证各环保设施正常运转，同时强化风险防范意识，如遇环保设施不能正常运转，应立即停产检修；</w:t>
            </w:r>
          </w:p>
          <w:p>
            <w:pPr>
              <w:spacing w:line="360" w:lineRule="auto"/>
              <w:ind w:firstLine="480" w:firstLineChars="200"/>
              <w:rPr>
                <w:color w:val="000000"/>
                <w:sz w:val="24"/>
              </w:rPr>
            </w:pPr>
            <w:r>
              <w:rPr>
                <w:rFonts w:hint="eastAsia" w:ascii="宋体" w:hAnsi="宋体" w:cs="宋体"/>
                <w:color w:val="000000"/>
                <w:sz w:val="24"/>
              </w:rPr>
              <w:t>③</w:t>
            </w:r>
            <w:r>
              <w:rPr>
                <w:color w:val="000000"/>
                <w:sz w:val="24"/>
              </w:rPr>
              <w:t>若发生危险废物泄漏、废水处理设施泄漏等，必要时委托有资质的单位对厂址周边地下水、土壤等进行跟踪监测，掌握厂址周边污染变化趋势。</w:t>
            </w:r>
          </w:p>
          <w:p>
            <w:pPr>
              <w:spacing w:line="360" w:lineRule="auto"/>
              <w:ind w:firstLine="480" w:firstLineChars="200"/>
              <w:rPr>
                <w:color w:val="000000"/>
                <w:sz w:val="24"/>
              </w:rPr>
            </w:pPr>
            <w:r>
              <w:rPr>
                <w:rFonts w:hint="eastAsia" w:ascii="宋体" w:hAnsi="宋体" w:cs="宋体"/>
                <w:color w:val="000000"/>
                <w:sz w:val="24"/>
              </w:rPr>
              <w:t>④</w:t>
            </w:r>
            <w:r>
              <w:rPr>
                <w:color w:val="000000"/>
                <w:sz w:val="24"/>
              </w:rPr>
              <w:t>在今后的生产活动中，做好设备的维护、检修，杜绝跑、冒、滴、漏现象。同时，加强污染物产生主要环节的收集治理，加强厂区的安全防护、环境风险防范措施，以便及时发现事故隐患，及时采取有效的应对措施。</w:t>
            </w:r>
          </w:p>
          <w:p>
            <w:pPr>
              <w:spacing w:line="360" w:lineRule="auto"/>
              <w:ind w:firstLine="480" w:firstLineChars="200"/>
              <w:rPr>
                <w:color w:val="000000"/>
                <w:sz w:val="24"/>
              </w:rPr>
            </w:pPr>
            <w:r>
              <w:rPr>
                <w:rFonts w:hint="eastAsia" w:ascii="宋体" w:hAnsi="宋体" w:cs="宋体"/>
                <w:color w:val="000000"/>
                <w:sz w:val="24"/>
              </w:rPr>
              <w:t>⑤</w:t>
            </w:r>
            <w:r>
              <w:rPr>
                <w:color w:val="000000"/>
                <w:sz w:val="24"/>
              </w:rPr>
              <w:t>项目生产经营用地的用途变更或者在其土地使用权收回、转让前，应当由土地使用权人按照规定进行土壤污染状况调查。</w:t>
            </w:r>
          </w:p>
          <w:p>
            <w:pPr>
              <w:keepNext/>
              <w:spacing w:before="48" w:beforeLines="20" w:after="24" w:afterLines="10" w:line="360" w:lineRule="auto"/>
              <w:jc w:val="left"/>
              <w:outlineLvl w:val="2"/>
              <w:rPr>
                <w:b/>
                <w:bCs/>
                <w:color w:val="000000"/>
                <w:kern w:val="0"/>
                <w:sz w:val="28"/>
                <w:szCs w:val="32"/>
              </w:rPr>
            </w:pPr>
            <w:r>
              <w:rPr>
                <w:b/>
                <w:bCs/>
                <w:color w:val="000000"/>
                <w:kern w:val="0"/>
                <w:sz w:val="28"/>
                <w:szCs w:val="32"/>
              </w:rPr>
              <w:t>4.2.6环境风险分析</w:t>
            </w:r>
          </w:p>
          <w:p>
            <w:pPr>
              <w:keepNext/>
              <w:spacing w:before="72" w:beforeLines="30" w:after="48" w:afterLines="20" w:line="360" w:lineRule="auto"/>
              <w:jc w:val="left"/>
              <w:outlineLvl w:val="3"/>
              <w:rPr>
                <w:b/>
                <w:bCs/>
                <w:color w:val="000000"/>
                <w:kern w:val="0"/>
                <w:sz w:val="24"/>
                <w:szCs w:val="28"/>
              </w:rPr>
            </w:pPr>
            <w:r>
              <w:rPr>
                <w:b/>
                <w:bCs/>
                <w:color w:val="000000"/>
                <w:kern w:val="0"/>
                <w:sz w:val="24"/>
                <w:szCs w:val="28"/>
              </w:rPr>
              <w:t>4.2.6.1风险识别范围和类型</w:t>
            </w:r>
          </w:p>
          <w:p>
            <w:pPr>
              <w:widowControl/>
              <w:adjustRightInd w:val="0"/>
              <w:snapToGrid w:val="0"/>
              <w:spacing w:line="360" w:lineRule="auto"/>
              <w:ind w:firstLine="480" w:firstLineChars="200"/>
              <w:rPr>
                <w:color w:val="000000"/>
                <w:kern w:val="0"/>
                <w:sz w:val="24"/>
                <w:szCs w:val="20"/>
              </w:rPr>
            </w:pPr>
            <w:r>
              <w:rPr>
                <w:color w:val="000000"/>
                <w:kern w:val="0"/>
                <w:sz w:val="24"/>
                <w:szCs w:val="20"/>
              </w:rPr>
              <w:t>（1）风险识别范围：</w:t>
            </w:r>
            <w:r>
              <w:rPr>
                <w:rFonts w:hint="eastAsia" w:ascii="宋体" w:hAnsi="宋体" w:cs="宋体"/>
                <w:color w:val="000000"/>
                <w:kern w:val="0"/>
                <w:sz w:val="24"/>
                <w:szCs w:val="20"/>
              </w:rPr>
              <w:t>①</w:t>
            </w:r>
            <w:r>
              <w:rPr>
                <w:color w:val="000000"/>
                <w:kern w:val="0"/>
                <w:sz w:val="24"/>
                <w:szCs w:val="20"/>
              </w:rPr>
              <w:t>本项目生产系统危险性识别包括主要生产装置、储运设施、公用工程和辅助生产设施，以及环境保护设施等。</w:t>
            </w:r>
            <w:r>
              <w:rPr>
                <w:rFonts w:hint="eastAsia" w:ascii="宋体" w:hAnsi="宋体" w:cs="宋体"/>
                <w:color w:val="000000"/>
                <w:kern w:val="0"/>
                <w:sz w:val="24"/>
                <w:szCs w:val="20"/>
              </w:rPr>
              <w:t>②</w:t>
            </w:r>
            <w:r>
              <w:rPr>
                <w:color w:val="000000"/>
                <w:kern w:val="0"/>
                <w:sz w:val="24"/>
                <w:szCs w:val="20"/>
              </w:rPr>
              <w:t>物质危险性识别包括主要原辅材料、燃料、中间产品、副产品、最终产品、污染物、火灾和爆炸伴生/次生物等。</w:t>
            </w:r>
            <w:r>
              <w:rPr>
                <w:rFonts w:hint="eastAsia" w:ascii="宋体" w:hAnsi="宋体" w:cs="宋体"/>
                <w:color w:val="000000"/>
                <w:kern w:val="0"/>
                <w:sz w:val="24"/>
                <w:szCs w:val="20"/>
              </w:rPr>
              <w:t>③</w:t>
            </w:r>
            <w:r>
              <w:rPr>
                <w:color w:val="000000"/>
                <w:kern w:val="0"/>
                <w:sz w:val="24"/>
                <w:szCs w:val="20"/>
              </w:rPr>
              <w:t>危险物质向环境转移的途径识别为</w:t>
            </w:r>
            <w:r>
              <w:rPr>
                <w:rFonts w:hint="eastAsia"/>
                <w:color w:val="000000"/>
                <w:kern w:val="0"/>
                <w:sz w:val="24"/>
                <w:szCs w:val="20"/>
              </w:rPr>
              <w:t>树脂</w:t>
            </w:r>
            <w:r>
              <w:rPr>
                <w:color w:val="000000"/>
                <w:kern w:val="0"/>
                <w:sz w:val="24"/>
                <w:szCs w:val="20"/>
              </w:rPr>
              <w:t>等物质使用过程，发生火灾事故，污染环境。</w:t>
            </w:r>
          </w:p>
          <w:p>
            <w:pPr>
              <w:widowControl/>
              <w:adjustRightInd w:val="0"/>
              <w:snapToGrid w:val="0"/>
              <w:spacing w:line="360" w:lineRule="auto"/>
              <w:ind w:firstLine="480" w:firstLineChars="200"/>
              <w:rPr>
                <w:color w:val="000000"/>
                <w:kern w:val="0"/>
                <w:sz w:val="24"/>
                <w:szCs w:val="20"/>
              </w:rPr>
            </w:pPr>
            <w:r>
              <w:rPr>
                <w:color w:val="000000"/>
                <w:kern w:val="0"/>
                <w:sz w:val="24"/>
                <w:szCs w:val="20"/>
              </w:rPr>
              <w:t>（2）风险类型：物质在使用及储存过程中可能发生的事故有机械破损、物体摔落、腐蚀性物质喷溅致残、有毒物质的泄漏引起火灾、爆炸、有毒物质排放等，其中后三种可能导致具有严重后果的危害。因此，本次环境风险评价的主要研究对象是：A重大火灾；B物质泄漏风险。</w:t>
            </w:r>
          </w:p>
          <w:p>
            <w:pPr>
              <w:widowControl/>
              <w:adjustRightInd w:val="0"/>
              <w:snapToGrid w:val="0"/>
              <w:spacing w:line="360" w:lineRule="auto"/>
              <w:ind w:firstLine="480" w:firstLineChars="200"/>
              <w:rPr>
                <w:color w:val="000000"/>
                <w:kern w:val="0"/>
                <w:sz w:val="24"/>
                <w:szCs w:val="20"/>
              </w:rPr>
            </w:pPr>
            <w:r>
              <w:rPr>
                <w:rFonts w:hint="eastAsia"/>
                <w:color w:val="000000"/>
                <w:kern w:val="0"/>
                <w:sz w:val="24"/>
                <w:szCs w:val="20"/>
              </w:rPr>
              <w:t>项目不</w:t>
            </w:r>
            <w:r>
              <w:rPr>
                <w:color w:val="000000"/>
                <w:kern w:val="0"/>
                <w:sz w:val="24"/>
                <w:szCs w:val="20"/>
              </w:rPr>
              <w:t>涉及的环境风险物质，</w:t>
            </w:r>
            <w:r>
              <w:rPr>
                <w:rFonts w:hint="eastAsia"/>
                <w:color w:val="000000"/>
                <w:kern w:val="0"/>
                <w:sz w:val="24"/>
                <w:szCs w:val="20"/>
              </w:rPr>
              <w:t>因此</w:t>
            </w:r>
            <w:r>
              <w:rPr>
                <w:color w:val="000000"/>
                <w:kern w:val="0"/>
                <w:sz w:val="24"/>
                <w:szCs w:val="20"/>
              </w:rPr>
              <w:t>本项目ΣQ=0＜1，本项目风险潜势为</w:t>
            </w:r>
            <w:r>
              <w:rPr>
                <w:color w:val="000000"/>
                <w:kern w:val="0"/>
                <w:sz w:val="24"/>
                <w:szCs w:val="20"/>
              </w:rPr>
              <w:fldChar w:fldCharType="begin"/>
            </w:r>
            <w:r>
              <w:rPr>
                <w:color w:val="000000"/>
                <w:kern w:val="0"/>
                <w:sz w:val="24"/>
                <w:szCs w:val="20"/>
              </w:rPr>
              <w:instrText xml:space="preserve"> = 1 \* ROMAN </w:instrText>
            </w:r>
            <w:r>
              <w:rPr>
                <w:color w:val="000000"/>
                <w:kern w:val="0"/>
                <w:sz w:val="24"/>
                <w:szCs w:val="20"/>
              </w:rPr>
              <w:fldChar w:fldCharType="separate"/>
            </w:r>
            <w:r>
              <w:rPr>
                <w:color w:val="000000"/>
                <w:kern w:val="0"/>
                <w:sz w:val="24"/>
                <w:szCs w:val="20"/>
              </w:rPr>
              <w:t>I</w:t>
            </w:r>
            <w:r>
              <w:rPr>
                <w:color w:val="000000"/>
                <w:kern w:val="0"/>
                <w:sz w:val="24"/>
                <w:szCs w:val="20"/>
              </w:rPr>
              <w:fldChar w:fldCharType="end"/>
            </w:r>
            <w:r>
              <w:rPr>
                <w:color w:val="000000"/>
                <w:kern w:val="0"/>
                <w:sz w:val="24"/>
                <w:szCs w:val="20"/>
              </w:rPr>
              <w:t>级。</w:t>
            </w:r>
          </w:p>
          <w:p>
            <w:pPr>
              <w:keepNext/>
              <w:spacing w:before="72" w:beforeLines="30" w:after="48" w:afterLines="20" w:line="360" w:lineRule="auto"/>
              <w:jc w:val="left"/>
              <w:outlineLvl w:val="3"/>
              <w:rPr>
                <w:b/>
                <w:bCs/>
                <w:color w:val="000000"/>
                <w:kern w:val="0"/>
                <w:sz w:val="24"/>
                <w:szCs w:val="28"/>
              </w:rPr>
            </w:pPr>
            <w:r>
              <w:rPr>
                <w:b/>
                <w:bCs/>
                <w:color w:val="000000"/>
                <w:kern w:val="0"/>
                <w:sz w:val="24"/>
                <w:szCs w:val="28"/>
              </w:rPr>
              <w:t>4.2.6.2风险控制措施</w:t>
            </w:r>
          </w:p>
          <w:p>
            <w:pPr>
              <w:widowControl/>
              <w:adjustRightInd w:val="0"/>
              <w:snapToGrid w:val="0"/>
              <w:spacing w:line="360" w:lineRule="auto"/>
              <w:ind w:firstLine="480" w:firstLineChars="200"/>
              <w:rPr>
                <w:color w:val="000000"/>
                <w:kern w:val="0"/>
                <w:sz w:val="24"/>
                <w:szCs w:val="20"/>
              </w:rPr>
            </w:pPr>
            <w:r>
              <w:rPr>
                <w:color w:val="000000"/>
                <w:kern w:val="0"/>
                <w:sz w:val="24"/>
                <w:szCs w:val="20"/>
              </w:rPr>
              <w:t>(1)火灾事故风险防范措施</w:t>
            </w:r>
          </w:p>
          <w:p>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①</w:t>
            </w:r>
            <w:r>
              <w:rPr>
                <w:color w:val="000000"/>
                <w:kern w:val="0"/>
                <w:sz w:val="24"/>
                <w:szCs w:val="20"/>
              </w:rPr>
              <w:t>加强消防设施和灭火器材的配备，严格落实有关消防技术规范的规定，加强人员疏散设施管理，保证疏散通道畅通。</w:t>
            </w:r>
          </w:p>
          <w:p>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②</w:t>
            </w:r>
            <w:r>
              <w:rPr>
                <w:color w:val="000000"/>
                <w:kern w:val="0"/>
                <w:sz w:val="24"/>
                <w:szCs w:val="20"/>
              </w:rPr>
              <w:t>定期进行防火安全检查，确保消防设施完整好用。</w:t>
            </w:r>
          </w:p>
          <w:p>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③</w:t>
            </w:r>
            <w:r>
              <w:rPr>
                <w:color w:val="000000"/>
                <w:kern w:val="0"/>
                <w:sz w:val="24"/>
                <w:szCs w:val="20"/>
              </w:rPr>
              <w:t>公司要求职工应遵守各项规章制度，杜绝“三违”(违章作业、违章指挥、违反劳动纪律)，作业时要遵守各项规定(如动火、高处作业、进入设备作业等规定)、要求，确保安全生产。</w:t>
            </w:r>
          </w:p>
          <w:p>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④</w:t>
            </w:r>
            <w:r>
              <w:rPr>
                <w:color w:val="000000"/>
                <w:kern w:val="0"/>
                <w:sz w:val="24"/>
                <w:szCs w:val="20"/>
              </w:rPr>
              <w:t>公司强化安全、消防和环保管理，完善环保安全管理机构，完善各项管理制度，加强日常监督检查；车间内严禁烟火。</w:t>
            </w:r>
          </w:p>
          <w:p>
            <w:pPr>
              <w:widowControl/>
              <w:adjustRightInd w:val="0"/>
              <w:snapToGrid w:val="0"/>
              <w:spacing w:line="360" w:lineRule="auto"/>
              <w:ind w:firstLine="480" w:firstLineChars="200"/>
              <w:rPr>
                <w:color w:val="000000"/>
                <w:kern w:val="0"/>
                <w:sz w:val="24"/>
                <w:szCs w:val="20"/>
              </w:rPr>
            </w:pPr>
            <w:r>
              <w:rPr>
                <w:color w:val="000000"/>
                <w:kern w:val="0"/>
                <w:sz w:val="24"/>
                <w:szCs w:val="20"/>
              </w:rPr>
              <w:t>(2)仓库泄漏事故风险防范措施</w:t>
            </w:r>
          </w:p>
          <w:p>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①</w:t>
            </w:r>
            <w:r>
              <w:rPr>
                <w:color w:val="000000"/>
                <w:kern w:val="0"/>
                <w:sz w:val="24"/>
                <w:szCs w:val="20"/>
              </w:rPr>
              <w:t>在原料仓库内设置专门的危险化学品仓库，地面采取防渗，四周设置围堰，设置警示标识等。</w:t>
            </w:r>
          </w:p>
          <w:p>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②</w:t>
            </w:r>
            <w:r>
              <w:rPr>
                <w:rFonts w:hint="eastAsia"/>
                <w:color w:val="000000"/>
                <w:sz w:val="24"/>
              </w:rPr>
              <w:t>危险废物贮存库</w:t>
            </w:r>
            <w:r>
              <w:rPr>
                <w:rFonts w:hint="eastAsia"/>
                <w:color w:val="000000"/>
                <w:kern w:val="0"/>
                <w:sz w:val="24"/>
                <w:szCs w:val="20"/>
              </w:rPr>
              <w:t>间</w:t>
            </w:r>
            <w:r>
              <w:rPr>
                <w:color w:val="000000"/>
                <w:kern w:val="0"/>
                <w:sz w:val="24"/>
                <w:szCs w:val="20"/>
              </w:rPr>
              <w:t>周围设置围堰及防渗。</w:t>
            </w:r>
          </w:p>
          <w:p>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③</w:t>
            </w:r>
            <w:r>
              <w:rPr>
                <w:color w:val="000000"/>
                <w:kern w:val="0"/>
                <w:sz w:val="24"/>
                <w:szCs w:val="20"/>
              </w:rPr>
              <w:t>仓库严禁明火，严格遵守操作规程，避免因操作失误发生事故。</w:t>
            </w:r>
          </w:p>
          <w:p>
            <w:pPr>
              <w:widowControl/>
              <w:adjustRightInd w:val="0"/>
              <w:snapToGrid w:val="0"/>
              <w:spacing w:line="360" w:lineRule="auto"/>
              <w:ind w:firstLine="480" w:firstLineChars="200"/>
              <w:rPr>
                <w:color w:val="000000"/>
                <w:kern w:val="0"/>
                <w:sz w:val="24"/>
                <w:szCs w:val="20"/>
              </w:rPr>
            </w:pPr>
            <w:r>
              <w:rPr>
                <w:rFonts w:hint="eastAsia" w:ascii="宋体" w:hAnsi="宋体" w:cs="宋体"/>
                <w:color w:val="000000"/>
                <w:kern w:val="0"/>
                <w:sz w:val="24"/>
                <w:szCs w:val="20"/>
              </w:rPr>
              <w:t>④</w:t>
            </w:r>
            <w:r>
              <w:rPr>
                <w:color w:val="000000"/>
                <w:kern w:val="0"/>
                <w:sz w:val="24"/>
                <w:szCs w:val="20"/>
              </w:rPr>
              <w:t>配备相应的堵漏材料(砂袋、吸油毡等)。</w:t>
            </w:r>
          </w:p>
          <w:p>
            <w:pPr>
              <w:keepNext/>
              <w:spacing w:before="72" w:beforeLines="30" w:after="48" w:afterLines="20" w:line="360" w:lineRule="auto"/>
              <w:jc w:val="left"/>
              <w:outlineLvl w:val="3"/>
              <w:rPr>
                <w:b/>
                <w:bCs/>
                <w:color w:val="000000"/>
                <w:kern w:val="0"/>
                <w:sz w:val="24"/>
                <w:szCs w:val="28"/>
              </w:rPr>
            </w:pPr>
            <w:r>
              <w:rPr>
                <w:b/>
                <w:bCs/>
                <w:color w:val="000000"/>
                <w:kern w:val="0"/>
                <w:sz w:val="24"/>
                <w:szCs w:val="28"/>
              </w:rPr>
              <w:t>4.2.6.3风险分析结论</w:t>
            </w:r>
          </w:p>
          <w:p>
            <w:pPr>
              <w:adjustRightInd w:val="0"/>
              <w:snapToGrid w:val="0"/>
              <w:spacing w:line="360" w:lineRule="auto"/>
              <w:ind w:firstLine="480" w:firstLineChars="200"/>
              <w:rPr>
                <w:color w:val="000000"/>
                <w:sz w:val="24"/>
              </w:rPr>
            </w:pPr>
            <w:r>
              <w:rPr>
                <w:color w:val="000000"/>
                <w:sz w:val="24"/>
                <w:lang w:val="en-GB"/>
              </w:rPr>
              <w:t>本项目</w:t>
            </w:r>
            <w:r>
              <w:rPr>
                <w:rFonts w:hint="eastAsia"/>
                <w:color w:val="000000"/>
                <w:sz w:val="24"/>
                <w:lang w:val="en-GB"/>
              </w:rPr>
              <w:t>不存在</w:t>
            </w:r>
            <w:r>
              <w:rPr>
                <w:color w:val="000000"/>
                <w:sz w:val="24"/>
                <w:lang w:val="en-GB"/>
              </w:rPr>
              <w:t>环境风险物质，不构成重大危险源。配套相应的</w:t>
            </w:r>
            <w:r>
              <w:rPr>
                <w:rFonts w:hint="eastAsia"/>
                <w:color w:val="000000"/>
                <w:sz w:val="24"/>
                <w:lang w:val="en-GB" w:eastAsia="zh-CN"/>
              </w:rPr>
              <w:t>应急物资</w:t>
            </w:r>
            <w:r>
              <w:rPr>
                <w:color w:val="000000"/>
                <w:sz w:val="24"/>
                <w:lang w:val="en-GB"/>
              </w:rPr>
              <w:t>的前提下，事故发生概率很低，经过采取妥善的风险防范措施，本项目环境风险在可接受的范围内</w:t>
            </w:r>
            <w:r>
              <w:rPr>
                <w:color w:val="000000"/>
                <w:sz w:val="24"/>
              </w:rPr>
              <w:t>。</w:t>
            </w:r>
          </w:p>
          <w:p>
            <w:pPr>
              <w:adjustRightInd w:val="0"/>
              <w:snapToGrid w:val="0"/>
              <w:spacing w:line="360" w:lineRule="auto"/>
              <w:jc w:val="left"/>
              <w:rPr>
                <w:b/>
                <w:bCs/>
                <w:color w:val="000000"/>
              </w:rPr>
            </w:pPr>
            <w:r>
              <w:rPr>
                <w:rFonts w:hint="eastAsia"/>
                <w:b/>
                <w:bCs/>
                <w:color w:val="000000"/>
              </w:rPr>
              <w:t>4.2.7运营期生态影响和污染治理措施</w:t>
            </w:r>
          </w:p>
          <w:p>
            <w:pPr>
              <w:adjustRightInd w:val="0"/>
              <w:snapToGrid w:val="0"/>
              <w:spacing w:line="360" w:lineRule="auto"/>
              <w:ind w:firstLine="480" w:firstLineChars="200"/>
              <w:rPr>
                <w:color w:val="000000"/>
                <w:sz w:val="24"/>
                <w:lang w:val="en-GB"/>
              </w:rPr>
            </w:pPr>
            <w:r>
              <w:rPr>
                <w:rFonts w:hint="eastAsia"/>
                <w:color w:val="000000"/>
                <w:sz w:val="24"/>
                <w:lang w:val="en-GB"/>
              </w:rPr>
              <w:t>本项目不涉及</w:t>
            </w:r>
          </w:p>
          <w:p>
            <w:pPr>
              <w:adjustRightInd w:val="0"/>
              <w:snapToGrid w:val="0"/>
              <w:spacing w:line="360" w:lineRule="auto"/>
              <w:jc w:val="left"/>
              <w:rPr>
                <w:b/>
                <w:bCs/>
                <w:color w:val="000000"/>
              </w:rPr>
            </w:pPr>
            <w:r>
              <w:rPr>
                <w:rFonts w:hint="eastAsia"/>
                <w:b/>
                <w:bCs/>
                <w:color w:val="000000"/>
              </w:rPr>
              <w:t>4.2.8运营期电磁辐射影响和污染治理措施</w:t>
            </w:r>
          </w:p>
          <w:p>
            <w:pPr>
              <w:adjustRightInd w:val="0"/>
              <w:snapToGrid w:val="0"/>
              <w:spacing w:line="360" w:lineRule="auto"/>
              <w:ind w:firstLine="480" w:firstLineChars="200"/>
              <w:rPr>
                <w:bCs/>
                <w:color w:val="000000"/>
                <w:spacing w:val="-10"/>
                <w:szCs w:val="21"/>
              </w:rPr>
            </w:pPr>
            <w:r>
              <w:rPr>
                <w:rFonts w:hint="eastAsia"/>
                <w:color w:val="000000"/>
                <w:sz w:val="24"/>
                <w:lang w:val="en-GB"/>
              </w:rPr>
              <w:t>本项目不涉及</w:t>
            </w:r>
          </w:p>
        </w:tc>
      </w:tr>
    </w:tbl>
    <w:p>
      <w:pPr>
        <w:adjustRightInd w:val="0"/>
        <w:snapToGrid w:val="0"/>
        <w:spacing w:line="360" w:lineRule="auto"/>
        <w:rPr>
          <w:b/>
          <w:color w:val="000000"/>
          <w:kern w:val="0"/>
          <w:sz w:val="28"/>
          <w:szCs w:val="28"/>
        </w:rPr>
        <w:sectPr>
          <w:pgSz w:w="11907" w:h="16840"/>
          <w:pgMar w:top="1701" w:right="1531" w:bottom="2127" w:left="1531" w:header="851" w:footer="851" w:gutter="0"/>
          <w:cols w:space="720" w:num="1"/>
          <w:docGrid w:linePitch="312" w:charSpace="0"/>
        </w:sectPr>
      </w:pPr>
    </w:p>
    <w:p>
      <w:pPr>
        <w:pStyle w:val="1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五、</w:t>
      </w:r>
      <w:bookmarkStart w:id="45" w:name="_Hlk54167917"/>
      <w:r>
        <w:rPr>
          <w:rFonts w:ascii="Times New Roman" w:hAnsi="Times New Roman" w:eastAsia="黑体"/>
          <w:snapToGrid w:val="0"/>
          <w:color w:val="000000"/>
          <w:sz w:val="30"/>
          <w:szCs w:val="30"/>
        </w:rPr>
        <w:t>环境保护措施监督检查清单</w:t>
      </w:r>
      <w:bookmarkEnd w:id="45"/>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32"/>
        <w:gridCol w:w="850"/>
        <w:gridCol w:w="1134"/>
        <w:gridCol w:w="1278"/>
        <w:gridCol w:w="13"/>
        <w:gridCol w:w="1688"/>
        <w:gridCol w:w="30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tcPr>
          <w:p>
            <w:pPr>
              <w:adjustRightInd w:val="0"/>
              <w:snapToGrid w:val="0"/>
              <w:jc w:val="right"/>
              <w:rPr>
                <w:color w:val="000000"/>
                <w:szCs w:val="21"/>
              </w:rPr>
            </w:pPr>
            <w:bookmarkStart w:id="46" w:name="_Hlk141382422"/>
            <w:r>
              <w:rPr>
                <w:color w:val="000000"/>
                <w:szCs w:val="21"/>
              </w:rPr>
              <w:t>内容</w:t>
            </w:r>
          </w:p>
          <w:p>
            <w:pPr>
              <w:adjustRightInd w:val="0"/>
              <w:snapToGrid w:val="0"/>
              <w:rPr>
                <w:color w:val="000000"/>
                <w:szCs w:val="21"/>
              </w:rPr>
            </w:pPr>
            <w:r>
              <w:rPr>
                <w:color w:val="000000"/>
                <w:szCs w:val="21"/>
              </w:rPr>
              <w:t>要素</w:t>
            </w:r>
          </w:p>
        </w:tc>
        <w:tc>
          <w:tcPr>
            <w:tcW w:w="1984" w:type="dxa"/>
            <w:gridSpan w:val="2"/>
            <w:vAlign w:val="center"/>
          </w:tcPr>
          <w:p>
            <w:pPr>
              <w:adjustRightInd w:val="0"/>
              <w:snapToGrid w:val="0"/>
              <w:jc w:val="center"/>
              <w:rPr>
                <w:color w:val="000000"/>
                <w:szCs w:val="21"/>
              </w:rPr>
            </w:pPr>
            <w:r>
              <w:rPr>
                <w:color w:val="000000"/>
                <w:szCs w:val="21"/>
              </w:rPr>
              <w:t>排放口(编号、名称)/污染源</w:t>
            </w:r>
          </w:p>
        </w:tc>
        <w:tc>
          <w:tcPr>
            <w:tcW w:w="1278" w:type="dxa"/>
            <w:vAlign w:val="center"/>
          </w:tcPr>
          <w:p>
            <w:pPr>
              <w:adjustRightInd w:val="0"/>
              <w:snapToGrid w:val="0"/>
              <w:jc w:val="center"/>
              <w:rPr>
                <w:color w:val="000000"/>
                <w:szCs w:val="21"/>
              </w:rPr>
            </w:pPr>
            <w:r>
              <w:rPr>
                <w:color w:val="000000"/>
                <w:szCs w:val="21"/>
              </w:rPr>
              <w:t>污染物项目</w:t>
            </w:r>
          </w:p>
        </w:tc>
        <w:tc>
          <w:tcPr>
            <w:tcW w:w="1701" w:type="dxa"/>
            <w:gridSpan w:val="2"/>
            <w:vAlign w:val="center"/>
          </w:tcPr>
          <w:p>
            <w:pPr>
              <w:adjustRightInd w:val="0"/>
              <w:snapToGrid w:val="0"/>
              <w:jc w:val="center"/>
              <w:rPr>
                <w:color w:val="000000"/>
                <w:szCs w:val="21"/>
              </w:rPr>
            </w:pPr>
            <w:r>
              <w:rPr>
                <w:color w:val="000000"/>
                <w:szCs w:val="21"/>
              </w:rPr>
              <w:t>环境保护措施</w:t>
            </w:r>
          </w:p>
        </w:tc>
        <w:tc>
          <w:tcPr>
            <w:tcW w:w="3010" w:type="dxa"/>
            <w:vAlign w:val="center"/>
          </w:tcPr>
          <w:p>
            <w:pPr>
              <w:adjustRightInd w:val="0"/>
              <w:snapToGrid w:val="0"/>
              <w:jc w:val="center"/>
              <w:rPr>
                <w:color w:val="000000"/>
                <w:szCs w:val="21"/>
              </w:rPr>
            </w:pPr>
            <w:r>
              <w:rPr>
                <w:color w:val="000000"/>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restart"/>
            <w:vAlign w:val="center"/>
          </w:tcPr>
          <w:p>
            <w:pPr>
              <w:adjustRightInd w:val="0"/>
              <w:snapToGrid w:val="0"/>
              <w:jc w:val="center"/>
              <w:rPr>
                <w:color w:val="000000"/>
                <w:szCs w:val="21"/>
              </w:rPr>
            </w:pPr>
            <w:r>
              <w:rPr>
                <w:color w:val="000000"/>
                <w:szCs w:val="21"/>
              </w:rPr>
              <w:t>大气环境</w:t>
            </w:r>
          </w:p>
        </w:tc>
        <w:tc>
          <w:tcPr>
            <w:tcW w:w="850" w:type="dxa"/>
            <w:tcBorders>
              <w:right w:val="single" w:color="auto" w:sz="4" w:space="0"/>
            </w:tcBorders>
            <w:vAlign w:val="center"/>
          </w:tcPr>
          <w:p>
            <w:pPr>
              <w:adjustRightInd w:val="0"/>
              <w:snapToGrid w:val="0"/>
              <w:jc w:val="center"/>
              <w:rPr>
                <w:color w:val="000000"/>
                <w:szCs w:val="21"/>
              </w:rPr>
            </w:pPr>
            <w:r>
              <w:rPr>
                <w:color w:val="000000"/>
                <w:szCs w:val="21"/>
              </w:rPr>
              <w:t>P</w:t>
            </w:r>
            <w:r>
              <w:rPr>
                <w:rFonts w:hint="eastAsia"/>
                <w:color w:val="000000"/>
                <w:szCs w:val="21"/>
              </w:rPr>
              <w:t>1造粒、打样废气排气筒</w:t>
            </w:r>
          </w:p>
        </w:tc>
        <w:tc>
          <w:tcPr>
            <w:tcW w:w="1134" w:type="dxa"/>
            <w:tcBorders>
              <w:left w:val="single" w:color="auto" w:sz="4" w:space="0"/>
            </w:tcBorders>
            <w:vAlign w:val="center"/>
          </w:tcPr>
          <w:p>
            <w:pPr>
              <w:adjustRightInd w:val="0"/>
              <w:snapToGrid w:val="0"/>
              <w:jc w:val="center"/>
              <w:rPr>
                <w:color w:val="000000"/>
                <w:szCs w:val="21"/>
              </w:rPr>
            </w:pPr>
            <w:r>
              <w:rPr>
                <w:rFonts w:hint="eastAsia"/>
                <w:color w:val="000000"/>
                <w:szCs w:val="21"/>
              </w:rPr>
              <w:t>造粒废气、打样废气</w:t>
            </w:r>
          </w:p>
        </w:tc>
        <w:tc>
          <w:tcPr>
            <w:tcW w:w="1278" w:type="dxa"/>
            <w:vAlign w:val="center"/>
          </w:tcPr>
          <w:p>
            <w:pPr>
              <w:adjustRightInd w:val="0"/>
              <w:snapToGrid w:val="0"/>
              <w:jc w:val="center"/>
              <w:rPr>
                <w:color w:val="000000"/>
                <w:szCs w:val="21"/>
              </w:rPr>
            </w:pPr>
            <w:r>
              <w:rPr>
                <w:rFonts w:hint="eastAsia"/>
                <w:color w:val="000000"/>
                <w:szCs w:val="21"/>
              </w:rPr>
              <w:t>非甲烷总烃、臭气浓度</w:t>
            </w:r>
          </w:p>
        </w:tc>
        <w:tc>
          <w:tcPr>
            <w:tcW w:w="1701" w:type="dxa"/>
            <w:gridSpan w:val="2"/>
            <w:vAlign w:val="center"/>
          </w:tcPr>
          <w:p>
            <w:pPr>
              <w:adjustRightInd w:val="0"/>
              <w:snapToGrid w:val="0"/>
              <w:jc w:val="center"/>
              <w:rPr>
                <w:color w:val="000000"/>
                <w:szCs w:val="21"/>
              </w:rPr>
            </w:pPr>
            <w:r>
              <w:rPr>
                <w:rFonts w:hint="eastAsia"/>
                <w:color w:val="000000"/>
                <w:szCs w:val="21"/>
              </w:rPr>
              <w:t>集气罩+活性炭吸附</w:t>
            </w:r>
            <w:r>
              <w:rPr>
                <w:color w:val="000000"/>
                <w:szCs w:val="21"/>
              </w:rPr>
              <w:t>+</w:t>
            </w:r>
            <w:r>
              <w:rPr>
                <w:rFonts w:hint="eastAsia"/>
                <w:color w:val="000000"/>
                <w:szCs w:val="21"/>
              </w:rPr>
              <w:t>排气筒P1（15m）</w:t>
            </w:r>
          </w:p>
        </w:tc>
        <w:tc>
          <w:tcPr>
            <w:tcW w:w="3010" w:type="dxa"/>
            <w:vAlign w:val="center"/>
          </w:tcPr>
          <w:p>
            <w:pPr>
              <w:jc w:val="center"/>
              <w:rPr>
                <w:rFonts w:hint="eastAsia" w:hAnsi="宋体"/>
                <w:color w:val="000000"/>
              </w:rPr>
            </w:pPr>
            <w:r>
              <w:rPr>
                <w:rFonts w:hint="eastAsia"/>
                <w:color w:val="000000"/>
                <w:szCs w:val="21"/>
              </w:rPr>
              <w:t>非甲烷总烃执行</w:t>
            </w:r>
            <w:r>
              <w:rPr>
                <w:color w:val="000000"/>
                <w:szCs w:val="21"/>
              </w:rPr>
              <w:t>《合成树脂工业污染物排放标准》（GB31572-2015）</w:t>
            </w:r>
            <w:r>
              <w:rPr>
                <w:rFonts w:hint="eastAsia"/>
                <w:color w:val="000000"/>
                <w:szCs w:val="21"/>
              </w:rPr>
              <w:t>（含2024修改单）表5</w:t>
            </w:r>
            <w:r>
              <w:rPr>
                <w:color w:val="000000"/>
                <w:szCs w:val="21"/>
              </w:rPr>
              <w:t>中相关排放限值要求</w:t>
            </w:r>
            <w:r>
              <w:rPr>
                <w:rFonts w:hint="eastAsia"/>
                <w:color w:val="000000"/>
                <w:szCs w:val="21"/>
              </w:rPr>
              <w:t>，非甲烷总烃排放浓度</w:t>
            </w:r>
            <w:r>
              <w:rPr>
                <w:color w:val="000000"/>
                <w:szCs w:val="21"/>
              </w:rPr>
              <w:t>≤60mg/m</w:t>
            </w:r>
            <w:r>
              <w:rPr>
                <w:color w:val="000000"/>
                <w:szCs w:val="21"/>
                <w:vertAlign w:val="superscript"/>
              </w:rPr>
              <w:t>3</w:t>
            </w:r>
            <w:r>
              <w:rPr>
                <w:rFonts w:hint="eastAsia"/>
                <w:color w:val="000000"/>
                <w:kern w:val="21"/>
                <w:szCs w:val="21"/>
              </w:rPr>
              <w:t>；</w:t>
            </w:r>
            <w:r>
              <w:rPr>
                <w:rFonts w:hint="eastAsia"/>
                <w:color w:val="000000"/>
                <w:szCs w:val="21"/>
              </w:rPr>
              <w:t>臭</w:t>
            </w:r>
            <w:r>
              <w:rPr>
                <w:rFonts w:hint="eastAsia" w:hAnsi="宋体"/>
                <w:color w:val="000000"/>
              </w:rPr>
              <w:t>气浓度</w:t>
            </w:r>
            <w:r>
              <w:rPr>
                <w:rFonts w:hint="eastAsia"/>
                <w:bCs/>
                <w:color w:val="000000"/>
                <w:szCs w:val="21"/>
              </w:rPr>
              <w:t>执行</w:t>
            </w:r>
            <w:r>
              <w:rPr>
                <w:bCs/>
                <w:color w:val="000000"/>
                <w:szCs w:val="21"/>
              </w:rPr>
              <w:t>《恶臭污染物排放标准》（GB14554-93）中表2限值要求</w:t>
            </w:r>
            <w:r>
              <w:rPr>
                <w:rFonts w:hint="eastAsia"/>
                <w:bCs/>
                <w:color w:val="000000"/>
                <w:szCs w:val="21"/>
              </w:rPr>
              <w:t>（</w:t>
            </w:r>
            <w:r>
              <w:rPr>
                <w:bCs/>
                <w:color w:val="000000"/>
                <w:szCs w:val="21"/>
              </w:rPr>
              <w:t>臭气浓度≤</w:t>
            </w:r>
            <w:r>
              <w:rPr>
                <w:rFonts w:hint="eastAsia"/>
                <w:bCs/>
                <w:color w:val="000000"/>
                <w:szCs w:val="21"/>
              </w:rPr>
              <w:t>2000（无量纲））</w:t>
            </w:r>
            <w:r>
              <w:rPr>
                <w:rFonts w:hAnsi="宋体"/>
                <w:color w:val="000000"/>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continue"/>
            <w:vAlign w:val="center"/>
          </w:tcPr>
          <w:p>
            <w:pPr>
              <w:adjustRightInd w:val="0"/>
              <w:snapToGrid w:val="0"/>
              <w:jc w:val="center"/>
              <w:rPr>
                <w:color w:val="000000"/>
                <w:szCs w:val="21"/>
              </w:rPr>
            </w:pPr>
          </w:p>
        </w:tc>
        <w:tc>
          <w:tcPr>
            <w:tcW w:w="850" w:type="dxa"/>
            <w:tcBorders>
              <w:right w:val="single" w:color="auto" w:sz="4" w:space="0"/>
            </w:tcBorders>
            <w:vAlign w:val="center"/>
          </w:tcPr>
          <w:p>
            <w:pPr>
              <w:adjustRightInd w:val="0"/>
              <w:snapToGrid w:val="0"/>
              <w:jc w:val="center"/>
              <w:rPr>
                <w:color w:val="000000"/>
                <w:szCs w:val="21"/>
              </w:rPr>
            </w:pPr>
            <w:r>
              <w:rPr>
                <w:color w:val="000000"/>
                <w:szCs w:val="21"/>
              </w:rPr>
              <w:t>P</w:t>
            </w:r>
            <w:r>
              <w:rPr>
                <w:rFonts w:hint="eastAsia"/>
                <w:color w:val="000000"/>
                <w:szCs w:val="21"/>
              </w:rPr>
              <w:t>2投料废气排气筒</w:t>
            </w:r>
          </w:p>
        </w:tc>
        <w:tc>
          <w:tcPr>
            <w:tcW w:w="1134" w:type="dxa"/>
            <w:tcBorders>
              <w:left w:val="single" w:color="auto" w:sz="4" w:space="0"/>
            </w:tcBorders>
            <w:vAlign w:val="center"/>
          </w:tcPr>
          <w:p>
            <w:pPr>
              <w:adjustRightInd w:val="0"/>
              <w:snapToGrid w:val="0"/>
              <w:jc w:val="center"/>
              <w:rPr>
                <w:color w:val="000000"/>
                <w:szCs w:val="21"/>
              </w:rPr>
            </w:pPr>
            <w:r>
              <w:rPr>
                <w:rFonts w:hint="eastAsia"/>
                <w:color w:val="000000"/>
                <w:szCs w:val="21"/>
              </w:rPr>
              <w:t>投料废气</w:t>
            </w:r>
          </w:p>
        </w:tc>
        <w:tc>
          <w:tcPr>
            <w:tcW w:w="1278" w:type="dxa"/>
            <w:vAlign w:val="center"/>
          </w:tcPr>
          <w:p>
            <w:pPr>
              <w:adjustRightInd w:val="0"/>
              <w:snapToGrid w:val="0"/>
              <w:jc w:val="center"/>
              <w:rPr>
                <w:color w:val="000000"/>
                <w:szCs w:val="21"/>
              </w:rPr>
            </w:pPr>
            <w:r>
              <w:rPr>
                <w:rFonts w:hint="eastAsia"/>
                <w:color w:val="000000"/>
                <w:szCs w:val="21"/>
              </w:rPr>
              <w:t>颗粒物</w:t>
            </w:r>
          </w:p>
        </w:tc>
        <w:tc>
          <w:tcPr>
            <w:tcW w:w="1701" w:type="dxa"/>
            <w:gridSpan w:val="2"/>
            <w:vAlign w:val="center"/>
          </w:tcPr>
          <w:p>
            <w:pPr>
              <w:adjustRightInd w:val="0"/>
              <w:snapToGrid w:val="0"/>
              <w:jc w:val="center"/>
              <w:rPr>
                <w:color w:val="000000"/>
                <w:szCs w:val="21"/>
              </w:rPr>
            </w:pPr>
            <w:r>
              <w:rPr>
                <w:rFonts w:hint="eastAsia"/>
                <w:color w:val="000000"/>
                <w:szCs w:val="21"/>
              </w:rPr>
              <w:t>集气罩+布袋除尘器</w:t>
            </w:r>
            <w:r>
              <w:rPr>
                <w:color w:val="000000"/>
                <w:szCs w:val="21"/>
              </w:rPr>
              <w:t>+</w:t>
            </w:r>
            <w:r>
              <w:rPr>
                <w:rFonts w:hint="eastAsia"/>
                <w:color w:val="000000"/>
                <w:szCs w:val="21"/>
              </w:rPr>
              <w:t>排气筒P2（15m）</w:t>
            </w:r>
          </w:p>
        </w:tc>
        <w:tc>
          <w:tcPr>
            <w:tcW w:w="3010" w:type="dxa"/>
            <w:vAlign w:val="center"/>
          </w:tcPr>
          <w:p>
            <w:pPr>
              <w:jc w:val="center"/>
              <w:rPr>
                <w:color w:val="000000"/>
                <w:szCs w:val="21"/>
              </w:rPr>
            </w:pPr>
            <w:r>
              <w:rPr>
                <w:rFonts w:hint="eastAsia"/>
                <w:color w:val="000000"/>
                <w:szCs w:val="21"/>
              </w:rPr>
              <w:t>颗粒物烃执行</w:t>
            </w:r>
            <w:r>
              <w:rPr>
                <w:color w:val="000000"/>
                <w:szCs w:val="21"/>
              </w:rPr>
              <w:t>《合成树脂工业污染物排放标准》（GB31572-2015）（含2024修改单）</w:t>
            </w:r>
            <w:r>
              <w:rPr>
                <w:rFonts w:hint="eastAsia"/>
                <w:color w:val="000000"/>
                <w:szCs w:val="21"/>
              </w:rPr>
              <w:t>表5</w:t>
            </w:r>
            <w:r>
              <w:rPr>
                <w:color w:val="000000"/>
                <w:szCs w:val="21"/>
              </w:rPr>
              <w:t>中相关排放限值要求</w:t>
            </w:r>
            <w:r>
              <w:rPr>
                <w:rFonts w:hint="eastAsia"/>
                <w:color w:val="000000"/>
                <w:szCs w:val="21"/>
              </w:rPr>
              <w:t>，颗粒物排放浓度</w:t>
            </w:r>
            <w:r>
              <w:rPr>
                <w:color w:val="000000"/>
                <w:szCs w:val="21"/>
              </w:rPr>
              <w:t>≤</w:t>
            </w:r>
            <w:r>
              <w:rPr>
                <w:rFonts w:hint="eastAsia"/>
                <w:color w:val="000000"/>
                <w:szCs w:val="21"/>
              </w:rPr>
              <w:t>2</w:t>
            </w:r>
            <w:r>
              <w:rPr>
                <w:color w:val="000000"/>
                <w:szCs w:val="21"/>
              </w:rPr>
              <w:t>0mg/m</w:t>
            </w:r>
            <w:r>
              <w:rPr>
                <w:color w:val="000000"/>
                <w:szCs w:val="21"/>
                <w:vertAlign w:val="superscript"/>
              </w:rPr>
              <w:t>3</w:t>
            </w:r>
            <w:r>
              <w:rPr>
                <w:rFonts w:hint="eastAsia"/>
                <w:color w:val="000000"/>
                <w:kern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continue"/>
            <w:vAlign w:val="center"/>
          </w:tcPr>
          <w:p>
            <w:pPr>
              <w:adjustRightInd w:val="0"/>
              <w:snapToGrid w:val="0"/>
              <w:jc w:val="center"/>
              <w:rPr>
                <w:color w:val="000000"/>
                <w:szCs w:val="21"/>
              </w:rPr>
            </w:pPr>
          </w:p>
        </w:tc>
        <w:tc>
          <w:tcPr>
            <w:tcW w:w="1984" w:type="dxa"/>
            <w:gridSpan w:val="2"/>
            <w:vAlign w:val="center"/>
          </w:tcPr>
          <w:p>
            <w:pPr>
              <w:jc w:val="center"/>
              <w:rPr>
                <w:color w:val="000000"/>
                <w:kern w:val="21"/>
                <w:szCs w:val="21"/>
              </w:rPr>
            </w:pPr>
            <w:r>
              <w:rPr>
                <w:rFonts w:hint="eastAsia"/>
                <w:color w:val="000000"/>
                <w:kern w:val="21"/>
                <w:szCs w:val="21"/>
              </w:rPr>
              <w:t>厂界无组织</w:t>
            </w:r>
          </w:p>
        </w:tc>
        <w:tc>
          <w:tcPr>
            <w:tcW w:w="1278" w:type="dxa"/>
            <w:vAlign w:val="center"/>
          </w:tcPr>
          <w:p>
            <w:pPr>
              <w:jc w:val="center"/>
              <w:rPr>
                <w:color w:val="000000"/>
                <w:kern w:val="21"/>
                <w:szCs w:val="21"/>
              </w:rPr>
            </w:pPr>
            <w:r>
              <w:rPr>
                <w:rFonts w:hint="eastAsia"/>
                <w:color w:val="000000"/>
                <w:kern w:val="21"/>
                <w:szCs w:val="21"/>
              </w:rPr>
              <w:t>非甲烷总烃、颗粒物</w:t>
            </w:r>
          </w:p>
        </w:tc>
        <w:tc>
          <w:tcPr>
            <w:tcW w:w="1701" w:type="dxa"/>
            <w:gridSpan w:val="2"/>
            <w:vMerge w:val="restart"/>
            <w:vAlign w:val="center"/>
          </w:tcPr>
          <w:p>
            <w:pPr>
              <w:adjustRightInd w:val="0"/>
              <w:snapToGrid w:val="0"/>
              <w:jc w:val="center"/>
              <w:rPr>
                <w:color w:val="000000"/>
                <w:szCs w:val="21"/>
              </w:rPr>
            </w:pPr>
            <w:r>
              <w:rPr>
                <w:rFonts w:hint="eastAsia"/>
                <w:color w:val="000000"/>
              </w:rPr>
              <w:t>提高收集气效率</w:t>
            </w:r>
          </w:p>
        </w:tc>
        <w:tc>
          <w:tcPr>
            <w:tcW w:w="3010" w:type="dxa"/>
            <w:vAlign w:val="center"/>
          </w:tcPr>
          <w:p>
            <w:pPr>
              <w:jc w:val="center"/>
              <w:rPr>
                <w:color w:val="000000"/>
              </w:rPr>
            </w:pPr>
            <w:r>
              <w:rPr>
                <w:color w:val="000000"/>
                <w:szCs w:val="21"/>
              </w:rPr>
              <w:t>《合成树脂工业污染物排放标准》（GB31572-2015）（含2024修改单）</w:t>
            </w:r>
            <w:r>
              <w:rPr>
                <w:rFonts w:hint="eastAsia"/>
                <w:color w:val="000000"/>
                <w:szCs w:val="21"/>
              </w:rPr>
              <w:t>表9</w:t>
            </w:r>
            <w:r>
              <w:rPr>
                <w:color w:val="000000"/>
                <w:szCs w:val="21"/>
              </w:rPr>
              <w:t>中相关排放限值要求</w:t>
            </w:r>
            <w:r>
              <w:rPr>
                <w:rFonts w:hint="eastAsia"/>
                <w:color w:val="000000"/>
                <w:szCs w:val="21"/>
              </w:rPr>
              <w:t>，非甲烷总烃浓度</w:t>
            </w:r>
            <w:r>
              <w:rPr>
                <w:color w:val="000000"/>
                <w:szCs w:val="21"/>
              </w:rPr>
              <w:t>≤4.0mg/m</w:t>
            </w:r>
            <w:r>
              <w:rPr>
                <w:color w:val="000000"/>
                <w:szCs w:val="21"/>
                <w:vertAlign w:val="superscript"/>
              </w:rPr>
              <w:t>3</w:t>
            </w:r>
            <w:r>
              <w:rPr>
                <w:rFonts w:hint="eastAsia"/>
                <w:color w:val="000000"/>
                <w:szCs w:val="21"/>
              </w:rPr>
              <w:t>，颗粒物浓度</w:t>
            </w:r>
            <w:r>
              <w:rPr>
                <w:color w:val="000000"/>
                <w:szCs w:val="21"/>
              </w:rPr>
              <w:t>≤</w:t>
            </w:r>
            <w:r>
              <w:rPr>
                <w:rFonts w:hint="eastAsia"/>
                <w:color w:val="000000"/>
                <w:szCs w:val="21"/>
              </w:rPr>
              <w:t>1</w:t>
            </w:r>
            <w:r>
              <w:rPr>
                <w:color w:val="000000"/>
                <w:szCs w:val="21"/>
              </w:rPr>
              <w:t>.0mg/m</w:t>
            </w:r>
            <w:r>
              <w:rPr>
                <w:color w:val="000000"/>
                <w:szCs w:val="21"/>
                <w:vertAlign w:val="superscript"/>
              </w:rPr>
              <w:t>3</w:t>
            </w:r>
            <w:r>
              <w:rPr>
                <w:rFonts w:hint="eastAsia"/>
                <w:color w:val="000000"/>
                <w:szCs w:val="21"/>
              </w:rPr>
              <w:t>；臭气浓度</w:t>
            </w:r>
            <w:r>
              <w:rPr>
                <w:color w:val="000000"/>
                <w:szCs w:val="21"/>
              </w:rPr>
              <w:t>排放标准》</w:t>
            </w:r>
            <w:r>
              <w:rPr>
                <w:rFonts w:hint="eastAsia"/>
                <w:color w:val="000000"/>
                <w:szCs w:val="21"/>
              </w:rPr>
              <w:t>（</w:t>
            </w:r>
            <w:r>
              <w:rPr>
                <w:color w:val="000000"/>
                <w:szCs w:val="21"/>
              </w:rPr>
              <w:t>GB14554-93</w:t>
            </w:r>
            <w:r>
              <w:rPr>
                <w:rFonts w:hint="eastAsia"/>
                <w:color w:val="000000"/>
                <w:szCs w:val="21"/>
              </w:rPr>
              <w:t>）</w:t>
            </w:r>
            <w:r>
              <w:rPr>
                <w:color w:val="000000"/>
                <w:szCs w:val="21"/>
              </w:rPr>
              <w:t>)表1中二级新扩改建的恶臭污染物厂界标准值</w:t>
            </w:r>
            <w:r>
              <w:rPr>
                <w:bCs/>
                <w:color w:val="000000"/>
                <w:szCs w:val="21"/>
              </w:rPr>
              <w:t>（</w:t>
            </w:r>
            <w:r>
              <w:rPr>
                <w:rFonts w:hint="eastAsia"/>
                <w:color w:val="000000"/>
                <w:szCs w:val="21"/>
              </w:rPr>
              <w:t>臭气浓度</w:t>
            </w:r>
            <w:r>
              <w:rPr>
                <w:bCs/>
                <w:color w:val="000000"/>
                <w:szCs w:val="21"/>
              </w:rPr>
              <w:t>≤</w:t>
            </w:r>
            <w:r>
              <w:rPr>
                <w:rFonts w:hint="eastAsia"/>
                <w:bCs/>
                <w:color w:val="000000"/>
                <w:szCs w:val="21"/>
              </w:rPr>
              <w:t>20（无量纲）</w:t>
            </w:r>
            <w:r>
              <w:rPr>
                <w:bCs/>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continue"/>
            <w:vAlign w:val="center"/>
          </w:tcPr>
          <w:p>
            <w:pPr>
              <w:adjustRightInd w:val="0"/>
              <w:snapToGrid w:val="0"/>
              <w:jc w:val="center"/>
              <w:rPr>
                <w:color w:val="000000"/>
                <w:szCs w:val="21"/>
              </w:rPr>
            </w:pPr>
          </w:p>
        </w:tc>
        <w:tc>
          <w:tcPr>
            <w:tcW w:w="1984" w:type="dxa"/>
            <w:gridSpan w:val="2"/>
            <w:vAlign w:val="center"/>
          </w:tcPr>
          <w:p>
            <w:pPr>
              <w:adjustRightInd w:val="0"/>
              <w:snapToGrid w:val="0"/>
              <w:jc w:val="center"/>
              <w:rPr>
                <w:color w:val="000000"/>
                <w:szCs w:val="21"/>
              </w:rPr>
            </w:pPr>
            <w:r>
              <w:rPr>
                <w:bCs/>
                <w:color w:val="000000"/>
              </w:rPr>
              <w:t>厂区内</w:t>
            </w:r>
            <w:r>
              <w:rPr>
                <w:rFonts w:hint="eastAsia"/>
                <w:bCs/>
                <w:color w:val="000000"/>
                <w:szCs w:val="21"/>
              </w:rPr>
              <w:t>无</w:t>
            </w:r>
            <w:r>
              <w:rPr>
                <w:rFonts w:hint="eastAsia"/>
                <w:color w:val="000000"/>
                <w:szCs w:val="21"/>
              </w:rPr>
              <w:t>组织</w:t>
            </w:r>
            <w:r>
              <w:rPr>
                <w:color w:val="000000"/>
                <w:szCs w:val="21"/>
              </w:rPr>
              <w:t>废气</w:t>
            </w:r>
          </w:p>
        </w:tc>
        <w:tc>
          <w:tcPr>
            <w:tcW w:w="1278" w:type="dxa"/>
            <w:vAlign w:val="center"/>
          </w:tcPr>
          <w:p>
            <w:pPr>
              <w:jc w:val="center"/>
              <w:rPr>
                <w:color w:val="000000"/>
                <w:kern w:val="21"/>
                <w:szCs w:val="21"/>
              </w:rPr>
            </w:pPr>
            <w:r>
              <w:rPr>
                <w:rFonts w:hint="eastAsia"/>
                <w:color w:val="000000"/>
                <w:kern w:val="21"/>
                <w:szCs w:val="21"/>
              </w:rPr>
              <w:t>非甲烷总烃</w:t>
            </w:r>
          </w:p>
        </w:tc>
        <w:tc>
          <w:tcPr>
            <w:tcW w:w="1701" w:type="dxa"/>
            <w:gridSpan w:val="2"/>
            <w:vMerge w:val="continue"/>
            <w:vAlign w:val="center"/>
          </w:tcPr>
          <w:p>
            <w:pPr>
              <w:adjustRightInd w:val="0"/>
              <w:snapToGrid w:val="0"/>
              <w:jc w:val="center"/>
              <w:rPr>
                <w:color w:val="000000"/>
              </w:rPr>
            </w:pPr>
          </w:p>
        </w:tc>
        <w:tc>
          <w:tcPr>
            <w:tcW w:w="3010" w:type="dxa"/>
            <w:vAlign w:val="center"/>
          </w:tcPr>
          <w:p>
            <w:pPr>
              <w:jc w:val="center"/>
              <w:rPr>
                <w:color w:val="000000"/>
                <w:szCs w:val="21"/>
              </w:rPr>
            </w:pPr>
            <w:r>
              <w:rPr>
                <w:color w:val="000000"/>
              </w:rPr>
              <w:t>《挥发性有机物无组织排放控制标准》（GB37822-2019）中表A.1特别排放限值要求</w:t>
            </w:r>
            <w:r>
              <w:rPr>
                <w:rFonts w:hint="eastAsia"/>
                <w:color w:val="000000"/>
              </w:rPr>
              <w:t>，</w:t>
            </w:r>
            <w:r>
              <w:rPr>
                <w:color w:val="000000"/>
              </w:rPr>
              <w:t>监控点处1h平均浓度值</w:t>
            </w:r>
            <w:r>
              <w:rPr>
                <w:color w:val="000000"/>
                <w:szCs w:val="21"/>
              </w:rPr>
              <w:t>≤6mg/m</w:t>
            </w:r>
            <w:r>
              <w:rPr>
                <w:color w:val="000000"/>
                <w:szCs w:val="21"/>
                <w:vertAlign w:val="superscript"/>
              </w:rPr>
              <w:t>3</w:t>
            </w:r>
            <w:r>
              <w:rPr>
                <w:rFonts w:hint="eastAsia"/>
                <w:color w:val="000000"/>
                <w:szCs w:val="21"/>
              </w:rPr>
              <w:t>、</w:t>
            </w:r>
            <w:r>
              <w:rPr>
                <w:color w:val="000000"/>
              </w:rPr>
              <w:t>监控点处任意一次浓度值</w:t>
            </w:r>
            <w:r>
              <w:rPr>
                <w:color w:val="000000"/>
                <w:szCs w:val="21"/>
              </w:rPr>
              <w:t>≤20mg/m</w:t>
            </w:r>
            <w:r>
              <w:rPr>
                <w:color w:val="000000"/>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restart"/>
            <w:vAlign w:val="center"/>
          </w:tcPr>
          <w:p>
            <w:pPr>
              <w:adjustRightInd w:val="0"/>
              <w:snapToGrid w:val="0"/>
              <w:jc w:val="center"/>
              <w:rPr>
                <w:color w:val="000000"/>
                <w:szCs w:val="21"/>
              </w:rPr>
            </w:pPr>
            <w:r>
              <w:rPr>
                <w:color w:val="000000"/>
              </w:rPr>
              <w:t>地表水环境</w:t>
            </w:r>
          </w:p>
        </w:tc>
        <w:tc>
          <w:tcPr>
            <w:tcW w:w="1984" w:type="dxa"/>
            <w:gridSpan w:val="2"/>
            <w:vAlign w:val="center"/>
          </w:tcPr>
          <w:p>
            <w:pPr>
              <w:jc w:val="center"/>
              <w:rPr>
                <w:color w:val="000000"/>
                <w:kern w:val="21"/>
                <w:szCs w:val="21"/>
              </w:rPr>
            </w:pPr>
            <w:r>
              <w:rPr>
                <w:rFonts w:hint="eastAsia"/>
                <w:color w:val="000000"/>
                <w:kern w:val="21"/>
                <w:szCs w:val="21"/>
              </w:rPr>
              <w:t>生活废水排放口</w:t>
            </w:r>
          </w:p>
        </w:tc>
        <w:tc>
          <w:tcPr>
            <w:tcW w:w="1278" w:type="dxa"/>
            <w:vAlign w:val="center"/>
          </w:tcPr>
          <w:p>
            <w:pPr>
              <w:jc w:val="center"/>
              <w:rPr>
                <w:color w:val="000000"/>
                <w:kern w:val="21"/>
                <w:szCs w:val="21"/>
              </w:rPr>
            </w:pPr>
            <w:r>
              <w:rPr>
                <w:color w:val="000000"/>
              </w:rPr>
              <w:t>COD、BOD</w:t>
            </w:r>
            <w:r>
              <w:rPr>
                <w:color w:val="000000"/>
                <w:vertAlign w:val="subscript"/>
              </w:rPr>
              <w:t>5</w:t>
            </w:r>
            <w:r>
              <w:rPr>
                <w:color w:val="000000"/>
              </w:rPr>
              <w:t>、NH</w:t>
            </w:r>
            <w:r>
              <w:rPr>
                <w:color w:val="000000"/>
                <w:vertAlign w:val="subscript"/>
              </w:rPr>
              <w:t>3</w:t>
            </w:r>
            <w:r>
              <w:rPr>
                <w:color w:val="000000"/>
              </w:rPr>
              <w:t>-N、SS</w:t>
            </w:r>
          </w:p>
        </w:tc>
        <w:tc>
          <w:tcPr>
            <w:tcW w:w="1701" w:type="dxa"/>
            <w:gridSpan w:val="2"/>
            <w:vAlign w:val="center"/>
          </w:tcPr>
          <w:p>
            <w:pPr>
              <w:jc w:val="center"/>
              <w:rPr>
                <w:color w:val="000000"/>
                <w:kern w:val="21"/>
                <w:szCs w:val="21"/>
              </w:rPr>
            </w:pPr>
            <w:r>
              <w:rPr>
                <w:rFonts w:hint="eastAsia"/>
                <w:color w:val="000000"/>
              </w:rPr>
              <w:t>依托厂区内</w:t>
            </w:r>
            <w:r>
              <w:rPr>
                <w:color w:val="000000"/>
              </w:rPr>
              <w:t>化粪池</w:t>
            </w:r>
            <w:r>
              <w:rPr>
                <w:rFonts w:hint="eastAsia"/>
                <w:color w:val="000000"/>
              </w:rPr>
              <w:t>处理后排入市政污水管网</w:t>
            </w:r>
          </w:p>
        </w:tc>
        <w:tc>
          <w:tcPr>
            <w:tcW w:w="3010" w:type="dxa"/>
            <w:vAlign w:val="center"/>
          </w:tcPr>
          <w:p>
            <w:pPr>
              <w:jc w:val="center"/>
              <w:rPr>
                <w:color w:val="000000"/>
              </w:rPr>
            </w:pPr>
            <w:r>
              <w:rPr>
                <w:rFonts w:hint="eastAsia"/>
                <w:color w:val="000000"/>
              </w:rPr>
              <w:t>《污水综合排放标准》(GB8978-1996)</w:t>
            </w:r>
          </w:p>
          <w:p>
            <w:pPr>
              <w:jc w:val="center"/>
              <w:rPr>
                <w:color w:val="000000"/>
                <w:kern w:val="21"/>
                <w:szCs w:val="21"/>
              </w:rPr>
            </w:pPr>
            <w:r>
              <w:rPr>
                <w:rFonts w:hint="eastAsia"/>
                <w:color w:val="000000"/>
              </w:rPr>
              <w:t>中表4三级标准，氨氮执行《</w:t>
            </w:r>
            <w:r>
              <w:rPr>
                <w:color w:val="000000"/>
                <w:szCs w:val="21"/>
              </w:rPr>
              <w:t>污水排入城镇下水道水质标准</w:t>
            </w:r>
            <w:r>
              <w:rPr>
                <w:rFonts w:hint="eastAsia"/>
                <w:color w:val="000000"/>
              </w:rPr>
              <w:t>》</w:t>
            </w:r>
            <w:r>
              <w:rPr>
                <w:color w:val="000000"/>
                <w:szCs w:val="21"/>
              </w:rPr>
              <w:t>(GB/T 31962-2015)表1中B级标准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Merge w:val="continue"/>
            <w:vAlign w:val="center"/>
          </w:tcPr>
          <w:p>
            <w:pPr>
              <w:adjustRightInd w:val="0"/>
              <w:snapToGrid w:val="0"/>
              <w:jc w:val="center"/>
              <w:rPr>
                <w:color w:val="000000"/>
              </w:rPr>
            </w:pPr>
          </w:p>
        </w:tc>
        <w:tc>
          <w:tcPr>
            <w:tcW w:w="1984" w:type="dxa"/>
            <w:gridSpan w:val="2"/>
            <w:vAlign w:val="center"/>
          </w:tcPr>
          <w:p>
            <w:pPr>
              <w:adjustRightInd w:val="0"/>
              <w:snapToGrid w:val="0"/>
              <w:jc w:val="center"/>
              <w:rPr>
                <w:bCs/>
                <w:color w:val="000000"/>
              </w:rPr>
            </w:pPr>
            <w:r>
              <w:rPr>
                <w:rFonts w:hint="eastAsia"/>
                <w:bCs/>
                <w:color w:val="000000"/>
              </w:rPr>
              <w:t>造粒冷却水</w:t>
            </w:r>
          </w:p>
        </w:tc>
        <w:tc>
          <w:tcPr>
            <w:tcW w:w="1278" w:type="dxa"/>
            <w:vAlign w:val="center"/>
          </w:tcPr>
          <w:p>
            <w:pPr>
              <w:jc w:val="center"/>
              <w:rPr>
                <w:color w:val="000000"/>
                <w:kern w:val="21"/>
                <w:szCs w:val="21"/>
              </w:rPr>
            </w:pPr>
            <w:r>
              <w:rPr>
                <w:rFonts w:hint="eastAsia"/>
                <w:color w:val="000000"/>
                <w:kern w:val="21"/>
                <w:szCs w:val="21"/>
              </w:rPr>
              <w:t>SS</w:t>
            </w:r>
          </w:p>
        </w:tc>
        <w:tc>
          <w:tcPr>
            <w:tcW w:w="1701" w:type="dxa"/>
            <w:gridSpan w:val="2"/>
            <w:vAlign w:val="center"/>
          </w:tcPr>
          <w:p>
            <w:pPr>
              <w:adjustRightInd w:val="0"/>
              <w:snapToGrid w:val="0"/>
              <w:jc w:val="center"/>
              <w:rPr>
                <w:color w:val="000000"/>
              </w:rPr>
            </w:pPr>
            <w:r>
              <w:rPr>
                <w:rFonts w:hint="eastAsia"/>
                <w:color w:val="000000"/>
              </w:rPr>
              <w:t>冷却水循环使用，不外排</w:t>
            </w:r>
          </w:p>
        </w:tc>
        <w:tc>
          <w:tcPr>
            <w:tcW w:w="3010" w:type="dxa"/>
            <w:vAlign w:val="center"/>
          </w:tcPr>
          <w:p>
            <w:pPr>
              <w:jc w:val="center"/>
              <w:rPr>
                <w:color w:val="000000"/>
              </w:rPr>
            </w:pPr>
            <w:r>
              <w:rPr>
                <w:color w:val="000000"/>
              </w:rPr>
              <w:t>落实情况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832" w:type="dxa"/>
            <w:vAlign w:val="center"/>
          </w:tcPr>
          <w:p>
            <w:pPr>
              <w:adjustRightInd w:val="0"/>
              <w:snapToGrid w:val="0"/>
              <w:jc w:val="center"/>
              <w:rPr>
                <w:color w:val="000000"/>
                <w:szCs w:val="21"/>
              </w:rPr>
            </w:pPr>
            <w:r>
              <w:rPr>
                <w:color w:val="000000"/>
                <w:szCs w:val="21"/>
              </w:rPr>
              <w:t>声环境</w:t>
            </w:r>
          </w:p>
        </w:tc>
        <w:tc>
          <w:tcPr>
            <w:tcW w:w="1984" w:type="dxa"/>
            <w:gridSpan w:val="2"/>
            <w:vAlign w:val="center"/>
          </w:tcPr>
          <w:p>
            <w:pPr>
              <w:adjustRightInd w:val="0"/>
              <w:snapToGrid w:val="0"/>
              <w:jc w:val="center"/>
              <w:rPr>
                <w:color w:val="000000"/>
                <w:szCs w:val="21"/>
              </w:rPr>
            </w:pPr>
            <w:r>
              <w:rPr>
                <w:color w:val="000000"/>
                <w:szCs w:val="21"/>
              </w:rPr>
              <w:t>生产设备运行噪声</w:t>
            </w:r>
          </w:p>
        </w:tc>
        <w:tc>
          <w:tcPr>
            <w:tcW w:w="1278" w:type="dxa"/>
            <w:vAlign w:val="center"/>
          </w:tcPr>
          <w:p>
            <w:pPr>
              <w:adjustRightInd w:val="0"/>
              <w:snapToGrid w:val="0"/>
              <w:jc w:val="center"/>
              <w:rPr>
                <w:color w:val="000000"/>
                <w:szCs w:val="21"/>
              </w:rPr>
            </w:pPr>
            <w:r>
              <w:rPr>
                <w:color w:val="000000"/>
                <w:szCs w:val="21"/>
              </w:rPr>
              <w:t>等效A声级</w:t>
            </w:r>
          </w:p>
        </w:tc>
        <w:tc>
          <w:tcPr>
            <w:tcW w:w="1701" w:type="dxa"/>
            <w:gridSpan w:val="2"/>
            <w:vAlign w:val="center"/>
          </w:tcPr>
          <w:p>
            <w:pPr>
              <w:adjustRightInd w:val="0"/>
              <w:snapToGrid w:val="0"/>
              <w:jc w:val="center"/>
              <w:rPr>
                <w:color w:val="000000"/>
                <w:szCs w:val="21"/>
              </w:rPr>
            </w:pPr>
            <w:r>
              <w:rPr>
                <w:color w:val="000000"/>
                <w:szCs w:val="21"/>
              </w:rPr>
              <w:t>选用环保低噪声型设备，设备安置在车间内，采取基础减震等措施，维持设备处于良好运转状态</w:t>
            </w:r>
            <w:r>
              <w:rPr>
                <w:rFonts w:hint="eastAsia"/>
                <w:color w:val="000000"/>
                <w:szCs w:val="21"/>
              </w:rPr>
              <w:t>，夜间不生产</w:t>
            </w:r>
          </w:p>
        </w:tc>
        <w:tc>
          <w:tcPr>
            <w:tcW w:w="3010" w:type="dxa"/>
            <w:vAlign w:val="center"/>
          </w:tcPr>
          <w:p>
            <w:pPr>
              <w:adjustRightInd w:val="0"/>
              <w:snapToGrid w:val="0"/>
              <w:jc w:val="center"/>
              <w:rPr>
                <w:color w:val="000000"/>
                <w:szCs w:val="21"/>
              </w:rPr>
            </w:pPr>
            <w:r>
              <w:rPr>
                <w:rFonts w:hint="eastAsia"/>
                <w:color w:val="000000"/>
              </w:rPr>
              <w:t>厂界噪声执行</w:t>
            </w:r>
            <w:r>
              <w:rPr>
                <w:color w:val="000000"/>
              </w:rPr>
              <w:t>《工业企业厂界环境噪声排放标准》（GB12348-2008）</w:t>
            </w:r>
            <w:r>
              <w:rPr>
                <w:rFonts w:hint="eastAsia"/>
                <w:color w:val="000000"/>
              </w:rPr>
              <w:t>3</w:t>
            </w:r>
            <w:r>
              <w:rPr>
                <w:color w:val="000000"/>
              </w:rPr>
              <w:t>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3" w:hRule="atLeast"/>
          <w:jc w:val="center"/>
        </w:trPr>
        <w:tc>
          <w:tcPr>
            <w:tcW w:w="832" w:type="dxa"/>
            <w:vMerge w:val="restart"/>
            <w:vAlign w:val="center"/>
          </w:tcPr>
          <w:p>
            <w:pPr>
              <w:adjustRightInd w:val="0"/>
              <w:snapToGrid w:val="0"/>
              <w:jc w:val="center"/>
              <w:rPr>
                <w:color w:val="000000"/>
                <w:szCs w:val="21"/>
              </w:rPr>
            </w:pPr>
            <w:r>
              <w:rPr>
                <w:color w:val="000000"/>
                <w:szCs w:val="21"/>
              </w:rPr>
              <w:t>固体废物</w:t>
            </w:r>
          </w:p>
        </w:tc>
        <w:tc>
          <w:tcPr>
            <w:tcW w:w="1984" w:type="dxa"/>
            <w:gridSpan w:val="2"/>
            <w:vMerge w:val="restart"/>
            <w:vAlign w:val="center"/>
          </w:tcPr>
          <w:p>
            <w:pPr>
              <w:adjustRightInd w:val="0"/>
              <w:snapToGrid w:val="0"/>
              <w:jc w:val="center"/>
              <w:rPr>
                <w:color w:val="000000"/>
                <w:szCs w:val="21"/>
                <w:lang w:val="en-GB"/>
              </w:rPr>
            </w:pPr>
            <w:r>
              <w:rPr>
                <w:rFonts w:hint="eastAsia"/>
                <w:color w:val="000000"/>
                <w:szCs w:val="21"/>
              </w:rPr>
              <w:t>一般固废</w:t>
            </w:r>
          </w:p>
        </w:tc>
        <w:tc>
          <w:tcPr>
            <w:tcW w:w="1278" w:type="dxa"/>
            <w:tcBorders>
              <w:bottom w:val="single" w:color="auto" w:sz="4" w:space="0"/>
            </w:tcBorders>
            <w:vAlign w:val="center"/>
          </w:tcPr>
          <w:p>
            <w:pPr>
              <w:jc w:val="center"/>
              <w:rPr>
                <w:color w:val="000000"/>
                <w:kern w:val="21"/>
                <w:szCs w:val="21"/>
              </w:rPr>
            </w:pPr>
            <w:r>
              <w:rPr>
                <w:rFonts w:hint="eastAsia"/>
                <w:snapToGrid w:val="0"/>
                <w:color w:val="000000"/>
                <w:kern w:val="18"/>
                <w:szCs w:val="21"/>
              </w:rPr>
              <w:t>布袋除尘粉尘</w:t>
            </w:r>
          </w:p>
        </w:tc>
        <w:tc>
          <w:tcPr>
            <w:tcW w:w="1701" w:type="dxa"/>
            <w:gridSpan w:val="2"/>
            <w:vMerge w:val="restart"/>
            <w:vAlign w:val="center"/>
          </w:tcPr>
          <w:p>
            <w:pPr>
              <w:adjustRightInd w:val="0"/>
              <w:snapToGrid w:val="0"/>
              <w:jc w:val="center"/>
              <w:rPr>
                <w:color w:val="000000"/>
                <w:szCs w:val="21"/>
              </w:rPr>
            </w:pPr>
            <w:r>
              <w:rPr>
                <w:color w:val="000000"/>
                <w:szCs w:val="21"/>
              </w:rPr>
              <w:t>一般固废</w:t>
            </w:r>
            <w:r>
              <w:rPr>
                <w:color w:val="000000"/>
                <w:szCs w:val="21"/>
                <w:lang w:val="en-GB"/>
              </w:rPr>
              <w:t>分类收集后</w:t>
            </w:r>
            <w:r>
              <w:rPr>
                <w:color w:val="000000"/>
                <w:szCs w:val="21"/>
              </w:rPr>
              <w:t>存放于一般固废堆场，定期出售</w:t>
            </w:r>
          </w:p>
        </w:tc>
        <w:tc>
          <w:tcPr>
            <w:tcW w:w="3010" w:type="dxa"/>
            <w:vMerge w:val="restart"/>
            <w:vAlign w:val="center"/>
          </w:tcPr>
          <w:p>
            <w:pPr>
              <w:adjustRightInd w:val="0"/>
              <w:snapToGrid w:val="0"/>
              <w:jc w:val="center"/>
              <w:rPr>
                <w:color w:val="000000"/>
                <w:szCs w:val="21"/>
              </w:rPr>
            </w:pPr>
            <w:r>
              <w:rPr>
                <w:color w:val="000000"/>
                <w:szCs w:val="21"/>
              </w:rPr>
              <w:t>满足《一般工业固体废物贮存和填埋污染控制标准》（GB 18599-2020）要求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5" w:hRule="atLeast"/>
          <w:jc w:val="center"/>
        </w:trPr>
        <w:tc>
          <w:tcPr>
            <w:tcW w:w="832" w:type="dxa"/>
            <w:vMerge w:val="continue"/>
            <w:vAlign w:val="center"/>
          </w:tcPr>
          <w:p>
            <w:pPr>
              <w:adjustRightInd w:val="0"/>
              <w:snapToGrid w:val="0"/>
              <w:jc w:val="center"/>
              <w:rPr>
                <w:color w:val="000000"/>
                <w:szCs w:val="21"/>
              </w:rPr>
            </w:pPr>
          </w:p>
        </w:tc>
        <w:tc>
          <w:tcPr>
            <w:tcW w:w="1984" w:type="dxa"/>
            <w:gridSpan w:val="2"/>
            <w:vMerge w:val="continue"/>
            <w:vAlign w:val="center"/>
          </w:tcPr>
          <w:p>
            <w:pPr>
              <w:adjustRightInd w:val="0"/>
              <w:snapToGrid w:val="0"/>
              <w:jc w:val="center"/>
              <w:rPr>
                <w:color w:val="000000"/>
                <w:szCs w:val="21"/>
              </w:rPr>
            </w:pPr>
          </w:p>
        </w:tc>
        <w:tc>
          <w:tcPr>
            <w:tcW w:w="1278" w:type="dxa"/>
            <w:tcBorders>
              <w:top w:val="single" w:color="auto" w:sz="4" w:space="0"/>
            </w:tcBorders>
            <w:vAlign w:val="center"/>
          </w:tcPr>
          <w:p>
            <w:pPr>
              <w:jc w:val="center"/>
              <w:rPr>
                <w:color w:val="000000"/>
                <w:kern w:val="21"/>
                <w:szCs w:val="21"/>
              </w:rPr>
            </w:pPr>
            <w:r>
              <w:rPr>
                <w:rFonts w:hint="eastAsia"/>
                <w:snapToGrid w:val="0"/>
                <w:color w:val="000000"/>
                <w:kern w:val="18"/>
                <w:szCs w:val="21"/>
              </w:rPr>
              <w:t>废包装袋</w:t>
            </w:r>
          </w:p>
        </w:tc>
        <w:tc>
          <w:tcPr>
            <w:tcW w:w="1701" w:type="dxa"/>
            <w:gridSpan w:val="2"/>
            <w:vMerge w:val="continue"/>
            <w:vAlign w:val="center"/>
          </w:tcPr>
          <w:p>
            <w:pPr>
              <w:adjustRightInd w:val="0"/>
              <w:snapToGrid w:val="0"/>
              <w:jc w:val="center"/>
              <w:rPr>
                <w:color w:val="000000"/>
                <w:szCs w:val="21"/>
                <w:lang w:val="en-GB"/>
              </w:rPr>
            </w:pPr>
          </w:p>
        </w:tc>
        <w:tc>
          <w:tcPr>
            <w:tcW w:w="3010" w:type="dxa"/>
            <w:vMerge w:val="continue"/>
            <w:vAlign w:val="center"/>
          </w:tcPr>
          <w:p>
            <w:pPr>
              <w:adjustRightInd w:val="0"/>
              <w:snapToGrid w:val="0"/>
              <w:jc w:val="center"/>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3" w:hRule="atLeast"/>
          <w:jc w:val="center"/>
        </w:trPr>
        <w:tc>
          <w:tcPr>
            <w:tcW w:w="832" w:type="dxa"/>
            <w:vMerge w:val="continue"/>
            <w:vAlign w:val="center"/>
          </w:tcPr>
          <w:p>
            <w:pPr>
              <w:adjustRightInd w:val="0"/>
              <w:snapToGrid w:val="0"/>
              <w:jc w:val="center"/>
              <w:rPr>
                <w:color w:val="000000"/>
                <w:szCs w:val="21"/>
              </w:rPr>
            </w:pPr>
          </w:p>
        </w:tc>
        <w:tc>
          <w:tcPr>
            <w:tcW w:w="1984" w:type="dxa"/>
            <w:gridSpan w:val="2"/>
            <w:vMerge w:val="continue"/>
            <w:vAlign w:val="center"/>
          </w:tcPr>
          <w:p>
            <w:pPr>
              <w:adjustRightInd w:val="0"/>
              <w:snapToGrid w:val="0"/>
              <w:jc w:val="center"/>
              <w:rPr>
                <w:color w:val="000000"/>
                <w:szCs w:val="21"/>
                <w:lang w:val="en-GB"/>
              </w:rPr>
            </w:pPr>
          </w:p>
        </w:tc>
        <w:tc>
          <w:tcPr>
            <w:tcW w:w="1278" w:type="dxa"/>
            <w:tcBorders>
              <w:top w:val="single" w:color="auto" w:sz="4" w:space="0"/>
            </w:tcBorders>
            <w:vAlign w:val="center"/>
          </w:tcPr>
          <w:p>
            <w:pPr>
              <w:jc w:val="center"/>
              <w:rPr>
                <w:snapToGrid w:val="0"/>
                <w:color w:val="000000"/>
                <w:kern w:val="18"/>
                <w:szCs w:val="21"/>
              </w:rPr>
            </w:pPr>
            <w:r>
              <w:rPr>
                <w:rFonts w:hint="eastAsia"/>
                <w:snapToGrid w:val="0"/>
                <w:color w:val="000000"/>
                <w:kern w:val="18"/>
                <w:szCs w:val="21"/>
              </w:rPr>
              <w:t>不合格产品</w:t>
            </w:r>
          </w:p>
        </w:tc>
        <w:tc>
          <w:tcPr>
            <w:tcW w:w="1701" w:type="dxa"/>
            <w:gridSpan w:val="2"/>
            <w:vMerge w:val="continue"/>
            <w:vAlign w:val="center"/>
          </w:tcPr>
          <w:p>
            <w:pPr>
              <w:adjustRightInd w:val="0"/>
              <w:snapToGrid w:val="0"/>
              <w:jc w:val="center"/>
              <w:rPr>
                <w:color w:val="000000"/>
                <w:szCs w:val="21"/>
              </w:rPr>
            </w:pPr>
          </w:p>
        </w:tc>
        <w:tc>
          <w:tcPr>
            <w:tcW w:w="3010" w:type="dxa"/>
            <w:vMerge w:val="continue"/>
            <w:vAlign w:val="center"/>
          </w:tcPr>
          <w:p>
            <w:pPr>
              <w:adjustRightInd w:val="0"/>
              <w:snapToGrid w:val="0"/>
              <w:jc w:val="center"/>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2" w:hRule="atLeast"/>
          <w:jc w:val="center"/>
        </w:trPr>
        <w:tc>
          <w:tcPr>
            <w:tcW w:w="832" w:type="dxa"/>
            <w:vMerge w:val="continue"/>
            <w:vAlign w:val="center"/>
          </w:tcPr>
          <w:p>
            <w:pPr>
              <w:adjustRightInd w:val="0"/>
              <w:snapToGrid w:val="0"/>
              <w:jc w:val="center"/>
              <w:rPr>
                <w:color w:val="000000"/>
                <w:szCs w:val="21"/>
              </w:rPr>
            </w:pPr>
          </w:p>
        </w:tc>
        <w:tc>
          <w:tcPr>
            <w:tcW w:w="1984" w:type="dxa"/>
            <w:gridSpan w:val="2"/>
            <w:vAlign w:val="center"/>
          </w:tcPr>
          <w:p>
            <w:pPr>
              <w:adjustRightInd w:val="0"/>
              <w:snapToGrid w:val="0"/>
              <w:jc w:val="center"/>
              <w:rPr>
                <w:color w:val="000000"/>
                <w:szCs w:val="21"/>
              </w:rPr>
            </w:pPr>
            <w:r>
              <w:rPr>
                <w:rFonts w:hint="eastAsia"/>
                <w:color w:val="000000"/>
                <w:szCs w:val="21"/>
              </w:rPr>
              <w:t>危险废物</w:t>
            </w:r>
          </w:p>
        </w:tc>
        <w:tc>
          <w:tcPr>
            <w:tcW w:w="1291" w:type="dxa"/>
            <w:gridSpan w:val="2"/>
            <w:vAlign w:val="center"/>
          </w:tcPr>
          <w:p>
            <w:pPr>
              <w:pStyle w:val="111"/>
              <w:rPr>
                <w:color w:val="000000"/>
                <w:lang w:val="en-US" w:eastAsia="zh-CN"/>
              </w:rPr>
            </w:pPr>
            <w:r>
              <w:rPr>
                <w:rFonts w:hint="eastAsia"/>
                <w:color w:val="000000"/>
                <w:lang w:val="en-US" w:eastAsia="zh-CN"/>
              </w:rPr>
              <w:t>废活性炭</w:t>
            </w:r>
          </w:p>
        </w:tc>
        <w:tc>
          <w:tcPr>
            <w:tcW w:w="1688" w:type="dxa"/>
            <w:vAlign w:val="center"/>
          </w:tcPr>
          <w:p>
            <w:pPr>
              <w:adjustRightInd w:val="0"/>
              <w:snapToGrid w:val="0"/>
              <w:jc w:val="center"/>
              <w:rPr>
                <w:color w:val="000000"/>
                <w:szCs w:val="21"/>
                <w:lang w:val="en-GB"/>
              </w:rPr>
            </w:pPr>
            <w:r>
              <w:rPr>
                <w:rFonts w:hint="eastAsia"/>
                <w:color w:val="000000"/>
                <w:szCs w:val="21"/>
                <w:lang w:val="en-GB"/>
              </w:rPr>
              <w:t>依托原有危险废物贮存库</w:t>
            </w:r>
            <w:r>
              <w:rPr>
                <w:color w:val="000000"/>
                <w:szCs w:val="21"/>
                <w:lang w:val="en-GB"/>
              </w:rPr>
              <w:t>，妥善分类收集后定期委托有资质的单位进行处置</w:t>
            </w:r>
          </w:p>
        </w:tc>
        <w:tc>
          <w:tcPr>
            <w:tcW w:w="3010" w:type="dxa"/>
            <w:vAlign w:val="center"/>
          </w:tcPr>
          <w:p>
            <w:pPr>
              <w:adjustRightInd w:val="0"/>
              <w:snapToGrid w:val="0"/>
              <w:jc w:val="center"/>
              <w:rPr>
                <w:color w:val="000000"/>
                <w:szCs w:val="21"/>
              </w:rPr>
            </w:pPr>
            <w:r>
              <w:rPr>
                <w:color w:val="000000"/>
                <w:szCs w:val="21"/>
              </w:rPr>
              <w:t>满足《危险废物贮存污染控制标准》(GB 18597-2023)要求。危废转移应严格按《危险废物转移联单管理办法》要求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0" w:hRule="atLeast"/>
          <w:jc w:val="center"/>
        </w:trPr>
        <w:tc>
          <w:tcPr>
            <w:tcW w:w="832" w:type="dxa"/>
            <w:vAlign w:val="center"/>
          </w:tcPr>
          <w:p>
            <w:pPr>
              <w:adjustRightInd w:val="0"/>
              <w:snapToGrid w:val="0"/>
              <w:spacing w:line="340" w:lineRule="exact"/>
              <w:jc w:val="center"/>
              <w:rPr>
                <w:color w:val="000000"/>
                <w:szCs w:val="21"/>
              </w:rPr>
            </w:pPr>
            <w:r>
              <w:rPr>
                <w:color w:val="000000"/>
                <w:szCs w:val="21"/>
              </w:rPr>
              <w:t>土壤及地下水污染防治措施</w:t>
            </w:r>
          </w:p>
        </w:tc>
        <w:tc>
          <w:tcPr>
            <w:tcW w:w="7973" w:type="dxa"/>
            <w:gridSpan w:val="6"/>
            <w:vAlign w:val="center"/>
          </w:tcPr>
          <w:p>
            <w:pPr>
              <w:adjustRightInd w:val="0"/>
              <w:snapToGrid w:val="0"/>
              <w:spacing w:line="340" w:lineRule="exact"/>
              <w:jc w:val="center"/>
              <w:rPr>
                <w:color w:val="000000"/>
                <w:szCs w:val="21"/>
              </w:rPr>
            </w:pPr>
            <w:r>
              <w:rPr>
                <w:color w:val="000000"/>
                <w:szCs w:val="21"/>
              </w:rPr>
              <w:t>合理进行防渗区域划分，地面采取防渗，按重点污染区防渗要求进行建设；项目生产车间等按一般污染区防渗要求进行建设</w:t>
            </w:r>
            <w:r>
              <w:rPr>
                <w:rFonts w:hint="eastAsia"/>
                <w:color w:val="000000"/>
                <w:szCs w:val="21"/>
                <w:lang w:eastAsia="zh-CN"/>
              </w:rPr>
              <w:t>且</w:t>
            </w:r>
            <w:r>
              <w:rPr>
                <w:color w:val="000000"/>
                <w:szCs w:val="21"/>
              </w:rPr>
              <w:t>具有防雨、防渗、防风、防日晒等功能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832" w:type="dxa"/>
            <w:vAlign w:val="center"/>
          </w:tcPr>
          <w:p>
            <w:pPr>
              <w:adjustRightInd w:val="0"/>
              <w:snapToGrid w:val="0"/>
              <w:spacing w:line="340" w:lineRule="exact"/>
              <w:jc w:val="center"/>
              <w:rPr>
                <w:color w:val="000000"/>
                <w:szCs w:val="21"/>
              </w:rPr>
            </w:pPr>
            <w:r>
              <w:rPr>
                <w:color w:val="000000"/>
                <w:szCs w:val="21"/>
              </w:rPr>
              <w:t>生态保护措施</w:t>
            </w:r>
          </w:p>
        </w:tc>
        <w:tc>
          <w:tcPr>
            <w:tcW w:w="7973" w:type="dxa"/>
            <w:gridSpan w:val="6"/>
            <w:vAlign w:val="center"/>
          </w:tcPr>
          <w:p>
            <w:pPr>
              <w:adjustRightInd w:val="0"/>
              <w:snapToGrid w:val="0"/>
              <w:spacing w:line="340" w:lineRule="exact"/>
              <w:jc w:val="center"/>
              <w:rPr>
                <w:color w:val="000000"/>
                <w:szCs w:val="21"/>
              </w:rPr>
            </w:pPr>
            <w:r>
              <w:rPr>
                <w:color w:val="000000"/>
                <w:szCs w:val="21"/>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6" w:hRule="atLeast"/>
          <w:jc w:val="center"/>
        </w:trPr>
        <w:tc>
          <w:tcPr>
            <w:tcW w:w="832" w:type="dxa"/>
            <w:vAlign w:val="center"/>
          </w:tcPr>
          <w:p>
            <w:pPr>
              <w:adjustRightInd w:val="0"/>
              <w:snapToGrid w:val="0"/>
              <w:spacing w:line="340" w:lineRule="exact"/>
              <w:jc w:val="center"/>
              <w:rPr>
                <w:color w:val="000000"/>
                <w:spacing w:val="-8"/>
                <w:szCs w:val="21"/>
              </w:rPr>
            </w:pPr>
            <w:r>
              <w:rPr>
                <w:color w:val="000000"/>
                <w:spacing w:val="-8"/>
                <w:szCs w:val="21"/>
              </w:rPr>
              <w:t>环境风险防范措施</w:t>
            </w:r>
          </w:p>
        </w:tc>
        <w:tc>
          <w:tcPr>
            <w:tcW w:w="7973" w:type="dxa"/>
            <w:gridSpan w:val="6"/>
            <w:vAlign w:val="center"/>
          </w:tcPr>
          <w:p>
            <w:pPr>
              <w:adjustRightInd w:val="0"/>
              <w:snapToGrid w:val="0"/>
              <w:spacing w:line="340" w:lineRule="exact"/>
              <w:jc w:val="left"/>
              <w:rPr>
                <w:color w:val="000000"/>
                <w:szCs w:val="21"/>
              </w:rPr>
            </w:pPr>
            <w:r>
              <w:rPr>
                <w:rFonts w:hint="eastAsia"/>
                <w:color w:val="000000"/>
                <w:szCs w:val="21"/>
              </w:rPr>
              <w:t>加强消防设施和灭火器材的配备，严格落实有关消防技术规范的规定；公司强化安全、消防和环保管理，完善环保安全管理机构，完善各项管理制度，加强日常监督检查；车间内严禁烟火；配备相应的堵漏材料(砂袋、吸油毡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2" w:hRule="atLeast"/>
          <w:jc w:val="center"/>
        </w:trPr>
        <w:tc>
          <w:tcPr>
            <w:tcW w:w="832" w:type="dxa"/>
            <w:vAlign w:val="center"/>
          </w:tcPr>
          <w:p>
            <w:pPr>
              <w:adjustRightInd w:val="0"/>
              <w:snapToGrid w:val="0"/>
              <w:jc w:val="center"/>
              <w:rPr>
                <w:color w:val="000000"/>
                <w:spacing w:val="-8"/>
                <w:szCs w:val="21"/>
              </w:rPr>
            </w:pPr>
            <w:r>
              <w:rPr>
                <w:color w:val="000000"/>
                <w:spacing w:val="-8"/>
                <w:szCs w:val="21"/>
              </w:rPr>
              <w:t>其他环境</w:t>
            </w:r>
          </w:p>
          <w:p>
            <w:pPr>
              <w:adjustRightInd w:val="0"/>
              <w:snapToGrid w:val="0"/>
              <w:jc w:val="center"/>
              <w:rPr>
                <w:color w:val="000000"/>
                <w:spacing w:val="-8"/>
                <w:szCs w:val="21"/>
              </w:rPr>
            </w:pPr>
            <w:r>
              <w:rPr>
                <w:color w:val="000000"/>
                <w:spacing w:val="-8"/>
                <w:szCs w:val="21"/>
              </w:rPr>
              <w:t>管理要求</w:t>
            </w:r>
          </w:p>
        </w:tc>
        <w:tc>
          <w:tcPr>
            <w:tcW w:w="7973" w:type="dxa"/>
            <w:gridSpan w:val="6"/>
            <w:vAlign w:val="center"/>
          </w:tcPr>
          <w:p>
            <w:pPr>
              <w:pStyle w:val="31"/>
              <w:spacing w:line="240" w:lineRule="auto"/>
              <w:ind w:firstLine="420"/>
              <w:rPr>
                <w:color w:val="000000"/>
                <w:kern w:val="2"/>
                <w:sz w:val="21"/>
                <w:szCs w:val="24"/>
              </w:rPr>
            </w:pPr>
            <w:r>
              <w:rPr>
                <w:color w:val="000000"/>
                <w:kern w:val="2"/>
                <w:sz w:val="21"/>
                <w:szCs w:val="24"/>
              </w:rPr>
              <w:t>建设单位应根据项目实际情况，设置专门的环境管理机构或设兼职环境监督员，研究、制定有关环保事宜，统筹全厂的环境管理工作。企业环境管理机构或的环境监督员主要职责：</w:t>
            </w:r>
          </w:p>
          <w:p>
            <w:pPr>
              <w:pStyle w:val="31"/>
              <w:spacing w:line="240" w:lineRule="auto"/>
              <w:ind w:firstLine="420"/>
              <w:rPr>
                <w:color w:val="000000"/>
                <w:kern w:val="2"/>
                <w:sz w:val="21"/>
                <w:szCs w:val="24"/>
              </w:rPr>
            </w:pPr>
            <w:r>
              <w:rPr>
                <w:color w:val="000000"/>
                <w:kern w:val="2"/>
                <w:sz w:val="21"/>
                <w:szCs w:val="24"/>
              </w:rPr>
              <w:t>（1）组织和协助相关部门制定或修订相关的环境保护规章制度和操作规程，并对其贯彻执行情况进行监督检查；</w:t>
            </w:r>
          </w:p>
          <w:p>
            <w:pPr>
              <w:pStyle w:val="31"/>
              <w:spacing w:line="240" w:lineRule="auto"/>
              <w:ind w:firstLine="420"/>
              <w:rPr>
                <w:color w:val="000000"/>
                <w:kern w:val="2"/>
                <w:sz w:val="21"/>
                <w:szCs w:val="24"/>
              </w:rPr>
            </w:pPr>
            <w:r>
              <w:rPr>
                <w:color w:val="000000"/>
                <w:kern w:val="2"/>
                <w:sz w:val="21"/>
                <w:szCs w:val="24"/>
              </w:rPr>
              <w:t>（2）负责项目废水、废气处理设施的监督管理，落实固体废物的临时堆放场所、利用单位；检查和监督废水、废气治理设施的运行情况，定期进行维护，保证所有的环保设施都处于良好的运行状态。</w:t>
            </w:r>
          </w:p>
          <w:p>
            <w:pPr>
              <w:pStyle w:val="31"/>
              <w:spacing w:line="240" w:lineRule="auto"/>
              <w:ind w:firstLine="420"/>
              <w:rPr>
                <w:color w:val="000000"/>
                <w:kern w:val="2"/>
                <w:sz w:val="21"/>
                <w:szCs w:val="24"/>
              </w:rPr>
            </w:pPr>
            <w:r>
              <w:rPr>
                <w:color w:val="000000"/>
                <w:kern w:val="2"/>
                <w:sz w:val="21"/>
                <w:szCs w:val="24"/>
              </w:rPr>
              <w:t>（3）建设单位应建立环境管理</w:t>
            </w:r>
            <w:r>
              <w:rPr>
                <w:rFonts w:hint="eastAsia"/>
                <w:color w:val="000000"/>
                <w:kern w:val="2"/>
                <w:sz w:val="21"/>
                <w:szCs w:val="24"/>
                <w:lang w:eastAsia="zh-CN"/>
              </w:rPr>
              <w:t>台账</w:t>
            </w:r>
            <w:r>
              <w:rPr>
                <w:color w:val="000000"/>
                <w:kern w:val="2"/>
                <w:sz w:val="21"/>
                <w:szCs w:val="24"/>
              </w:rPr>
              <w:t>。环境管理</w:t>
            </w:r>
            <w:r>
              <w:rPr>
                <w:rFonts w:hint="eastAsia"/>
                <w:color w:val="000000"/>
                <w:kern w:val="2"/>
                <w:sz w:val="21"/>
                <w:szCs w:val="24"/>
                <w:lang w:eastAsia="zh-CN"/>
              </w:rPr>
              <w:t>台账</w:t>
            </w:r>
            <w:r>
              <w:rPr>
                <w:color w:val="000000"/>
                <w:kern w:val="2"/>
                <w:sz w:val="21"/>
                <w:szCs w:val="24"/>
              </w:rPr>
              <w:t>应当记载环境保护设施运行和维护的情况及相应的主要参数、污染物排放情况及相关监测数据，原始记录应清晰，及时归档并妥善管理。</w:t>
            </w:r>
          </w:p>
          <w:p>
            <w:pPr>
              <w:pStyle w:val="31"/>
              <w:spacing w:line="240" w:lineRule="auto"/>
              <w:ind w:firstLine="420"/>
              <w:rPr>
                <w:color w:val="000000"/>
                <w:kern w:val="2"/>
                <w:sz w:val="21"/>
                <w:szCs w:val="24"/>
              </w:rPr>
            </w:pPr>
            <w:r>
              <w:rPr>
                <w:color w:val="000000"/>
                <w:kern w:val="2"/>
                <w:sz w:val="21"/>
                <w:szCs w:val="24"/>
              </w:rPr>
              <w:t>（4）负责项目“三同时”的监督执行、竣工环境保护验收事宜和退役期管理。</w:t>
            </w:r>
          </w:p>
          <w:p>
            <w:pPr>
              <w:ind w:firstLine="420" w:firstLineChars="200"/>
              <w:jc w:val="left"/>
              <w:rPr>
                <w:color w:val="000000"/>
                <w:lang w:val="en-GB"/>
              </w:rPr>
            </w:pPr>
            <w:r>
              <w:rPr>
                <w:rFonts w:hint="eastAsia"/>
                <w:color w:val="000000"/>
              </w:rPr>
              <w:t>（5）</w:t>
            </w:r>
            <w:r>
              <w:rPr>
                <w:color w:val="000000"/>
              </w:rPr>
              <w:t>根据《固定污染源排污许可分类管理名录(2019年版)》(生态环境部</w:t>
            </w:r>
            <w:r>
              <w:rPr>
                <w:rFonts w:hint="eastAsia"/>
                <w:color w:val="000000"/>
              </w:rPr>
              <w:t xml:space="preserve"> </w:t>
            </w:r>
            <w:r>
              <w:rPr>
                <w:color w:val="000000"/>
              </w:rPr>
              <w:t>第11号)可知，本项目</w:t>
            </w:r>
            <w:r>
              <w:rPr>
                <w:rFonts w:hint="eastAsia"/>
                <w:color w:val="000000"/>
              </w:rPr>
              <w:t>为EVA塑料颗粒制造，属于“二</w:t>
            </w:r>
            <w:r>
              <w:rPr>
                <w:color w:val="000000"/>
              </w:rPr>
              <w:t>十四、橡胶和塑料制品业29</w:t>
            </w:r>
            <w:r>
              <w:rPr>
                <w:rFonts w:ascii="宋体" w:hAnsi="宋体"/>
                <w:color w:val="000000"/>
              </w:rPr>
              <w:t>，</w:t>
            </w:r>
            <w:r>
              <w:rPr>
                <w:rFonts w:hint="eastAsia"/>
                <w:color w:val="000000"/>
              </w:rPr>
              <w:t>6</w:t>
            </w:r>
            <w:r>
              <w:rPr>
                <w:color w:val="000000"/>
              </w:rPr>
              <w:t>1</w:t>
            </w:r>
            <w:r>
              <w:rPr>
                <w:rFonts w:hint="eastAsia"/>
                <w:color w:val="000000"/>
              </w:rPr>
              <w:t>塑料制品业2</w:t>
            </w:r>
            <w:r>
              <w:rPr>
                <w:color w:val="000000"/>
              </w:rPr>
              <w:t>91</w:t>
            </w:r>
            <w:r>
              <w:rPr>
                <w:rFonts w:hint="eastAsia"/>
                <w:color w:val="000000"/>
              </w:rPr>
              <w:t>，其他”，</w:t>
            </w:r>
            <w:r>
              <w:rPr>
                <w:color w:val="000000"/>
              </w:rPr>
              <w:t>实行排污许可</w:t>
            </w:r>
            <w:r>
              <w:rPr>
                <w:rFonts w:hint="eastAsia"/>
                <w:color w:val="000000"/>
              </w:rPr>
              <w:t>登记</w:t>
            </w:r>
            <w:r>
              <w:rPr>
                <w:color w:val="000000"/>
              </w:rPr>
              <w:t>管理</w:t>
            </w:r>
            <w:r>
              <w:rPr>
                <w:rFonts w:hint="eastAsia"/>
                <w:color w:val="000000"/>
              </w:rPr>
              <w:t>；</w:t>
            </w:r>
            <w:r>
              <w:rPr>
                <w:color w:val="000000"/>
              </w:rPr>
              <w:t>因此，建设单位应当在启动生产设施或者发生实际排污之前在全国排污许可证管理信息平台进行排污许可</w:t>
            </w:r>
            <w:r>
              <w:rPr>
                <w:rFonts w:hint="eastAsia"/>
                <w:color w:val="000000"/>
              </w:rPr>
              <w:t>申报</w:t>
            </w:r>
            <w:r>
              <w:rPr>
                <w:rFonts w:hint="eastAsia"/>
                <w:color w:val="000000"/>
                <w:lang w:val="en-GB"/>
              </w:rPr>
              <w:t>。</w:t>
            </w:r>
          </w:p>
          <w:p>
            <w:pPr>
              <w:ind w:firstLine="480"/>
              <w:rPr>
                <w:color w:val="000000"/>
              </w:rPr>
            </w:pPr>
            <w:r>
              <w:rPr>
                <w:rFonts w:hint="eastAsia"/>
                <w:color w:val="000000"/>
              </w:rPr>
              <w:t>（6）项目主要考虑运营期的环境监测，主要对场区各环保设施进行监测。根据《建设项目环境保护管理条例》以及《排污单位自行监测技术指南</w:t>
            </w:r>
            <w:r>
              <w:rPr>
                <w:color w:val="000000"/>
              </w:rPr>
              <w:t xml:space="preserve"> </w:t>
            </w:r>
            <w:r>
              <w:rPr>
                <w:rFonts w:hint="eastAsia"/>
                <w:color w:val="000000"/>
              </w:rPr>
              <w:t>总则》（</w:t>
            </w:r>
            <w:r>
              <w:rPr>
                <w:color w:val="000000"/>
              </w:rPr>
              <w:t>HJ819-2017</w:t>
            </w:r>
            <w:r>
              <w:rPr>
                <w:rFonts w:hint="eastAsia"/>
                <w:color w:val="000000"/>
              </w:rPr>
              <w:t>）规定，本环评对本项目提出环境监测计划建议。监测计划情况详见下表。</w:t>
            </w:r>
          </w:p>
          <w:p>
            <w:pPr>
              <w:pStyle w:val="119"/>
              <w:rPr>
                <w:color w:val="000000"/>
              </w:rPr>
            </w:pPr>
            <w:r>
              <w:rPr>
                <w:rFonts w:hint="eastAsia"/>
                <w:color w:val="000000"/>
              </w:rPr>
              <w:t>自行监测计划一览表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491"/>
              <w:gridCol w:w="1867"/>
              <w:gridCol w:w="908"/>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vAlign w:val="center"/>
                </w:tcPr>
                <w:p>
                  <w:pPr>
                    <w:widowControl/>
                    <w:adjustRightInd w:val="0"/>
                    <w:snapToGrid w:val="0"/>
                    <w:jc w:val="center"/>
                    <w:rPr>
                      <w:color w:val="000000"/>
                      <w:kern w:val="0"/>
                      <w:szCs w:val="21"/>
                    </w:rPr>
                  </w:pPr>
                  <w:r>
                    <w:rPr>
                      <w:color w:val="000000"/>
                      <w:kern w:val="0"/>
                      <w:szCs w:val="21"/>
                    </w:rPr>
                    <w:t>要素</w:t>
                  </w:r>
                </w:p>
              </w:tc>
              <w:tc>
                <w:tcPr>
                  <w:tcW w:w="1608" w:type="pct"/>
                  <w:vAlign w:val="center"/>
                </w:tcPr>
                <w:p>
                  <w:pPr>
                    <w:widowControl/>
                    <w:adjustRightInd w:val="0"/>
                    <w:snapToGrid w:val="0"/>
                    <w:jc w:val="center"/>
                    <w:rPr>
                      <w:color w:val="000000"/>
                      <w:kern w:val="0"/>
                      <w:szCs w:val="21"/>
                    </w:rPr>
                  </w:pPr>
                  <w:r>
                    <w:rPr>
                      <w:color w:val="000000"/>
                      <w:kern w:val="0"/>
                      <w:szCs w:val="21"/>
                    </w:rPr>
                    <w:t>监测位置</w:t>
                  </w:r>
                </w:p>
              </w:tc>
              <w:tc>
                <w:tcPr>
                  <w:tcW w:w="1205" w:type="pct"/>
                  <w:vAlign w:val="center"/>
                </w:tcPr>
                <w:p>
                  <w:pPr>
                    <w:widowControl/>
                    <w:adjustRightInd w:val="0"/>
                    <w:snapToGrid w:val="0"/>
                    <w:jc w:val="center"/>
                    <w:rPr>
                      <w:color w:val="000000"/>
                      <w:kern w:val="0"/>
                      <w:szCs w:val="21"/>
                    </w:rPr>
                  </w:pPr>
                  <w:r>
                    <w:rPr>
                      <w:color w:val="000000"/>
                      <w:kern w:val="0"/>
                      <w:szCs w:val="21"/>
                    </w:rPr>
                    <w:t>监测项目</w:t>
                  </w:r>
                </w:p>
              </w:tc>
              <w:tc>
                <w:tcPr>
                  <w:tcW w:w="586" w:type="pct"/>
                  <w:vAlign w:val="center"/>
                </w:tcPr>
                <w:p>
                  <w:pPr>
                    <w:widowControl/>
                    <w:adjustRightInd w:val="0"/>
                    <w:snapToGrid w:val="0"/>
                    <w:jc w:val="center"/>
                    <w:rPr>
                      <w:color w:val="000000"/>
                      <w:kern w:val="0"/>
                      <w:szCs w:val="21"/>
                    </w:rPr>
                  </w:pPr>
                  <w:r>
                    <w:rPr>
                      <w:color w:val="000000"/>
                      <w:kern w:val="0"/>
                      <w:szCs w:val="21"/>
                    </w:rPr>
                    <w:t>监测频率</w:t>
                  </w:r>
                </w:p>
              </w:tc>
              <w:tc>
                <w:tcPr>
                  <w:tcW w:w="1106" w:type="pct"/>
                  <w:vAlign w:val="center"/>
                </w:tcPr>
                <w:p>
                  <w:pPr>
                    <w:widowControl/>
                    <w:adjustRightInd w:val="0"/>
                    <w:snapToGrid w:val="0"/>
                    <w:jc w:val="center"/>
                    <w:rPr>
                      <w:color w:val="000000"/>
                      <w:kern w:val="0"/>
                      <w:szCs w:val="21"/>
                    </w:rPr>
                  </w:pPr>
                  <w:r>
                    <w:rPr>
                      <w:color w:val="000000"/>
                      <w:kern w:val="0"/>
                      <w:szCs w:val="21"/>
                    </w:rPr>
                    <w:t>监测负责单位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5" w:type="pct"/>
                  <w:vMerge w:val="restart"/>
                  <w:vAlign w:val="center"/>
                </w:tcPr>
                <w:p>
                  <w:pPr>
                    <w:adjustRightInd w:val="0"/>
                    <w:snapToGrid w:val="0"/>
                    <w:jc w:val="center"/>
                    <w:rPr>
                      <w:color w:val="000000"/>
                      <w:kern w:val="0"/>
                      <w:szCs w:val="21"/>
                    </w:rPr>
                  </w:pPr>
                  <w:r>
                    <w:rPr>
                      <w:color w:val="000000"/>
                      <w:kern w:val="0"/>
                      <w:szCs w:val="21"/>
                    </w:rPr>
                    <w:t>废气</w:t>
                  </w:r>
                </w:p>
              </w:tc>
              <w:tc>
                <w:tcPr>
                  <w:tcW w:w="1608" w:type="pct"/>
                  <w:vAlign w:val="center"/>
                </w:tcPr>
                <w:p>
                  <w:pPr>
                    <w:adjustRightInd w:val="0"/>
                    <w:snapToGrid w:val="0"/>
                    <w:jc w:val="center"/>
                    <w:rPr>
                      <w:color w:val="000000"/>
                      <w:szCs w:val="21"/>
                    </w:rPr>
                  </w:pPr>
                  <w:r>
                    <w:rPr>
                      <w:rFonts w:hint="eastAsia"/>
                      <w:color w:val="000000"/>
                      <w:szCs w:val="21"/>
                    </w:rPr>
                    <w:t xml:space="preserve">P1 </w:t>
                  </w:r>
                  <w:r>
                    <w:rPr>
                      <w:rFonts w:hint="eastAsia"/>
                      <w:color w:val="000000"/>
                    </w:rPr>
                    <w:t>造粒打样废气排放口</w:t>
                  </w:r>
                </w:p>
              </w:tc>
              <w:tc>
                <w:tcPr>
                  <w:tcW w:w="1205" w:type="pct"/>
                  <w:vAlign w:val="center"/>
                </w:tcPr>
                <w:p>
                  <w:pPr>
                    <w:adjustRightInd w:val="0"/>
                    <w:snapToGrid w:val="0"/>
                    <w:jc w:val="center"/>
                    <w:rPr>
                      <w:color w:val="000000"/>
                      <w:szCs w:val="21"/>
                    </w:rPr>
                  </w:pPr>
                  <w:r>
                    <w:rPr>
                      <w:rFonts w:hint="eastAsia"/>
                      <w:color w:val="000000"/>
                      <w:szCs w:val="21"/>
                    </w:rPr>
                    <w:t>非甲烷总烃、臭气浓度</w:t>
                  </w:r>
                </w:p>
              </w:tc>
              <w:tc>
                <w:tcPr>
                  <w:tcW w:w="586" w:type="pct"/>
                  <w:vAlign w:val="center"/>
                </w:tcPr>
                <w:p>
                  <w:pPr>
                    <w:adjustRightInd w:val="0"/>
                    <w:snapToGrid w:val="0"/>
                    <w:jc w:val="center"/>
                    <w:rPr>
                      <w:color w:val="000000"/>
                      <w:kern w:val="0"/>
                      <w:szCs w:val="21"/>
                    </w:rPr>
                  </w:pPr>
                  <w:r>
                    <w:rPr>
                      <w:color w:val="000000"/>
                      <w:kern w:val="0"/>
                      <w:szCs w:val="21"/>
                    </w:rPr>
                    <w:t>1次/年</w:t>
                  </w:r>
                </w:p>
              </w:tc>
              <w:tc>
                <w:tcPr>
                  <w:tcW w:w="1106" w:type="pct"/>
                  <w:vMerge w:val="restart"/>
                  <w:vAlign w:val="center"/>
                </w:tcPr>
                <w:p>
                  <w:pPr>
                    <w:widowControl/>
                    <w:adjustRightInd w:val="0"/>
                    <w:snapToGrid w:val="0"/>
                    <w:jc w:val="center"/>
                    <w:rPr>
                      <w:color w:val="000000"/>
                      <w:kern w:val="0"/>
                      <w:szCs w:val="21"/>
                    </w:rPr>
                  </w:pPr>
                  <w:r>
                    <w:rPr>
                      <w:color w:val="000000"/>
                      <w:kern w:val="0"/>
                      <w:szCs w:val="21"/>
                    </w:rPr>
                    <w:t>委托专业</w:t>
                  </w:r>
                </w:p>
                <w:p>
                  <w:pPr>
                    <w:adjustRightInd w:val="0"/>
                    <w:snapToGrid w:val="0"/>
                    <w:jc w:val="center"/>
                    <w:rPr>
                      <w:color w:val="000000"/>
                      <w:kern w:val="0"/>
                      <w:szCs w:val="21"/>
                    </w:rPr>
                  </w:pPr>
                  <w:r>
                    <w:rPr>
                      <w:color w:val="000000"/>
                      <w:kern w:val="0"/>
                      <w:szCs w:val="21"/>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5" w:type="pct"/>
                  <w:vMerge w:val="continue"/>
                  <w:vAlign w:val="center"/>
                </w:tcPr>
                <w:p>
                  <w:pPr>
                    <w:adjustRightInd w:val="0"/>
                    <w:snapToGrid w:val="0"/>
                    <w:jc w:val="center"/>
                    <w:rPr>
                      <w:color w:val="000000"/>
                      <w:kern w:val="0"/>
                      <w:szCs w:val="21"/>
                    </w:rPr>
                  </w:pPr>
                </w:p>
              </w:tc>
              <w:tc>
                <w:tcPr>
                  <w:tcW w:w="1608" w:type="pct"/>
                  <w:vAlign w:val="center"/>
                </w:tcPr>
                <w:p>
                  <w:pPr>
                    <w:adjustRightInd w:val="0"/>
                    <w:snapToGrid w:val="0"/>
                    <w:jc w:val="center"/>
                    <w:rPr>
                      <w:color w:val="000000"/>
                      <w:szCs w:val="21"/>
                    </w:rPr>
                  </w:pPr>
                  <w:r>
                    <w:rPr>
                      <w:rFonts w:hint="eastAsia"/>
                      <w:color w:val="000000"/>
                      <w:szCs w:val="21"/>
                    </w:rPr>
                    <w:t>P2投料废气排放口</w:t>
                  </w:r>
                </w:p>
              </w:tc>
              <w:tc>
                <w:tcPr>
                  <w:tcW w:w="1205" w:type="pct"/>
                  <w:vAlign w:val="center"/>
                </w:tcPr>
                <w:p>
                  <w:pPr>
                    <w:adjustRightInd w:val="0"/>
                    <w:snapToGrid w:val="0"/>
                    <w:jc w:val="center"/>
                    <w:rPr>
                      <w:color w:val="000000"/>
                      <w:szCs w:val="21"/>
                    </w:rPr>
                  </w:pPr>
                  <w:r>
                    <w:rPr>
                      <w:rFonts w:hint="eastAsia"/>
                      <w:color w:val="000000"/>
                      <w:szCs w:val="21"/>
                    </w:rPr>
                    <w:t>颗粒物</w:t>
                  </w:r>
                </w:p>
              </w:tc>
              <w:tc>
                <w:tcPr>
                  <w:tcW w:w="586" w:type="pct"/>
                  <w:vAlign w:val="center"/>
                </w:tcPr>
                <w:p>
                  <w:pPr>
                    <w:adjustRightInd w:val="0"/>
                    <w:snapToGrid w:val="0"/>
                    <w:jc w:val="center"/>
                    <w:rPr>
                      <w:color w:val="000000"/>
                      <w:kern w:val="0"/>
                      <w:szCs w:val="21"/>
                    </w:rPr>
                  </w:pPr>
                  <w:r>
                    <w:rPr>
                      <w:color w:val="000000"/>
                      <w:kern w:val="0"/>
                      <w:szCs w:val="21"/>
                    </w:rPr>
                    <w:t>1次/年</w:t>
                  </w:r>
                </w:p>
              </w:tc>
              <w:tc>
                <w:tcPr>
                  <w:tcW w:w="1106" w:type="pct"/>
                  <w:vMerge w:val="continue"/>
                  <w:vAlign w:val="center"/>
                </w:tcPr>
                <w:p>
                  <w:pPr>
                    <w:widowControl/>
                    <w:adjustRightInd w:val="0"/>
                    <w:snapToGri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5" w:type="pct"/>
                  <w:vMerge w:val="continue"/>
                  <w:vAlign w:val="center"/>
                </w:tcPr>
                <w:p>
                  <w:pPr>
                    <w:adjustRightInd w:val="0"/>
                    <w:snapToGrid w:val="0"/>
                    <w:jc w:val="center"/>
                    <w:rPr>
                      <w:color w:val="000000"/>
                      <w:kern w:val="0"/>
                      <w:szCs w:val="21"/>
                    </w:rPr>
                  </w:pPr>
                </w:p>
              </w:tc>
              <w:tc>
                <w:tcPr>
                  <w:tcW w:w="1608" w:type="pct"/>
                  <w:vAlign w:val="center"/>
                </w:tcPr>
                <w:p>
                  <w:pPr>
                    <w:adjustRightInd w:val="0"/>
                    <w:snapToGrid w:val="0"/>
                    <w:jc w:val="center"/>
                    <w:rPr>
                      <w:color w:val="000000"/>
                      <w:szCs w:val="21"/>
                    </w:rPr>
                  </w:pPr>
                  <w:r>
                    <w:rPr>
                      <w:color w:val="000000"/>
                      <w:kern w:val="0"/>
                      <w:szCs w:val="21"/>
                    </w:rPr>
                    <w:t>厂界无组织</w:t>
                  </w:r>
                </w:p>
              </w:tc>
              <w:tc>
                <w:tcPr>
                  <w:tcW w:w="1205" w:type="pct"/>
                  <w:vAlign w:val="center"/>
                </w:tcPr>
                <w:p>
                  <w:pPr>
                    <w:adjustRightInd w:val="0"/>
                    <w:snapToGrid w:val="0"/>
                    <w:jc w:val="center"/>
                    <w:rPr>
                      <w:color w:val="000000"/>
                      <w:szCs w:val="21"/>
                    </w:rPr>
                  </w:pPr>
                  <w:r>
                    <w:rPr>
                      <w:rFonts w:hint="eastAsia"/>
                      <w:color w:val="000000"/>
                      <w:szCs w:val="21"/>
                    </w:rPr>
                    <w:t>非甲烷总烃、颗粒物、臭气浓度</w:t>
                  </w:r>
                </w:p>
              </w:tc>
              <w:tc>
                <w:tcPr>
                  <w:tcW w:w="586" w:type="pct"/>
                  <w:vAlign w:val="center"/>
                </w:tcPr>
                <w:p>
                  <w:pPr>
                    <w:adjustRightInd w:val="0"/>
                    <w:snapToGrid w:val="0"/>
                    <w:jc w:val="center"/>
                    <w:rPr>
                      <w:color w:val="000000"/>
                      <w:kern w:val="0"/>
                      <w:szCs w:val="21"/>
                    </w:rPr>
                  </w:pPr>
                  <w:r>
                    <w:rPr>
                      <w:color w:val="000000"/>
                      <w:szCs w:val="21"/>
                    </w:rPr>
                    <w:t>1次/年</w:t>
                  </w:r>
                </w:p>
              </w:tc>
              <w:tc>
                <w:tcPr>
                  <w:tcW w:w="1106" w:type="pct"/>
                  <w:vMerge w:val="continue"/>
                  <w:vAlign w:val="center"/>
                </w:tcPr>
                <w:p>
                  <w:pPr>
                    <w:widowControl/>
                    <w:adjustRightInd w:val="0"/>
                    <w:snapToGri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95" w:type="pct"/>
                  <w:vMerge w:val="continue"/>
                  <w:vAlign w:val="center"/>
                </w:tcPr>
                <w:p>
                  <w:pPr>
                    <w:adjustRightInd w:val="0"/>
                    <w:snapToGrid w:val="0"/>
                    <w:jc w:val="center"/>
                    <w:rPr>
                      <w:color w:val="000000"/>
                      <w:kern w:val="0"/>
                      <w:szCs w:val="21"/>
                    </w:rPr>
                  </w:pPr>
                </w:p>
              </w:tc>
              <w:tc>
                <w:tcPr>
                  <w:tcW w:w="1608" w:type="pct"/>
                  <w:vAlign w:val="center"/>
                </w:tcPr>
                <w:p>
                  <w:pPr>
                    <w:adjustRightInd w:val="0"/>
                    <w:snapToGrid w:val="0"/>
                    <w:jc w:val="center"/>
                    <w:rPr>
                      <w:color w:val="000000"/>
                      <w:szCs w:val="21"/>
                    </w:rPr>
                  </w:pPr>
                  <w:r>
                    <w:rPr>
                      <w:color w:val="000000"/>
                      <w:kern w:val="0"/>
                      <w:szCs w:val="21"/>
                    </w:rPr>
                    <w:t>厂内无组织</w:t>
                  </w:r>
                </w:p>
              </w:tc>
              <w:tc>
                <w:tcPr>
                  <w:tcW w:w="1205" w:type="pct"/>
                  <w:vAlign w:val="center"/>
                </w:tcPr>
                <w:p>
                  <w:pPr>
                    <w:adjustRightInd w:val="0"/>
                    <w:snapToGrid w:val="0"/>
                    <w:jc w:val="center"/>
                    <w:rPr>
                      <w:color w:val="000000"/>
                      <w:szCs w:val="21"/>
                    </w:rPr>
                  </w:pPr>
                  <w:r>
                    <w:rPr>
                      <w:color w:val="000000"/>
                      <w:szCs w:val="21"/>
                    </w:rPr>
                    <w:t>非甲烷总烃</w:t>
                  </w:r>
                </w:p>
              </w:tc>
              <w:tc>
                <w:tcPr>
                  <w:tcW w:w="586" w:type="pct"/>
                  <w:vAlign w:val="center"/>
                </w:tcPr>
                <w:p>
                  <w:pPr>
                    <w:adjustRightInd w:val="0"/>
                    <w:snapToGrid w:val="0"/>
                    <w:jc w:val="center"/>
                    <w:rPr>
                      <w:color w:val="000000"/>
                      <w:kern w:val="0"/>
                      <w:szCs w:val="21"/>
                    </w:rPr>
                  </w:pPr>
                  <w:r>
                    <w:rPr>
                      <w:color w:val="000000"/>
                      <w:szCs w:val="21"/>
                    </w:rPr>
                    <w:t>1次/年</w:t>
                  </w:r>
                </w:p>
              </w:tc>
              <w:tc>
                <w:tcPr>
                  <w:tcW w:w="1106" w:type="pct"/>
                  <w:vMerge w:val="continue"/>
                  <w:vAlign w:val="center"/>
                </w:tcPr>
                <w:p>
                  <w:pPr>
                    <w:widowControl/>
                    <w:adjustRightInd w:val="0"/>
                    <w:snapToGri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5" w:type="pct"/>
                  <w:vAlign w:val="center"/>
                </w:tcPr>
                <w:p>
                  <w:pPr>
                    <w:widowControl/>
                    <w:adjustRightInd w:val="0"/>
                    <w:snapToGrid w:val="0"/>
                    <w:jc w:val="center"/>
                    <w:rPr>
                      <w:color w:val="000000"/>
                      <w:kern w:val="0"/>
                      <w:szCs w:val="21"/>
                    </w:rPr>
                  </w:pPr>
                  <w:r>
                    <w:rPr>
                      <w:color w:val="000000"/>
                      <w:kern w:val="0"/>
                      <w:szCs w:val="21"/>
                    </w:rPr>
                    <w:t>噪声</w:t>
                  </w:r>
                </w:p>
              </w:tc>
              <w:tc>
                <w:tcPr>
                  <w:tcW w:w="1608" w:type="pct"/>
                  <w:vAlign w:val="center"/>
                </w:tcPr>
                <w:p>
                  <w:pPr>
                    <w:widowControl/>
                    <w:adjustRightInd w:val="0"/>
                    <w:snapToGrid w:val="0"/>
                    <w:jc w:val="center"/>
                    <w:rPr>
                      <w:color w:val="000000"/>
                      <w:kern w:val="0"/>
                      <w:szCs w:val="21"/>
                    </w:rPr>
                  </w:pPr>
                  <w:r>
                    <w:rPr>
                      <w:color w:val="000000"/>
                      <w:kern w:val="0"/>
                      <w:szCs w:val="21"/>
                    </w:rPr>
                    <w:t>厂界外1m</w:t>
                  </w:r>
                </w:p>
              </w:tc>
              <w:tc>
                <w:tcPr>
                  <w:tcW w:w="1205" w:type="pct"/>
                  <w:vAlign w:val="center"/>
                </w:tcPr>
                <w:p>
                  <w:pPr>
                    <w:widowControl/>
                    <w:adjustRightInd w:val="0"/>
                    <w:snapToGrid w:val="0"/>
                    <w:jc w:val="center"/>
                    <w:rPr>
                      <w:color w:val="000000"/>
                      <w:kern w:val="0"/>
                      <w:szCs w:val="21"/>
                    </w:rPr>
                  </w:pPr>
                  <w:r>
                    <w:rPr>
                      <w:color w:val="000000"/>
                      <w:kern w:val="0"/>
                      <w:szCs w:val="21"/>
                    </w:rPr>
                    <w:t>等效连续A声级</w:t>
                  </w:r>
                </w:p>
              </w:tc>
              <w:tc>
                <w:tcPr>
                  <w:tcW w:w="586" w:type="pct"/>
                  <w:vAlign w:val="center"/>
                </w:tcPr>
                <w:p>
                  <w:pPr>
                    <w:widowControl/>
                    <w:adjustRightInd w:val="0"/>
                    <w:snapToGrid w:val="0"/>
                    <w:jc w:val="center"/>
                    <w:rPr>
                      <w:color w:val="000000"/>
                      <w:kern w:val="0"/>
                      <w:szCs w:val="21"/>
                    </w:rPr>
                  </w:pPr>
                  <w:r>
                    <w:rPr>
                      <w:color w:val="000000"/>
                      <w:kern w:val="0"/>
                      <w:szCs w:val="21"/>
                    </w:rPr>
                    <w:t>1次/季</w:t>
                  </w:r>
                </w:p>
              </w:tc>
              <w:tc>
                <w:tcPr>
                  <w:tcW w:w="1106" w:type="pct"/>
                  <w:vAlign w:val="center"/>
                </w:tcPr>
                <w:p>
                  <w:pPr>
                    <w:widowControl/>
                    <w:adjustRightInd w:val="0"/>
                    <w:snapToGrid w:val="0"/>
                    <w:jc w:val="center"/>
                    <w:rPr>
                      <w:color w:val="000000"/>
                      <w:kern w:val="0"/>
                      <w:szCs w:val="21"/>
                    </w:rPr>
                  </w:pPr>
                  <w:r>
                    <w:rPr>
                      <w:color w:val="000000"/>
                      <w:kern w:val="0"/>
                      <w:szCs w:val="21"/>
                    </w:rPr>
                    <w:t>委托专业</w:t>
                  </w:r>
                </w:p>
                <w:p>
                  <w:pPr>
                    <w:widowControl/>
                    <w:adjustRightInd w:val="0"/>
                    <w:snapToGrid w:val="0"/>
                    <w:jc w:val="center"/>
                    <w:rPr>
                      <w:color w:val="000000"/>
                      <w:kern w:val="0"/>
                      <w:szCs w:val="21"/>
                    </w:rPr>
                  </w:pPr>
                  <w:r>
                    <w:rPr>
                      <w:color w:val="000000"/>
                      <w:kern w:val="0"/>
                      <w:szCs w:val="21"/>
                    </w:rPr>
                    <w:t>监测单位</w:t>
                  </w:r>
                </w:p>
              </w:tc>
            </w:tr>
          </w:tbl>
          <w:p>
            <w:pPr>
              <w:adjustRightInd w:val="0"/>
              <w:snapToGrid w:val="0"/>
              <w:ind w:firstLine="420" w:firstLineChars="200"/>
              <w:jc w:val="left"/>
              <w:rPr>
                <w:color w:val="000000"/>
                <w:szCs w:val="21"/>
              </w:rPr>
            </w:pPr>
          </w:p>
        </w:tc>
      </w:tr>
      <w:bookmarkEnd w:id="46"/>
    </w:tbl>
    <w:p>
      <w:pPr>
        <w:pStyle w:val="17"/>
        <w:outlineLvl w:val="0"/>
        <w:rPr>
          <w:rFonts w:ascii="Times New Roman" w:hAnsi="Times New Roman" w:eastAsia="黑体"/>
          <w:snapToGrid w:val="0"/>
          <w:color w:val="000000"/>
          <w:sz w:val="32"/>
          <w:szCs w:val="32"/>
        </w:rPr>
        <w:sectPr>
          <w:footerReference r:id="rId6" w:type="default"/>
          <w:pgSz w:w="11906" w:h="16838"/>
          <w:pgMar w:top="1701" w:right="1531" w:bottom="1701" w:left="1531" w:header="851" w:footer="851" w:gutter="0"/>
          <w:cols w:space="720" w:num="1"/>
          <w:docGrid w:linePitch="312" w:charSpace="0"/>
        </w:sectPr>
      </w:pPr>
    </w:p>
    <w:tbl>
      <w:tblPr>
        <w:tblStyle w:val="20"/>
        <w:tblpPr w:leftFromText="180" w:rightFromText="180" w:horzAnchor="margin" w:tblpY="74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504" w:type="dxa"/>
            <w:vAlign w:val="center"/>
          </w:tcPr>
          <w:p>
            <w:pPr>
              <w:adjustRightInd w:val="0"/>
              <w:snapToGrid w:val="0"/>
              <w:spacing w:line="360" w:lineRule="auto"/>
              <w:ind w:firstLine="600" w:firstLineChars="200"/>
              <w:rPr>
                <w:color w:val="000000"/>
                <w:kern w:val="0"/>
                <w:sz w:val="24"/>
              </w:rPr>
            </w:pPr>
            <w:r>
              <w:rPr>
                <w:rFonts w:hint="eastAsia" w:ascii="黑体" w:hAnsi="黑体" w:eastAsia="黑体"/>
                <w:snapToGrid w:val="0"/>
                <w:color w:val="000000"/>
                <w:kern w:val="21"/>
                <w:sz w:val="30"/>
                <w:szCs w:val="30"/>
                <w:lang w:eastAsia="zh-CN"/>
              </w:rPr>
              <w:drawing>
                <wp:anchor distT="0" distB="0" distL="114300" distR="114300" simplePos="0" relativeHeight="251664384" behindDoc="0" locked="0" layoutInCell="1" allowOverlap="1">
                  <wp:simplePos x="0" y="0"/>
                  <wp:positionH relativeFrom="column">
                    <wp:posOffset>-1053465</wp:posOffset>
                  </wp:positionH>
                  <wp:positionV relativeFrom="paragraph">
                    <wp:posOffset>-1563370</wp:posOffset>
                  </wp:positionV>
                  <wp:extent cx="7559675" cy="10785475"/>
                  <wp:effectExtent l="0" t="0" r="3175" b="0"/>
                  <wp:wrapNone/>
                  <wp:docPr id="19624250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5068"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559675" cy="10785475"/>
                          </a:xfrm>
                          <a:prstGeom prst="rect">
                            <a:avLst/>
                          </a:prstGeom>
                          <a:noFill/>
                          <a:ln>
                            <a:noFill/>
                          </a:ln>
                        </pic:spPr>
                      </pic:pic>
                    </a:graphicData>
                  </a:graphic>
                </wp:anchor>
              </w:drawing>
            </w:r>
            <w:r>
              <w:rPr>
                <w:rFonts w:hAnsi="宋体"/>
                <w:color w:val="000000"/>
                <w:kern w:val="0"/>
                <w:sz w:val="24"/>
              </w:rPr>
              <w:fldChar w:fldCharType="begin"/>
            </w:r>
            <w:r>
              <w:rPr>
                <w:rFonts w:hAnsi="宋体"/>
                <w:color w:val="000000"/>
                <w:kern w:val="0"/>
                <w:sz w:val="24"/>
              </w:rPr>
              <w:instrText xml:space="preserve"> REF 项目名称 \h  \* MERGEFORMAT </w:instrText>
            </w:r>
            <w:r>
              <w:rPr>
                <w:rFonts w:hAnsi="宋体"/>
                <w:color w:val="000000"/>
                <w:kern w:val="0"/>
                <w:sz w:val="24"/>
              </w:rPr>
              <w:fldChar w:fldCharType="separate"/>
            </w:r>
            <w:r>
              <w:rPr>
                <w:rFonts w:hint="eastAsia" w:hAnsi="宋体"/>
                <w:color w:val="000000"/>
                <w:kern w:val="0"/>
                <w:sz w:val="24"/>
              </w:rPr>
              <w:t>福州市非凡新材料科技有限公司年加工EVA塑料颗粒850吨</w:t>
            </w:r>
            <w:r>
              <w:rPr>
                <w:rFonts w:hAnsi="宋体"/>
                <w:color w:val="000000"/>
                <w:kern w:val="0"/>
                <w:sz w:val="24"/>
              </w:rPr>
              <w:fldChar w:fldCharType="end"/>
            </w:r>
            <w:r>
              <w:rPr>
                <w:rFonts w:hAnsi="宋体"/>
                <w:color w:val="000000"/>
                <w:kern w:val="0"/>
                <w:sz w:val="24"/>
              </w:rPr>
              <w:t>项目位于福清融侨经济技术开发区（租赁</w:t>
            </w:r>
            <w:r>
              <w:rPr>
                <w:rFonts w:hint="eastAsia" w:hAnsi="宋体"/>
                <w:color w:val="000000"/>
                <w:kern w:val="0"/>
                <w:sz w:val="24"/>
              </w:rPr>
              <w:t>福清市友谊包装材料有限公司7号厂房一层西侧</w:t>
            </w:r>
            <w:r>
              <w:rPr>
                <w:rFonts w:hAnsi="宋体"/>
                <w:color w:val="000000"/>
                <w:kern w:val="0"/>
                <w:sz w:val="24"/>
              </w:rPr>
              <w:t>），项目主要从</w:t>
            </w:r>
            <w:r>
              <w:rPr>
                <w:rFonts w:hint="eastAsia" w:hAnsi="宋体"/>
                <w:color w:val="000000"/>
                <w:kern w:val="0"/>
                <w:sz w:val="24"/>
              </w:rPr>
              <w:t>EVA</w:t>
            </w:r>
            <w:r>
              <w:rPr>
                <w:rFonts w:hAnsi="宋体"/>
                <w:color w:val="000000"/>
                <w:kern w:val="0"/>
                <w:sz w:val="24"/>
              </w:rPr>
              <w:t>塑料颗粒的加工生产，建设符合国家相关产业政策，符合《福清融侨经济技术开发区总体规划（</w:t>
            </w:r>
            <w:r>
              <w:rPr>
                <w:color w:val="000000"/>
                <w:kern w:val="0"/>
                <w:sz w:val="24"/>
              </w:rPr>
              <w:t>2018-2035</w:t>
            </w:r>
            <w:r>
              <w:rPr>
                <w:rFonts w:hAnsi="宋体"/>
                <w:color w:val="000000"/>
                <w:kern w:val="0"/>
                <w:sz w:val="24"/>
              </w:rPr>
              <w:t>）环境影响报告书》中的相关要求，其选址合理，总平面布置基本合理，并符合</w:t>
            </w:r>
            <w:r>
              <w:rPr>
                <w:color w:val="000000"/>
                <w:kern w:val="0"/>
                <w:sz w:val="24"/>
              </w:rPr>
              <w:t>“</w:t>
            </w:r>
            <w:r>
              <w:rPr>
                <w:rFonts w:hAnsi="宋体"/>
                <w:color w:val="000000"/>
                <w:kern w:val="0"/>
                <w:sz w:val="24"/>
              </w:rPr>
              <w:t>三线一单</w:t>
            </w:r>
            <w:r>
              <w:rPr>
                <w:color w:val="000000"/>
                <w:kern w:val="0"/>
                <w:sz w:val="24"/>
              </w:rPr>
              <w:t>”</w:t>
            </w:r>
            <w:r>
              <w:rPr>
                <w:rFonts w:hAnsi="宋体"/>
                <w:color w:val="000000"/>
                <w:kern w:val="0"/>
                <w:sz w:val="24"/>
              </w:rPr>
              <w:t>以及生态分区管控控制要求。通过对本项目的环境影响分析评价，项目运营过程中废水、废气、噪声、固废等污染物，对周围大气环境、水环境、声环境等造成一定不利影响，经采取综合性、积极有效的防治措施并确保污染物达标排放后，可避免或减少这些不利影响，影响均在环境可接受的范围内。</w:t>
            </w:r>
          </w:p>
          <w:p>
            <w:pPr>
              <w:pStyle w:val="31"/>
              <w:ind w:firstLine="480"/>
              <w:rPr>
                <w:color w:val="000000"/>
                <w:sz w:val="24"/>
                <w:szCs w:val="24"/>
              </w:rPr>
            </w:pPr>
            <w:r>
              <w:rPr>
                <w:rFonts w:hAnsi="宋体"/>
                <w:color w:val="000000"/>
                <w:sz w:val="24"/>
                <w:szCs w:val="24"/>
              </w:rPr>
              <w:t>综上所述，本项目符合</w:t>
            </w:r>
            <w:r>
              <w:rPr>
                <w:color w:val="000000"/>
                <w:sz w:val="24"/>
                <w:szCs w:val="24"/>
              </w:rPr>
              <w:t>“</w:t>
            </w:r>
            <w:r>
              <w:rPr>
                <w:rFonts w:hAnsi="宋体"/>
                <w:color w:val="000000"/>
                <w:sz w:val="24"/>
                <w:szCs w:val="24"/>
              </w:rPr>
              <w:t>三线一单</w:t>
            </w:r>
            <w:r>
              <w:rPr>
                <w:color w:val="000000"/>
                <w:sz w:val="24"/>
                <w:szCs w:val="24"/>
              </w:rPr>
              <w:t>”</w:t>
            </w:r>
            <w:r>
              <w:rPr>
                <w:rFonts w:hAnsi="宋体"/>
                <w:color w:val="000000"/>
                <w:sz w:val="24"/>
                <w:szCs w:val="24"/>
              </w:rPr>
              <w:t>及生态环境分区管控要求，在落实各项生态环境保护和污染防治措施后，从环境保护角度分析，项目建设可行。</w:t>
            </w:r>
          </w:p>
          <w:p>
            <w:pPr>
              <w:pStyle w:val="31"/>
              <w:ind w:firstLine="480"/>
              <w:jc w:val="right"/>
              <w:rPr>
                <w:color w:val="000000"/>
                <w:sz w:val="24"/>
                <w:szCs w:val="24"/>
              </w:rPr>
            </w:pPr>
          </w:p>
          <w:p>
            <w:pPr>
              <w:pStyle w:val="31"/>
              <w:ind w:firstLine="480"/>
              <w:jc w:val="right"/>
              <w:rPr>
                <w:color w:val="000000"/>
                <w:sz w:val="24"/>
                <w:szCs w:val="24"/>
              </w:rPr>
            </w:pPr>
          </w:p>
          <w:p>
            <w:pPr>
              <w:pStyle w:val="31"/>
              <w:ind w:firstLine="480"/>
              <w:jc w:val="right"/>
              <w:rPr>
                <w:color w:val="000000" w:themeColor="text1"/>
                <w:kern w:val="2"/>
                <w:sz w:val="24"/>
                <w:szCs w:val="24"/>
                <w14:textFill>
                  <w14:solidFill>
                    <w14:schemeClr w14:val="tx1"/>
                  </w14:solidFill>
                </w14:textFill>
              </w:rPr>
            </w:pPr>
            <w:r>
              <w:rPr>
                <w:rFonts w:hint="eastAsia"/>
                <w:color w:val="000000" w:themeColor="text1"/>
                <w:kern w:val="2"/>
                <w:sz w:val="24"/>
                <w:szCs w:val="24"/>
                <w14:textFill>
                  <w14:solidFill>
                    <w14:schemeClr w14:val="tx1"/>
                  </w14:solidFill>
                </w14:textFill>
              </w:rPr>
              <w:t>深圳市绪和生态环境有限公司</w:t>
            </w:r>
          </w:p>
          <w:p>
            <w:pPr>
              <w:pStyle w:val="31"/>
              <w:ind w:firstLine="480"/>
              <w:jc w:val="right"/>
              <w:rPr>
                <w:color w:val="000000" w:themeColor="text1"/>
                <w:kern w:val="2"/>
                <w:sz w:val="24"/>
                <w:szCs w:val="24"/>
                <w14:textFill>
                  <w14:solidFill>
                    <w14:schemeClr w14:val="tx1"/>
                  </w14:solidFill>
                </w14:textFill>
              </w:rPr>
            </w:pPr>
          </w:p>
          <w:p>
            <w:pPr>
              <w:pStyle w:val="31"/>
              <w:ind w:firstLine="480"/>
              <w:jc w:val="right"/>
              <w:rPr>
                <w:color w:val="000000" w:themeColor="text1"/>
                <w:kern w:val="2"/>
                <w:sz w:val="24"/>
                <w:szCs w:val="24"/>
                <w14:textFill>
                  <w14:solidFill>
                    <w14:schemeClr w14:val="tx1"/>
                  </w14:solidFill>
                </w14:textFill>
              </w:rPr>
            </w:pPr>
            <w:r>
              <w:rPr>
                <w:color w:val="000000" w:themeColor="text1"/>
                <w:kern w:val="2"/>
                <w:sz w:val="24"/>
                <w:szCs w:val="24"/>
                <w14:textFill>
                  <w14:solidFill>
                    <w14:schemeClr w14:val="tx1"/>
                  </w14:solidFill>
                </w14:textFill>
              </w:rPr>
              <w:t>202</w:t>
            </w:r>
            <w:r>
              <w:rPr>
                <w:rFonts w:hint="eastAsia"/>
                <w:color w:val="000000" w:themeColor="text1"/>
                <w:kern w:val="2"/>
                <w:sz w:val="24"/>
                <w:szCs w:val="24"/>
                <w14:textFill>
                  <w14:solidFill>
                    <w14:schemeClr w14:val="tx1"/>
                  </w14:solidFill>
                </w14:textFill>
              </w:rPr>
              <w:t>5</w:t>
            </w:r>
            <w:r>
              <w:rPr>
                <w:rFonts w:hAnsi="宋体"/>
                <w:color w:val="000000" w:themeColor="text1"/>
                <w:kern w:val="2"/>
                <w:sz w:val="24"/>
                <w:szCs w:val="24"/>
                <w14:textFill>
                  <w14:solidFill>
                    <w14:schemeClr w14:val="tx1"/>
                  </w14:solidFill>
                </w14:textFill>
              </w:rPr>
              <w:t>年</w:t>
            </w:r>
            <w:r>
              <w:rPr>
                <w:rFonts w:hint="eastAsia"/>
                <w:color w:val="000000" w:themeColor="text1"/>
                <w:kern w:val="2"/>
                <w:sz w:val="24"/>
                <w:szCs w:val="24"/>
                <w14:textFill>
                  <w14:solidFill>
                    <w14:schemeClr w14:val="tx1"/>
                  </w14:solidFill>
                </w14:textFill>
              </w:rPr>
              <w:t>10</w:t>
            </w:r>
            <w:r>
              <w:rPr>
                <w:rFonts w:hAnsi="宋体"/>
                <w:color w:val="000000" w:themeColor="text1"/>
                <w:kern w:val="2"/>
                <w:sz w:val="24"/>
                <w:szCs w:val="24"/>
                <w14:textFill>
                  <w14:solidFill>
                    <w14:schemeClr w14:val="tx1"/>
                  </w14:solidFill>
                </w14:textFill>
              </w:rPr>
              <w:t>月</w:t>
            </w:r>
            <w:r>
              <w:rPr>
                <w:rFonts w:hint="eastAsia"/>
                <w:color w:val="000000" w:themeColor="text1"/>
                <w:kern w:val="2"/>
                <w:sz w:val="24"/>
                <w:szCs w:val="24"/>
                <w14:textFill>
                  <w14:solidFill>
                    <w14:schemeClr w14:val="tx1"/>
                  </w14:solidFill>
                </w14:textFill>
              </w:rPr>
              <w:t>10</w:t>
            </w:r>
            <w:r>
              <w:rPr>
                <w:rFonts w:hAnsi="宋体"/>
                <w:color w:val="000000" w:themeColor="text1"/>
                <w:kern w:val="2"/>
                <w:sz w:val="24"/>
                <w:szCs w:val="24"/>
                <w14:textFill>
                  <w14:solidFill>
                    <w14:schemeClr w14:val="tx1"/>
                  </w14:solidFill>
                </w14:textFill>
              </w:rPr>
              <w:t>日</w:t>
            </w:r>
          </w:p>
          <w:p>
            <w:pPr>
              <w:pStyle w:val="31"/>
              <w:ind w:firstLine="480"/>
              <w:jc w:val="right"/>
              <w:rPr>
                <w:color w:val="000000"/>
                <w:kern w:val="21"/>
                <w:sz w:val="24"/>
                <w:szCs w:val="24"/>
              </w:rPr>
            </w:pPr>
          </w:p>
          <w:p>
            <w:pPr>
              <w:pStyle w:val="31"/>
              <w:ind w:firstLine="480"/>
              <w:jc w:val="right"/>
              <w:rPr>
                <w:color w:val="000000"/>
                <w:kern w:val="21"/>
                <w:sz w:val="24"/>
                <w:szCs w:val="24"/>
              </w:rPr>
            </w:pPr>
          </w:p>
          <w:p>
            <w:pPr>
              <w:pStyle w:val="31"/>
              <w:ind w:firstLine="480"/>
              <w:jc w:val="right"/>
              <w:rPr>
                <w:color w:val="000000"/>
                <w:kern w:val="21"/>
                <w:sz w:val="24"/>
                <w:szCs w:val="24"/>
              </w:rPr>
            </w:pPr>
          </w:p>
          <w:p>
            <w:pPr>
              <w:pStyle w:val="31"/>
              <w:ind w:firstLine="480"/>
              <w:jc w:val="right"/>
              <w:rPr>
                <w:color w:val="000000"/>
                <w:kern w:val="21"/>
                <w:sz w:val="24"/>
                <w:szCs w:val="24"/>
              </w:rPr>
            </w:pPr>
          </w:p>
          <w:p>
            <w:pPr>
              <w:pStyle w:val="31"/>
              <w:ind w:firstLine="420"/>
              <w:jc w:val="right"/>
              <w:rPr>
                <w:color w:val="000000"/>
                <w:kern w:val="21"/>
                <w:sz w:val="21"/>
                <w:szCs w:val="24"/>
              </w:rPr>
            </w:pPr>
          </w:p>
        </w:tc>
      </w:tr>
    </w:tbl>
    <w:p>
      <w:pPr>
        <w:pStyle w:val="17"/>
        <w:jc w:val="center"/>
        <w:outlineLvl w:val="0"/>
        <w:rPr>
          <w:rFonts w:hint="eastAsia" w:ascii="黑体" w:hAnsi="黑体" w:eastAsia="黑体"/>
          <w:snapToGrid w:val="0"/>
          <w:color w:val="000000"/>
          <w:kern w:val="21"/>
          <w:sz w:val="30"/>
          <w:szCs w:val="30"/>
          <w:lang w:val="en-US"/>
        </w:rPr>
      </w:pPr>
    </w:p>
    <w:p>
      <w:pPr>
        <w:pStyle w:val="17"/>
        <w:jc w:val="center"/>
        <w:outlineLvl w:val="0"/>
        <w:rPr>
          <w:rFonts w:hint="eastAsia" w:ascii="黑体" w:hAnsi="黑体" w:eastAsia="黑体"/>
          <w:snapToGrid w:val="0"/>
          <w:color w:val="000000"/>
          <w:kern w:val="21"/>
          <w:sz w:val="30"/>
          <w:szCs w:val="30"/>
        </w:rPr>
      </w:pPr>
      <w:r>
        <w:rPr>
          <w:rFonts w:hint="eastAsia" w:ascii="黑体" w:hAnsi="黑体" w:eastAsia="黑体"/>
          <w:snapToGrid w:val="0"/>
          <w:color w:val="000000"/>
          <w:kern w:val="21"/>
          <w:sz w:val="30"/>
          <w:szCs w:val="30"/>
        </w:rPr>
        <w:t>六、结论</w:t>
      </w:r>
    </w:p>
    <w:p>
      <w:pPr>
        <w:pStyle w:val="17"/>
        <w:outlineLvl w:val="0"/>
        <w:rPr>
          <w:rFonts w:ascii="Times New Roman" w:hAnsi="Times New Roman" w:eastAsia="黑体"/>
          <w:snapToGrid w:val="0"/>
          <w:color w:val="000000"/>
          <w:sz w:val="32"/>
          <w:szCs w:val="32"/>
        </w:rPr>
        <w:sectPr>
          <w:pgSz w:w="11906" w:h="16838"/>
          <w:pgMar w:top="1701" w:right="1531" w:bottom="1701" w:left="1531" w:header="851" w:footer="851" w:gutter="0"/>
          <w:cols w:space="720" w:num="1"/>
          <w:docGrid w:linePitch="312" w:charSpace="0"/>
        </w:sectPr>
      </w:pPr>
    </w:p>
    <w:p>
      <w:pPr>
        <w:pStyle w:val="17"/>
        <w:outlineLvl w:val="0"/>
        <w:rPr>
          <w:rFonts w:ascii="Times New Roman" w:hAnsi="Times New Roman" w:eastAsia="黑体"/>
          <w:snapToGrid w:val="0"/>
          <w:color w:val="000000"/>
          <w:sz w:val="32"/>
          <w:szCs w:val="32"/>
        </w:rPr>
      </w:pPr>
      <w:r>
        <w:rPr>
          <w:rFonts w:ascii="Times New Roman" w:hAnsi="Times New Roman" w:eastAsia="黑体"/>
          <w:snapToGrid w:val="0"/>
          <w:color w:val="000000"/>
          <w:sz w:val="32"/>
          <w:szCs w:val="32"/>
        </w:rPr>
        <w:t>附表</w:t>
      </w:r>
    </w:p>
    <w:p>
      <w:pPr>
        <w:pStyle w:val="17"/>
        <w:adjustRightInd w:val="0"/>
        <w:snapToGrid w:val="0"/>
        <w:spacing w:before="0" w:beforeAutospacing="0" w:after="0" w:afterAutospacing="0" w:line="552" w:lineRule="auto"/>
        <w:jc w:val="center"/>
        <w:outlineLvl w:val="0"/>
        <w:rPr>
          <w:rFonts w:ascii="Times New Roman" w:hAnsi="Times New Roman" w:eastAsia="方正小标宋_GBK"/>
          <w:snapToGrid w:val="0"/>
          <w:color w:val="000000"/>
          <w:sz w:val="38"/>
          <w:szCs w:val="38"/>
        </w:rPr>
      </w:pPr>
      <w:r>
        <w:rPr>
          <w:rFonts w:ascii="Times New Roman" w:hAnsi="Times New Roman" w:eastAsia="方正小标宋_GBK"/>
          <w:snapToGrid w:val="0"/>
          <w:color w:val="000000"/>
          <w:sz w:val="38"/>
          <w:szCs w:val="3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59"/>
        <w:gridCol w:w="1701"/>
        <w:gridCol w:w="1276"/>
        <w:gridCol w:w="1701"/>
        <w:gridCol w:w="1559"/>
        <w:gridCol w:w="1418"/>
        <w:gridCol w:w="1559"/>
        <w:gridCol w:w="15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6" w:type="dxa"/>
            <w:tcBorders>
              <w:tl2br w:val="single" w:color="auto" w:sz="4" w:space="0"/>
            </w:tcBorders>
            <w:tcMar>
              <w:left w:w="28" w:type="dxa"/>
              <w:right w:w="28" w:type="dxa"/>
            </w:tcMar>
            <w:vAlign w:val="center"/>
          </w:tcPr>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项目</w:t>
            </w:r>
          </w:p>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分类</w:t>
            </w:r>
          </w:p>
        </w:tc>
        <w:tc>
          <w:tcPr>
            <w:tcW w:w="1559" w:type="dxa"/>
            <w:tcMar>
              <w:left w:w="28" w:type="dxa"/>
              <w:right w:w="28" w:type="dxa"/>
            </w:tcMar>
            <w:vAlign w:val="center"/>
          </w:tcPr>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污染物名称</w:t>
            </w:r>
          </w:p>
        </w:tc>
        <w:tc>
          <w:tcPr>
            <w:tcW w:w="1701" w:type="dxa"/>
            <w:tcMar>
              <w:left w:w="28" w:type="dxa"/>
              <w:right w:w="28" w:type="dxa"/>
            </w:tcMar>
            <w:vAlign w:val="center"/>
          </w:tcPr>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现有工程</w:t>
            </w:r>
          </w:p>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1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color w:val="000000"/>
                <w:kern w:val="2"/>
                <w:szCs w:val="21"/>
                <w:lang w:val="en-US" w:eastAsia="zh-CN"/>
              </w:rPr>
              <w:t>①</w:t>
            </w:r>
            <w:r>
              <w:rPr>
                <w:rFonts w:ascii="Times New Roman" w:eastAsia="黑体"/>
                <w:snapToGrid w:val="0"/>
                <w:color w:val="000000"/>
                <w:spacing w:val="-6"/>
                <w:kern w:val="21"/>
                <w:szCs w:val="21"/>
                <w:lang w:val="en-US" w:eastAsia="zh-CN"/>
              </w:rPr>
              <w:fldChar w:fldCharType="end"/>
            </w:r>
          </w:p>
        </w:tc>
        <w:tc>
          <w:tcPr>
            <w:tcW w:w="1276" w:type="dxa"/>
            <w:tcMar>
              <w:left w:w="28" w:type="dxa"/>
              <w:right w:w="28" w:type="dxa"/>
            </w:tcMar>
            <w:vAlign w:val="center"/>
          </w:tcPr>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现有工程</w:t>
            </w:r>
          </w:p>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许可排放量</w:t>
            </w:r>
          </w:p>
          <w:p>
            <w:pPr>
              <w:pStyle w:val="38"/>
              <w:spacing w:before="24" w:after="24"/>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2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snapToGrid w:val="0"/>
                <w:color w:val="000000"/>
                <w:spacing w:val="-6"/>
                <w:kern w:val="21"/>
                <w:szCs w:val="21"/>
                <w:lang w:val="en-US" w:eastAsia="zh-CN"/>
              </w:rPr>
              <w:t>②</w:t>
            </w:r>
            <w:r>
              <w:rPr>
                <w:rFonts w:ascii="Times New Roman" w:eastAsia="黑体"/>
                <w:snapToGrid w:val="0"/>
                <w:color w:val="000000"/>
                <w:spacing w:val="-6"/>
                <w:kern w:val="21"/>
                <w:szCs w:val="21"/>
                <w:lang w:val="en-US" w:eastAsia="zh-CN"/>
              </w:rPr>
              <w:fldChar w:fldCharType="end"/>
            </w:r>
          </w:p>
        </w:tc>
        <w:tc>
          <w:tcPr>
            <w:tcW w:w="1701" w:type="dxa"/>
            <w:tcMar>
              <w:left w:w="28" w:type="dxa"/>
              <w:right w:w="28" w:type="dxa"/>
            </w:tcMar>
            <w:vAlign w:val="center"/>
          </w:tcPr>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在建工程</w:t>
            </w:r>
          </w:p>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3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color w:val="000000"/>
                <w:kern w:val="2"/>
                <w:szCs w:val="21"/>
                <w:lang w:val="en-US" w:eastAsia="zh-CN"/>
              </w:rPr>
              <w:t>③</w:t>
            </w:r>
            <w:r>
              <w:rPr>
                <w:rFonts w:ascii="Times New Roman" w:eastAsia="黑体"/>
                <w:snapToGrid w:val="0"/>
                <w:color w:val="000000"/>
                <w:spacing w:val="-6"/>
                <w:kern w:val="21"/>
                <w:szCs w:val="21"/>
                <w:lang w:val="en-US" w:eastAsia="zh-CN"/>
              </w:rPr>
              <w:fldChar w:fldCharType="end"/>
            </w:r>
          </w:p>
        </w:tc>
        <w:tc>
          <w:tcPr>
            <w:tcW w:w="1559" w:type="dxa"/>
            <w:tcMar>
              <w:left w:w="28" w:type="dxa"/>
              <w:right w:w="28" w:type="dxa"/>
            </w:tcMar>
            <w:vAlign w:val="center"/>
          </w:tcPr>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本项目</w:t>
            </w:r>
          </w:p>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排放量（固体废物产生量）</w:t>
            </w: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4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color w:val="000000"/>
                <w:kern w:val="2"/>
                <w:szCs w:val="21"/>
                <w:lang w:val="en-US" w:eastAsia="zh-CN"/>
              </w:rPr>
              <w:t>④</w:t>
            </w:r>
            <w:r>
              <w:rPr>
                <w:rFonts w:ascii="Times New Roman" w:eastAsia="黑体"/>
                <w:snapToGrid w:val="0"/>
                <w:color w:val="000000"/>
                <w:spacing w:val="-6"/>
                <w:kern w:val="21"/>
                <w:szCs w:val="21"/>
                <w:lang w:val="en-US" w:eastAsia="zh-CN"/>
              </w:rPr>
              <w:fldChar w:fldCharType="end"/>
            </w:r>
          </w:p>
        </w:tc>
        <w:tc>
          <w:tcPr>
            <w:tcW w:w="1418" w:type="dxa"/>
            <w:tcMar>
              <w:left w:w="28" w:type="dxa"/>
              <w:right w:w="28" w:type="dxa"/>
            </w:tcMar>
            <w:vAlign w:val="center"/>
          </w:tcPr>
          <w:p>
            <w:pPr>
              <w:pStyle w:val="38"/>
              <w:spacing w:before="24" w:after="24"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以新带老削减量</w:t>
            </w:r>
          </w:p>
          <w:p>
            <w:pPr>
              <w:pStyle w:val="38"/>
              <w:spacing w:before="24" w:after="24"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（新建项目不填）</w:t>
            </w:r>
            <w:r>
              <w:rPr>
                <w:rFonts w:ascii="Times New Roman" w:eastAsia="黑体"/>
                <w:snapToGrid w:val="0"/>
                <w:color w:val="000000"/>
                <w:spacing w:val="-16"/>
                <w:kern w:val="21"/>
                <w:szCs w:val="21"/>
                <w:lang w:val="en-US" w:eastAsia="zh-CN"/>
              </w:rPr>
              <w:fldChar w:fldCharType="begin"/>
            </w:r>
            <w:r>
              <w:rPr>
                <w:rFonts w:ascii="Times New Roman" w:eastAsia="黑体"/>
                <w:snapToGrid w:val="0"/>
                <w:color w:val="000000"/>
                <w:spacing w:val="-16"/>
                <w:kern w:val="21"/>
                <w:szCs w:val="21"/>
                <w:lang w:val="en-US" w:eastAsia="zh-CN"/>
              </w:rPr>
              <w:instrText xml:space="preserve"> = 5 \* GB3 \* MERGEFORMAT </w:instrText>
            </w:r>
            <w:r>
              <w:rPr>
                <w:rFonts w:ascii="Times New Roman" w:eastAsia="黑体"/>
                <w:snapToGrid w:val="0"/>
                <w:color w:val="000000"/>
                <w:spacing w:val="-16"/>
                <w:kern w:val="21"/>
                <w:szCs w:val="21"/>
                <w:lang w:val="en-US" w:eastAsia="zh-CN"/>
              </w:rPr>
              <w:fldChar w:fldCharType="separate"/>
            </w:r>
            <w:r>
              <w:rPr>
                <w:rFonts w:hint="eastAsia" w:hAnsi="宋体" w:cs="宋体"/>
                <w:color w:val="000000"/>
                <w:kern w:val="2"/>
                <w:szCs w:val="21"/>
                <w:lang w:val="en-US" w:eastAsia="zh-CN"/>
              </w:rPr>
              <w:t>⑤</w:t>
            </w:r>
            <w:r>
              <w:rPr>
                <w:rFonts w:ascii="Times New Roman" w:eastAsia="黑体"/>
                <w:snapToGrid w:val="0"/>
                <w:color w:val="000000"/>
                <w:spacing w:val="-16"/>
                <w:kern w:val="21"/>
                <w:szCs w:val="21"/>
                <w:lang w:val="en-US" w:eastAsia="zh-CN"/>
              </w:rPr>
              <w:fldChar w:fldCharType="end"/>
            </w:r>
          </w:p>
        </w:tc>
        <w:tc>
          <w:tcPr>
            <w:tcW w:w="1559" w:type="dxa"/>
            <w:tcMar>
              <w:left w:w="28" w:type="dxa"/>
              <w:right w:w="28" w:type="dxa"/>
            </w:tcMar>
            <w:vAlign w:val="center"/>
          </w:tcPr>
          <w:p>
            <w:pPr>
              <w:pStyle w:val="38"/>
              <w:spacing w:before="24" w:after="24"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本项目建成后</w:t>
            </w:r>
          </w:p>
          <w:p>
            <w:pPr>
              <w:pStyle w:val="38"/>
              <w:spacing w:before="24" w:after="24" w:line="240" w:lineRule="auto"/>
              <w:rPr>
                <w:rFonts w:ascii="Times New Roman" w:eastAsia="黑体"/>
                <w:snapToGrid w:val="0"/>
                <w:color w:val="000000"/>
                <w:spacing w:val="-16"/>
                <w:kern w:val="21"/>
                <w:szCs w:val="21"/>
                <w:lang w:val="en-US" w:eastAsia="zh-CN"/>
              </w:rPr>
            </w:pPr>
            <w:r>
              <w:rPr>
                <w:rFonts w:ascii="Times New Roman" w:eastAsia="黑体"/>
                <w:snapToGrid w:val="0"/>
                <w:color w:val="000000"/>
                <w:spacing w:val="-16"/>
                <w:kern w:val="21"/>
                <w:szCs w:val="21"/>
                <w:lang w:val="en-US" w:eastAsia="zh-CN"/>
              </w:rPr>
              <w:t>全厂排放量（固体废物产生量）</w:t>
            </w:r>
            <w:r>
              <w:rPr>
                <w:rFonts w:ascii="Times New Roman" w:eastAsia="黑体"/>
                <w:snapToGrid w:val="0"/>
                <w:color w:val="000000"/>
                <w:spacing w:val="-16"/>
                <w:kern w:val="21"/>
                <w:szCs w:val="21"/>
                <w:lang w:val="en-US" w:eastAsia="zh-CN"/>
              </w:rPr>
              <w:fldChar w:fldCharType="begin"/>
            </w:r>
            <w:r>
              <w:rPr>
                <w:rFonts w:ascii="Times New Roman" w:eastAsia="黑体"/>
                <w:snapToGrid w:val="0"/>
                <w:color w:val="000000"/>
                <w:spacing w:val="-16"/>
                <w:kern w:val="21"/>
                <w:szCs w:val="21"/>
                <w:lang w:val="en-US" w:eastAsia="zh-CN"/>
              </w:rPr>
              <w:instrText xml:space="preserve"> = 6 \* GB3 \* MERGEFORMAT </w:instrText>
            </w:r>
            <w:r>
              <w:rPr>
                <w:rFonts w:ascii="Times New Roman" w:eastAsia="黑体"/>
                <w:snapToGrid w:val="0"/>
                <w:color w:val="000000"/>
                <w:spacing w:val="-16"/>
                <w:kern w:val="21"/>
                <w:szCs w:val="21"/>
                <w:lang w:val="en-US" w:eastAsia="zh-CN"/>
              </w:rPr>
              <w:fldChar w:fldCharType="separate"/>
            </w:r>
            <w:r>
              <w:rPr>
                <w:rFonts w:hint="eastAsia" w:hAnsi="宋体" w:cs="宋体"/>
                <w:color w:val="000000"/>
                <w:kern w:val="2"/>
                <w:szCs w:val="21"/>
                <w:lang w:val="en-US" w:eastAsia="zh-CN"/>
              </w:rPr>
              <w:t>⑥</w:t>
            </w:r>
            <w:r>
              <w:rPr>
                <w:rFonts w:ascii="Times New Roman" w:eastAsia="黑体"/>
                <w:snapToGrid w:val="0"/>
                <w:color w:val="000000"/>
                <w:spacing w:val="-16"/>
                <w:kern w:val="21"/>
                <w:szCs w:val="21"/>
                <w:lang w:val="en-US" w:eastAsia="zh-CN"/>
              </w:rPr>
              <w:fldChar w:fldCharType="end"/>
            </w:r>
          </w:p>
        </w:tc>
        <w:tc>
          <w:tcPr>
            <w:tcW w:w="1569" w:type="dxa"/>
            <w:tcMar>
              <w:left w:w="28" w:type="dxa"/>
              <w:right w:w="28" w:type="dxa"/>
            </w:tcMar>
            <w:vAlign w:val="center"/>
          </w:tcPr>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t>变化量</w:t>
            </w:r>
          </w:p>
          <w:p>
            <w:pPr>
              <w:pStyle w:val="38"/>
              <w:spacing w:before="24" w:after="24" w:line="240" w:lineRule="auto"/>
              <w:rPr>
                <w:rFonts w:ascii="Times New Roman" w:eastAsia="黑体"/>
                <w:snapToGrid w:val="0"/>
                <w:color w:val="000000"/>
                <w:spacing w:val="-6"/>
                <w:kern w:val="21"/>
                <w:szCs w:val="21"/>
                <w:lang w:val="en-US" w:eastAsia="zh-CN"/>
              </w:rPr>
            </w:pPr>
            <w:r>
              <w:rPr>
                <w:rFonts w:ascii="Times New Roman" w:eastAsia="黑体"/>
                <w:snapToGrid w:val="0"/>
                <w:color w:val="000000"/>
                <w:spacing w:val="-6"/>
                <w:kern w:val="21"/>
                <w:szCs w:val="21"/>
                <w:lang w:val="en-US" w:eastAsia="zh-CN"/>
              </w:rPr>
              <w:fldChar w:fldCharType="begin"/>
            </w:r>
            <w:r>
              <w:rPr>
                <w:rFonts w:ascii="Times New Roman" w:eastAsia="黑体"/>
                <w:snapToGrid w:val="0"/>
                <w:color w:val="000000"/>
                <w:spacing w:val="-6"/>
                <w:kern w:val="21"/>
                <w:szCs w:val="21"/>
                <w:lang w:val="en-US" w:eastAsia="zh-CN"/>
              </w:rPr>
              <w:instrText xml:space="preserve"> = 7 \* GB3 \* MERGEFORMAT </w:instrText>
            </w:r>
            <w:r>
              <w:rPr>
                <w:rFonts w:ascii="Times New Roman" w:eastAsia="黑体"/>
                <w:snapToGrid w:val="0"/>
                <w:color w:val="000000"/>
                <w:spacing w:val="-6"/>
                <w:kern w:val="21"/>
                <w:szCs w:val="21"/>
                <w:lang w:val="en-US" w:eastAsia="zh-CN"/>
              </w:rPr>
              <w:fldChar w:fldCharType="separate"/>
            </w:r>
            <w:r>
              <w:rPr>
                <w:rFonts w:hint="eastAsia" w:hAnsi="宋体" w:cs="宋体"/>
                <w:color w:val="000000"/>
                <w:kern w:val="2"/>
                <w:szCs w:val="21"/>
                <w:lang w:val="en-US" w:eastAsia="zh-CN"/>
              </w:rPr>
              <w:t>⑦</w:t>
            </w:r>
            <w:r>
              <w:rPr>
                <w:rFonts w:ascii="Times New Roman" w:eastAsia="黑体"/>
                <w:snapToGrid w:val="0"/>
                <w:color w:val="000000"/>
                <w:spacing w:val="-6"/>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restart"/>
            <w:vAlign w:val="center"/>
          </w:tcPr>
          <w:p>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废气</w:t>
            </w:r>
          </w:p>
        </w:tc>
        <w:tc>
          <w:tcPr>
            <w:tcW w:w="1559" w:type="dxa"/>
            <w:vAlign w:val="center"/>
          </w:tcPr>
          <w:p>
            <w:pPr>
              <w:pStyle w:val="73"/>
              <w:rPr>
                <w:color w:val="000000"/>
              </w:rPr>
            </w:pPr>
            <w:r>
              <w:rPr>
                <w:rFonts w:hint="eastAsia"/>
                <w:color w:val="000000"/>
              </w:rPr>
              <w:t>非甲烷总烃</w:t>
            </w:r>
          </w:p>
        </w:tc>
        <w:tc>
          <w:tcPr>
            <w:tcW w:w="1701" w:type="dxa"/>
            <w:vAlign w:val="center"/>
          </w:tcPr>
          <w:p>
            <w:pPr>
              <w:pStyle w:val="73"/>
              <w:rPr>
                <w:color w:val="000000"/>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111"/>
              <w:rPr>
                <w:color w:val="000000"/>
                <w:lang w:val="en-US" w:eastAsia="zh-CN"/>
              </w:rPr>
            </w:pPr>
          </w:p>
        </w:tc>
        <w:tc>
          <w:tcPr>
            <w:tcW w:w="1559" w:type="dxa"/>
            <w:vAlign w:val="center"/>
          </w:tcPr>
          <w:p>
            <w:pPr>
              <w:pStyle w:val="111"/>
              <w:rPr>
                <w:color w:val="000000"/>
                <w:lang w:val="en-US" w:eastAsia="zh-CN"/>
              </w:rPr>
            </w:pPr>
            <w:r>
              <w:rPr>
                <w:rFonts w:hint="eastAsia"/>
                <w:color w:val="000000"/>
                <w:kern w:val="0"/>
                <w:szCs w:val="21"/>
              </w:rPr>
              <w:t>1.252</w:t>
            </w:r>
            <w:r>
              <w:rPr>
                <w:rFonts w:hint="eastAsia"/>
                <w:snapToGrid w:val="0"/>
                <w:color w:val="000000"/>
                <w:kern w:val="21"/>
              </w:rPr>
              <w:t xml:space="preserve"> 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111"/>
              <w:rPr>
                <w:color w:val="000000"/>
                <w:lang w:val="en-US" w:eastAsia="zh-CN"/>
              </w:rPr>
            </w:pPr>
            <w:r>
              <w:rPr>
                <w:rFonts w:hint="eastAsia"/>
                <w:color w:val="000000"/>
                <w:kern w:val="0"/>
                <w:szCs w:val="21"/>
              </w:rPr>
              <w:t>1.252</w:t>
            </w:r>
            <w:r>
              <w:rPr>
                <w:rFonts w:hint="eastAsia"/>
                <w:snapToGrid w:val="0"/>
                <w:color w:val="000000"/>
                <w:kern w:val="21"/>
              </w:rPr>
              <w:t xml:space="preserve"> t/a</w:t>
            </w:r>
          </w:p>
        </w:tc>
        <w:tc>
          <w:tcPr>
            <w:tcW w:w="1569" w:type="dxa"/>
            <w:vAlign w:val="center"/>
          </w:tcPr>
          <w:p>
            <w:pPr>
              <w:pStyle w:val="111"/>
              <w:rPr>
                <w:color w:val="000000"/>
                <w:lang w:val="en-US" w:eastAsia="zh-CN"/>
              </w:rPr>
            </w:pPr>
            <w:r>
              <w:rPr>
                <w:rFonts w:hint="eastAsia"/>
                <w:color w:val="000000"/>
                <w:lang w:val="en-US" w:eastAsia="zh-CN"/>
              </w:rPr>
              <w:t>+</w:t>
            </w:r>
            <w:r>
              <w:rPr>
                <w:rFonts w:hint="eastAsia"/>
                <w:color w:val="000000"/>
                <w:kern w:val="0"/>
                <w:szCs w:val="21"/>
              </w:rPr>
              <w:t>1.252</w:t>
            </w:r>
            <w:r>
              <w:rPr>
                <w:rFonts w:hint="eastAsia"/>
                <w:snapToGrid w:val="0"/>
                <w:color w:val="000000"/>
                <w:kern w:val="21"/>
              </w:rPr>
              <w:t xml:space="preserve">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73"/>
              <w:rPr>
                <w:color w:val="000000"/>
              </w:rPr>
            </w:pPr>
            <w:r>
              <w:rPr>
                <w:rFonts w:hint="eastAsia"/>
                <w:color w:val="000000"/>
              </w:rPr>
              <w:t>颗粒物</w:t>
            </w:r>
          </w:p>
        </w:tc>
        <w:tc>
          <w:tcPr>
            <w:tcW w:w="1701" w:type="dxa"/>
            <w:vAlign w:val="center"/>
          </w:tcPr>
          <w:p>
            <w:pPr>
              <w:pStyle w:val="73"/>
              <w:rPr>
                <w:color w:val="000000"/>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111"/>
              <w:rPr>
                <w:color w:val="000000"/>
                <w:lang w:val="en-US" w:eastAsia="zh-CN"/>
              </w:rPr>
            </w:pPr>
          </w:p>
        </w:tc>
        <w:tc>
          <w:tcPr>
            <w:tcW w:w="1559" w:type="dxa"/>
            <w:vAlign w:val="center"/>
          </w:tcPr>
          <w:p>
            <w:pPr>
              <w:pStyle w:val="111"/>
              <w:rPr>
                <w:color w:val="000000"/>
                <w:lang w:val="en-US" w:eastAsia="zh-CN"/>
              </w:rPr>
            </w:pPr>
            <w:r>
              <w:rPr>
                <w:rFonts w:hint="eastAsia"/>
                <w:color w:val="000000"/>
                <w:lang w:val="en-US" w:eastAsia="zh-CN"/>
              </w:rPr>
              <w:t>0.019</w:t>
            </w:r>
            <w:r>
              <w:rPr>
                <w:rFonts w:hint="eastAsia"/>
                <w:snapToGrid w:val="0"/>
                <w:color w:val="000000"/>
                <w:kern w:val="21"/>
              </w:rPr>
              <w:t xml:space="preserve"> 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111"/>
              <w:rPr>
                <w:color w:val="000000"/>
                <w:lang w:val="en-US" w:eastAsia="zh-CN"/>
              </w:rPr>
            </w:pPr>
            <w:r>
              <w:rPr>
                <w:rFonts w:hint="eastAsia"/>
                <w:color w:val="000000"/>
                <w:lang w:val="en-US" w:eastAsia="zh-CN"/>
              </w:rPr>
              <w:t>0.019</w:t>
            </w:r>
            <w:r>
              <w:rPr>
                <w:rFonts w:hint="eastAsia"/>
                <w:snapToGrid w:val="0"/>
                <w:color w:val="000000"/>
                <w:kern w:val="21"/>
              </w:rPr>
              <w:t xml:space="preserve"> t/a</w:t>
            </w:r>
          </w:p>
        </w:tc>
        <w:tc>
          <w:tcPr>
            <w:tcW w:w="1569" w:type="dxa"/>
            <w:vAlign w:val="center"/>
          </w:tcPr>
          <w:p>
            <w:pPr>
              <w:pStyle w:val="111"/>
              <w:rPr>
                <w:color w:val="000000"/>
                <w:lang w:val="en-US" w:eastAsia="zh-CN"/>
              </w:rPr>
            </w:pPr>
            <w:r>
              <w:rPr>
                <w:rFonts w:hint="eastAsia"/>
                <w:color w:val="000000"/>
                <w:lang w:val="en-US" w:eastAsia="zh-CN"/>
              </w:rPr>
              <w:t>+0.019</w:t>
            </w:r>
            <w:r>
              <w:rPr>
                <w:rFonts w:hint="eastAsia"/>
                <w:snapToGrid w:val="0"/>
                <w:color w:val="000000"/>
                <w:kern w:val="21"/>
              </w:rPr>
              <w:t xml:space="preserve">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restart"/>
            <w:vAlign w:val="center"/>
          </w:tcPr>
          <w:p>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废水</w:t>
            </w:r>
          </w:p>
        </w:tc>
        <w:tc>
          <w:tcPr>
            <w:tcW w:w="1559" w:type="dxa"/>
            <w:vAlign w:val="center"/>
          </w:tcPr>
          <w:p>
            <w:pPr>
              <w:pStyle w:val="38"/>
              <w:spacing w:before="24" w:after="24" w:line="240" w:lineRule="auto"/>
              <w:rPr>
                <w:rFonts w:ascii="Times New Roman"/>
                <w:snapToGrid w:val="0"/>
                <w:color w:val="000000"/>
                <w:kern w:val="21"/>
                <w:szCs w:val="21"/>
                <w:lang w:val="en-US" w:eastAsia="zh-CN"/>
              </w:rPr>
            </w:pPr>
            <w:r>
              <w:rPr>
                <w:rFonts w:ascii="Times New Roman"/>
                <w:color w:val="000000"/>
                <w:szCs w:val="21"/>
              </w:rPr>
              <w:t>COD</w:t>
            </w:r>
          </w:p>
        </w:tc>
        <w:tc>
          <w:tcPr>
            <w:tcW w:w="1701" w:type="dxa"/>
            <w:vAlign w:val="center"/>
          </w:tcPr>
          <w:p>
            <w:pPr>
              <w:pStyle w:val="111"/>
              <w:rPr>
                <w:color w:val="000000"/>
                <w:lang w:val="en-US" w:eastAsia="zh-CN"/>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widowControl/>
              <w:jc w:val="center"/>
              <w:rPr>
                <w:snapToGrid w:val="0"/>
                <w:color w:val="000000"/>
                <w:kern w:val="21"/>
                <w:szCs w:val="21"/>
              </w:rPr>
            </w:pPr>
            <w:r>
              <w:rPr>
                <w:rFonts w:hint="eastAsia"/>
                <w:color w:val="000000"/>
              </w:rPr>
              <w:t>0.0</w:t>
            </w:r>
            <w:r>
              <w:rPr>
                <w:color w:val="000000"/>
              </w:rPr>
              <w:t>504</w:t>
            </w:r>
            <w:r>
              <w:rPr>
                <w:rFonts w:hint="eastAsia"/>
                <w:snapToGrid w:val="0"/>
                <w:color w:val="000000"/>
                <w:kern w:val="21"/>
              </w:rPr>
              <w:t>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widowControl/>
              <w:jc w:val="center"/>
              <w:rPr>
                <w:snapToGrid w:val="0"/>
                <w:color w:val="000000"/>
                <w:kern w:val="21"/>
                <w:szCs w:val="21"/>
              </w:rPr>
            </w:pPr>
            <w:r>
              <w:rPr>
                <w:rFonts w:hint="eastAsia"/>
                <w:color w:val="000000"/>
              </w:rPr>
              <w:t>0.0</w:t>
            </w:r>
            <w:r>
              <w:rPr>
                <w:color w:val="000000"/>
              </w:rPr>
              <w:t>504</w:t>
            </w:r>
            <w:r>
              <w:rPr>
                <w:rFonts w:hint="eastAsia"/>
                <w:snapToGrid w:val="0"/>
                <w:color w:val="000000"/>
                <w:kern w:val="21"/>
              </w:rPr>
              <w:t>t/a</w:t>
            </w:r>
          </w:p>
        </w:tc>
        <w:tc>
          <w:tcPr>
            <w:tcW w:w="1569" w:type="dxa"/>
            <w:vAlign w:val="center"/>
          </w:tcPr>
          <w:p>
            <w:pPr>
              <w:widowControl/>
              <w:jc w:val="center"/>
              <w:rPr>
                <w:snapToGrid w:val="0"/>
                <w:color w:val="000000"/>
                <w:kern w:val="21"/>
                <w:szCs w:val="21"/>
              </w:rPr>
            </w:pPr>
            <w:r>
              <w:rPr>
                <w:rFonts w:hint="eastAsia"/>
                <w:color w:val="000000"/>
              </w:rPr>
              <w:t>+0.0</w:t>
            </w:r>
            <w:r>
              <w:rPr>
                <w:color w:val="000000"/>
              </w:rPr>
              <w:t>504</w:t>
            </w:r>
            <w:r>
              <w:rPr>
                <w:rFonts w:hint="eastAsia"/>
                <w:snapToGrid w:val="0"/>
                <w:color w:val="00000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38"/>
              <w:spacing w:before="24" w:after="24" w:line="240" w:lineRule="auto"/>
              <w:rPr>
                <w:rFonts w:ascii="Times New Roman"/>
                <w:snapToGrid w:val="0"/>
                <w:color w:val="000000"/>
                <w:kern w:val="21"/>
                <w:szCs w:val="21"/>
                <w:lang w:val="en-US" w:eastAsia="zh-CN"/>
              </w:rPr>
            </w:pPr>
            <w:r>
              <w:rPr>
                <w:rFonts w:ascii="Times New Roman"/>
                <w:color w:val="000000"/>
                <w:szCs w:val="21"/>
              </w:rPr>
              <w:t>BOD</w:t>
            </w:r>
            <w:r>
              <w:rPr>
                <w:rFonts w:ascii="Times New Roman"/>
                <w:color w:val="000000"/>
                <w:szCs w:val="21"/>
                <w:vertAlign w:val="subscript"/>
              </w:rPr>
              <w:t>5</w:t>
            </w:r>
          </w:p>
        </w:tc>
        <w:tc>
          <w:tcPr>
            <w:tcW w:w="1701" w:type="dxa"/>
            <w:vAlign w:val="center"/>
          </w:tcPr>
          <w:p>
            <w:pPr>
              <w:pStyle w:val="111"/>
              <w:rPr>
                <w:color w:val="000000"/>
                <w:lang w:val="en-US" w:eastAsia="zh-CN"/>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widowControl/>
              <w:jc w:val="center"/>
              <w:rPr>
                <w:snapToGrid w:val="0"/>
                <w:color w:val="000000"/>
                <w:kern w:val="21"/>
                <w:szCs w:val="21"/>
              </w:rPr>
            </w:pPr>
            <w:r>
              <w:rPr>
                <w:rFonts w:hint="eastAsia"/>
                <w:color w:val="000000"/>
              </w:rPr>
              <w:t>0.0</w:t>
            </w:r>
            <w:r>
              <w:rPr>
                <w:color w:val="000000"/>
              </w:rPr>
              <w:t>2772</w:t>
            </w:r>
            <w:r>
              <w:rPr>
                <w:rFonts w:hint="eastAsia"/>
                <w:snapToGrid w:val="0"/>
                <w:color w:val="000000"/>
                <w:kern w:val="21"/>
              </w:rPr>
              <w:t>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widowControl/>
              <w:jc w:val="center"/>
              <w:rPr>
                <w:snapToGrid w:val="0"/>
                <w:color w:val="000000"/>
                <w:kern w:val="21"/>
                <w:szCs w:val="21"/>
              </w:rPr>
            </w:pPr>
            <w:r>
              <w:rPr>
                <w:rFonts w:hint="eastAsia"/>
                <w:color w:val="000000"/>
              </w:rPr>
              <w:t>0.0</w:t>
            </w:r>
            <w:r>
              <w:rPr>
                <w:color w:val="000000"/>
              </w:rPr>
              <w:t>2772</w:t>
            </w:r>
            <w:r>
              <w:rPr>
                <w:rFonts w:hint="eastAsia"/>
                <w:snapToGrid w:val="0"/>
                <w:color w:val="000000"/>
                <w:kern w:val="21"/>
              </w:rPr>
              <w:t>t/a</w:t>
            </w:r>
          </w:p>
        </w:tc>
        <w:tc>
          <w:tcPr>
            <w:tcW w:w="1569" w:type="dxa"/>
            <w:vAlign w:val="center"/>
          </w:tcPr>
          <w:p>
            <w:pPr>
              <w:widowControl/>
              <w:jc w:val="center"/>
              <w:rPr>
                <w:snapToGrid w:val="0"/>
                <w:color w:val="000000"/>
                <w:kern w:val="21"/>
                <w:szCs w:val="21"/>
              </w:rPr>
            </w:pPr>
            <w:r>
              <w:rPr>
                <w:rFonts w:hint="eastAsia"/>
                <w:color w:val="000000"/>
              </w:rPr>
              <w:t>+0.0</w:t>
            </w:r>
            <w:r>
              <w:rPr>
                <w:color w:val="000000"/>
              </w:rPr>
              <w:t>2772</w:t>
            </w:r>
            <w:r>
              <w:rPr>
                <w:rFonts w:hint="eastAsia"/>
                <w:snapToGrid w:val="0"/>
                <w:color w:val="00000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38"/>
              <w:spacing w:before="24" w:after="24" w:line="240" w:lineRule="auto"/>
              <w:rPr>
                <w:rFonts w:ascii="Times New Roman"/>
                <w:snapToGrid w:val="0"/>
                <w:color w:val="000000"/>
                <w:kern w:val="21"/>
                <w:szCs w:val="21"/>
                <w:lang w:val="en-US" w:eastAsia="zh-CN"/>
              </w:rPr>
            </w:pPr>
            <w:r>
              <w:rPr>
                <w:rFonts w:ascii="Times New Roman"/>
                <w:color w:val="000000"/>
                <w:szCs w:val="21"/>
              </w:rPr>
              <w:t>SS</w:t>
            </w:r>
          </w:p>
        </w:tc>
        <w:tc>
          <w:tcPr>
            <w:tcW w:w="1701" w:type="dxa"/>
            <w:vAlign w:val="center"/>
          </w:tcPr>
          <w:p>
            <w:pPr>
              <w:pStyle w:val="111"/>
              <w:rPr>
                <w:color w:val="000000"/>
                <w:lang w:val="en-US" w:eastAsia="zh-CN"/>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widowControl/>
              <w:jc w:val="center"/>
              <w:rPr>
                <w:snapToGrid w:val="0"/>
                <w:color w:val="000000"/>
                <w:kern w:val="21"/>
                <w:szCs w:val="21"/>
              </w:rPr>
            </w:pPr>
            <w:r>
              <w:rPr>
                <w:rFonts w:hint="eastAsia"/>
                <w:color w:val="000000"/>
              </w:rPr>
              <w:t>0.0</w:t>
            </w:r>
            <w:r>
              <w:rPr>
                <w:color w:val="000000"/>
              </w:rPr>
              <w:t>252</w:t>
            </w:r>
            <w:r>
              <w:rPr>
                <w:rFonts w:hint="eastAsia"/>
                <w:snapToGrid w:val="0"/>
                <w:color w:val="000000"/>
                <w:kern w:val="21"/>
              </w:rPr>
              <w:t>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widowControl/>
              <w:jc w:val="center"/>
              <w:rPr>
                <w:snapToGrid w:val="0"/>
                <w:color w:val="000000"/>
                <w:kern w:val="21"/>
                <w:szCs w:val="21"/>
              </w:rPr>
            </w:pPr>
            <w:r>
              <w:rPr>
                <w:rFonts w:hint="eastAsia"/>
                <w:color w:val="000000"/>
              </w:rPr>
              <w:t>0.0</w:t>
            </w:r>
            <w:r>
              <w:rPr>
                <w:color w:val="000000"/>
              </w:rPr>
              <w:t>252</w:t>
            </w:r>
            <w:r>
              <w:rPr>
                <w:rFonts w:hint="eastAsia"/>
                <w:snapToGrid w:val="0"/>
                <w:color w:val="000000"/>
                <w:kern w:val="21"/>
              </w:rPr>
              <w:t>t/a</w:t>
            </w:r>
          </w:p>
        </w:tc>
        <w:tc>
          <w:tcPr>
            <w:tcW w:w="1569" w:type="dxa"/>
            <w:vAlign w:val="center"/>
          </w:tcPr>
          <w:p>
            <w:pPr>
              <w:widowControl/>
              <w:jc w:val="center"/>
              <w:rPr>
                <w:snapToGrid w:val="0"/>
                <w:color w:val="000000"/>
                <w:kern w:val="21"/>
                <w:szCs w:val="21"/>
              </w:rPr>
            </w:pPr>
            <w:r>
              <w:rPr>
                <w:rFonts w:hint="eastAsia"/>
                <w:color w:val="000000"/>
              </w:rPr>
              <w:t>+0.0</w:t>
            </w:r>
            <w:r>
              <w:rPr>
                <w:color w:val="000000"/>
              </w:rPr>
              <w:t>252</w:t>
            </w:r>
            <w:r>
              <w:rPr>
                <w:rFonts w:hint="eastAsia"/>
                <w:snapToGrid w:val="0"/>
                <w:color w:val="00000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38"/>
              <w:spacing w:before="24" w:after="24" w:line="240" w:lineRule="auto"/>
              <w:rPr>
                <w:rFonts w:ascii="Times New Roman"/>
                <w:snapToGrid w:val="0"/>
                <w:color w:val="000000"/>
                <w:kern w:val="21"/>
                <w:szCs w:val="21"/>
                <w:lang w:val="en-US" w:eastAsia="zh-CN"/>
              </w:rPr>
            </w:pPr>
            <w:r>
              <w:rPr>
                <w:rFonts w:ascii="Times New Roman"/>
                <w:color w:val="000000"/>
                <w:szCs w:val="21"/>
              </w:rPr>
              <w:t>氨氮</w:t>
            </w:r>
          </w:p>
        </w:tc>
        <w:tc>
          <w:tcPr>
            <w:tcW w:w="1701" w:type="dxa"/>
            <w:vAlign w:val="center"/>
          </w:tcPr>
          <w:p>
            <w:pPr>
              <w:pStyle w:val="111"/>
              <w:rPr>
                <w:color w:val="000000"/>
                <w:lang w:val="en-US" w:eastAsia="zh-CN"/>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widowControl/>
              <w:jc w:val="center"/>
              <w:rPr>
                <w:snapToGrid w:val="0"/>
                <w:color w:val="000000"/>
                <w:kern w:val="21"/>
                <w:szCs w:val="21"/>
              </w:rPr>
            </w:pPr>
            <w:r>
              <w:rPr>
                <w:rFonts w:hint="eastAsia"/>
                <w:color w:val="000000"/>
              </w:rPr>
              <w:t>0.00</w:t>
            </w:r>
            <w:r>
              <w:rPr>
                <w:color w:val="000000"/>
              </w:rPr>
              <w:t>63</w:t>
            </w:r>
            <w:r>
              <w:rPr>
                <w:rFonts w:hint="eastAsia"/>
                <w:snapToGrid w:val="0"/>
                <w:color w:val="000000"/>
                <w:kern w:val="21"/>
              </w:rPr>
              <w:t>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widowControl/>
              <w:jc w:val="center"/>
              <w:rPr>
                <w:snapToGrid w:val="0"/>
                <w:color w:val="000000"/>
                <w:kern w:val="21"/>
                <w:szCs w:val="21"/>
              </w:rPr>
            </w:pPr>
            <w:r>
              <w:rPr>
                <w:rFonts w:hint="eastAsia"/>
                <w:color w:val="000000"/>
              </w:rPr>
              <w:t>0.00</w:t>
            </w:r>
            <w:r>
              <w:rPr>
                <w:color w:val="000000"/>
              </w:rPr>
              <w:t>63</w:t>
            </w:r>
            <w:r>
              <w:rPr>
                <w:rFonts w:hint="eastAsia"/>
                <w:snapToGrid w:val="0"/>
                <w:color w:val="000000"/>
                <w:kern w:val="21"/>
              </w:rPr>
              <w:t>t/a</w:t>
            </w:r>
          </w:p>
        </w:tc>
        <w:tc>
          <w:tcPr>
            <w:tcW w:w="1569" w:type="dxa"/>
            <w:vAlign w:val="center"/>
          </w:tcPr>
          <w:p>
            <w:pPr>
              <w:widowControl/>
              <w:jc w:val="center"/>
              <w:rPr>
                <w:snapToGrid w:val="0"/>
                <w:color w:val="000000"/>
                <w:kern w:val="21"/>
                <w:szCs w:val="21"/>
              </w:rPr>
            </w:pPr>
            <w:r>
              <w:rPr>
                <w:rFonts w:hint="eastAsia"/>
                <w:color w:val="000000"/>
              </w:rPr>
              <w:t>+0.00</w:t>
            </w:r>
            <w:r>
              <w:rPr>
                <w:color w:val="000000"/>
              </w:rPr>
              <w:t>63</w:t>
            </w:r>
            <w:r>
              <w:rPr>
                <w:rFonts w:hint="eastAsia"/>
                <w:snapToGrid w:val="0"/>
                <w:color w:val="00000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restart"/>
            <w:vAlign w:val="center"/>
          </w:tcPr>
          <w:p>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一般工业</w:t>
            </w:r>
          </w:p>
          <w:p>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固体废物</w:t>
            </w:r>
          </w:p>
        </w:tc>
        <w:tc>
          <w:tcPr>
            <w:tcW w:w="1559" w:type="dxa"/>
            <w:vAlign w:val="center"/>
          </w:tcPr>
          <w:p>
            <w:pPr>
              <w:pStyle w:val="71"/>
              <w:rPr>
                <w:snapToGrid w:val="0"/>
                <w:color w:val="000000"/>
                <w:kern w:val="21"/>
              </w:rPr>
            </w:pPr>
            <w:r>
              <w:rPr>
                <w:rFonts w:hint="eastAsia"/>
                <w:snapToGrid w:val="0"/>
                <w:color w:val="000000"/>
                <w:kern w:val="21"/>
              </w:rPr>
              <w:t>不合格产品</w:t>
            </w:r>
          </w:p>
        </w:tc>
        <w:tc>
          <w:tcPr>
            <w:tcW w:w="1701" w:type="dxa"/>
            <w:vAlign w:val="center"/>
          </w:tcPr>
          <w:p>
            <w:pPr>
              <w:pStyle w:val="71"/>
              <w:rPr>
                <w:snapToGrid w:val="0"/>
                <w:color w:val="000000"/>
                <w:kern w:val="21"/>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111"/>
              <w:rPr>
                <w:color w:val="000000"/>
                <w:lang w:val="en-US" w:eastAsia="zh-CN"/>
              </w:rPr>
            </w:pPr>
          </w:p>
        </w:tc>
        <w:tc>
          <w:tcPr>
            <w:tcW w:w="1559" w:type="dxa"/>
            <w:vAlign w:val="center"/>
          </w:tcPr>
          <w:p>
            <w:pPr>
              <w:pStyle w:val="111"/>
              <w:rPr>
                <w:color w:val="000000"/>
                <w:lang w:val="en-US" w:eastAsia="zh-CN"/>
              </w:rPr>
            </w:pPr>
            <w:r>
              <w:rPr>
                <w:rFonts w:hint="eastAsia"/>
                <w:color w:val="000000"/>
                <w:lang w:val="en-US" w:eastAsia="zh-CN"/>
              </w:rPr>
              <w:t>8.5</w:t>
            </w:r>
            <w:r>
              <w:rPr>
                <w:rFonts w:hint="eastAsia"/>
                <w:snapToGrid w:val="0"/>
                <w:color w:val="000000"/>
                <w:kern w:val="21"/>
              </w:rPr>
              <w:t>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111"/>
              <w:rPr>
                <w:color w:val="000000"/>
                <w:lang w:val="en-US" w:eastAsia="zh-CN"/>
              </w:rPr>
            </w:pPr>
            <w:r>
              <w:rPr>
                <w:rFonts w:hint="eastAsia"/>
                <w:color w:val="000000"/>
                <w:lang w:val="en-US" w:eastAsia="zh-CN"/>
              </w:rPr>
              <w:t>8.5</w:t>
            </w:r>
            <w:r>
              <w:rPr>
                <w:rFonts w:hint="eastAsia"/>
                <w:snapToGrid w:val="0"/>
                <w:color w:val="000000"/>
                <w:kern w:val="21"/>
              </w:rPr>
              <w:t>t/a</w:t>
            </w:r>
          </w:p>
        </w:tc>
        <w:tc>
          <w:tcPr>
            <w:tcW w:w="1569" w:type="dxa"/>
            <w:vAlign w:val="center"/>
          </w:tcPr>
          <w:p>
            <w:pPr>
              <w:pStyle w:val="111"/>
              <w:rPr>
                <w:color w:val="000000"/>
                <w:lang w:val="en-US" w:eastAsia="zh-CN"/>
              </w:rPr>
            </w:pPr>
            <w:r>
              <w:rPr>
                <w:rFonts w:hint="eastAsia"/>
                <w:color w:val="000000"/>
                <w:lang w:val="en-US" w:eastAsia="zh-CN"/>
              </w:rPr>
              <w:t>+8.5</w:t>
            </w:r>
            <w:r>
              <w:rPr>
                <w:rFonts w:hint="eastAsia"/>
                <w:snapToGrid w:val="0"/>
                <w:color w:val="000000"/>
                <w:kern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71"/>
              <w:rPr>
                <w:color w:val="000000"/>
              </w:rPr>
            </w:pPr>
            <w:r>
              <w:rPr>
                <w:rFonts w:hint="eastAsia"/>
                <w:color w:val="000000"/>
              </w:rPr>
              <w:t>废包装袋</w:t>
            </w:r>
          </w:p>
        </w:tc>
        <w:tc>
          <w:tcPr>
            <w:tcW w:w="1701" w:type="dxa"/>
            <w:vAlign w:val="center"/>
          </w:tcPr>
          <w:p>
            <w:pPr>
              <w:pStyle w:val="71"/>
              <w:rPr>
                <w:color w:val="000000"/>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111"/>
              <w:rPr>
                <w:color w:val="000000"/>
                <w:lang w:val="en-US" w:eastAsia="zh-CN"/>
              </w:rPr>
            </w:pPr>
          </w:p>
        </w:tc>
        <w:tc>
          <w:tcPr>
            <w:tcW w:w="1559" w:type="dxa"/>
            <w:vAlign w:val="center"/>
          </w:tcPr>
          <w:p>
            <w:pPr>
              <w:pStyle w:val="111"/>
              <w:rPr>
                <w:color w:val="000000"/>
                <w:lang w:val="en-US" w:eastAsia="zh-CN"/>
              </w:rPr>
            </w:pPr>
            <w:r>
              <w:rPr>
                <w:rFonts w:hint="eastAsia"/>
                <w:color w:val="000000"/>
                <w:lang w:val="en-US" w:eastAsia="zh-CN"/>
              </w:rPr>
              <w:t>0.5</w:t>
            </w:r>
            <w:r>
              <w:rPr>
                <w:rFonts w:hint="eastAsia"/>
                <w:snapToGrid w:val="0"/>
                <w:color w:val="000000"/>
                <w:kern w:val="21"/>
              </w:rPr>
              <w:t xml:space="preserve"> 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111"/>
              <w:rPr>
                <w:color w:val="000000"/>
                <w:lang w:val="en-US" w:eastAsia="zh-CN"/>
              </w:rPr>
            </w:pPr>
            <w:r>
              <w:rPr>
                <w:rFonts w:hint="eastAsia"/>
                <w:color w:val="000000"/>
                <w:lang w:val="en-US" w:eastAsia="zh-CN"/>
              </w:rPr>
              <w:t>0.5</w:t>
            </w:r>
            <w:r>
              <w:rPr>
                <w:rFonts w:hint="eastAsia"/>
                <w:snapToGrid w:val="0"/>
                <w:color w:val="000000"/>
                <w:kern w:val="21"/>
              </w:rPr>
              <w:t xml:space="preserve"> t/a</w:t>
            </w:r>
          </w:p>
        </w:tc>
        <w:tc>
          <w:tcPr>
            <w:tcW w:w="1569" w:type="dxa"/>
            <w:vAlign w:val="center"/>
          </w:tcPr>
          <w:p>
            <w:pPr>
              <w:pStyle w:val="111"/>
              <w:rPr>
                <w:color w:val="000000"/>
                <w:lang w:val="en-US" w:eastAsia="zh-CN"/>
              </w:rPr>
            </w:pPr>
            <w:r>
              <w:rPr>
                <w:rFonts w:hint="eastAsia"/>
                <w:color w:val="000000"/>
                <w:lang w:val="en-US" w:eastAsia="zh-CN"/>
              </w:rPr>
              <w:t>+0.5</w:t>
            </w:r>
            <w:r>
              <w:rPr>
                <w:rFonts w:hint="eastAsia"/>
                <w:snapToGrid w:val="0"/>
                <w:color w:val="000000"/>
                <w:kern w:val="21"/>
              </w:rPr>
              <w:t xml:space="preserve">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Merge w:val="continue"/>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71"/>
              <w:rPr>
                <w:color w:val="000000"/>
              </w:rPr>
            </w:pPr>
            <w:r>
              <w:rPr>
                <w:rFonts w:hint="eastAsia"/>
                <w:color w:val="000000"/>
              </w:rPr>
              <w:t>布袋除尘粉尘</w:t>
            </w:r>
          </w:p>
        </w:tc>
        <w:tc>
          <w:tcPr>
            <w:tcW w:w="1701" w:type="dxa"/>
            <w:vAlign w:val="center"/>
          </w:tcPr>
          <w:p>
            <w:pPr>
              <w:pStyle w:val="71"/>
              <w:rPr>
                <w:color w:val="000000"/>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111"/>
              <w:rPr>
                <w:color w:val="000000"/>
                <w:lang w:val="en-US" w:eastAsia="zh-CN"/>
              </w:rPr>
            </w:pPr>
          </w:p>
        </w:tc>
        <w:tc>
          <w:tcPr>
            <w:tcW w:w="1559" w:type="dxa"/>
            <w:vAlign w:val="center"/>
          </w:tcPr>
          <w:p>
            <w:pPr>
              <w:pStyle w:val="111"/>
              <w:rPr>
                <w:color w:val="000000"/>
                <w:lang w:val="en-US" w:eastAsia="zh-CN"/>
              </w:rPr>
            </w:pPr>
            <w:r>
              <w:rPr>
                <w:rFonts w:hint="eastAsia"/>
                <w:color w:val="000000"/>
                <w:lang w:val="en-US" w:eastAsia="zh-CN"/>
              </w:rPr>
              <w:t>0.063t/a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111"/>
              <w:rPr>
                <w:color w:val="000000"/>
                <w:lang w:val="en-US" w:eastAsia="zh-CN"/>
              </w:rPr>
            </w:pPr>
            <w:r>
              <w:rPr>
                <w:rFonts w:hint="eastAsia"/>
                <w:color w:val="000000"/>
                <w:lang w:val="en-US" w:eastAsia="zh-CN"/>
              </w:rPr>
              <w:t>0.063t/a</w:t>
            </w:r>
          </w:p>
        </w:tc>
        <w:tc>
          <w:tcPr>
            <w:tcW w:w="1569" w:type="dxa"/>
            <w:vAlign w:val="center"/>
          </w:tcPr>
          <w:p>
            <w:pPr>
              <w:pStyle w:val="111"/>
              <w:rPr>
                <w:color w:val="000000"/>
                <w:lang w:val="en-US" w:eastAsia="zh-CN"/>
              </w:rPr>
            </w:pPr>
            <w:r>
              <w:rPr>
                <w:rFonts w:hint="eastAsia"/>
                <w:color w:val="000000"/>
                <w:lang w:val="en-US" w:eastAsia="zh-CN"/>
              </w:rPr>
              <w:t>+0.063t/a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Align w:val="center"/>
          </w:tcPr>
          <w:p>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生活垃圾</w:t>
            </w:r>
          </w:p>
        </w:tc>
        <w:tc>
          <w:tcPr>
            <w:tcW w:w="1559" w:type="dxa"/>
            <w:vAlign w:val="center"/>
          </w:tcPr>
          <w:p>
            <w:pPr>
              <w:pStyle w:val="38"/>
              <w:spacing w:before="24" w:after="24" w:line="240" w:lineRule="auto"/>
              <w:rPr>
                <w:rFonts w:ascii="Times New Roman"/>
                <w:color w:val="000000"/>
                <w:szCs w:val="21"/>
                <w:lang w:val="en-US" w:eastAsia="zh-CN"/>
              </w:rPr>
            </w:pPr>
            <w:r>
              <w:rPr>
                <w:rFonts w:ascii="Times New Roman"/>
                <w:color w:val="000000"/>
                <w:szCs w:val="21"/>
                <w:lang w:val="en-US" w:eastAsia="zh-CN"/>
              </w:rPr>
              <w:t>生活垃圾</w:t>
            </w:r>
          </w:p>
        </w:tc>
        <w:tc>
          <w:tcPr>
            <w:tcW w:w="1701" w:type="dxa"/>
            <w:vAlign w:val="center"/>
          </w:tcPr>
          <w:p>
            <w:pPr>
              <w:pStyle w:val="71"/>
              <w:rPr>
                <w:color w:val="000000"/>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111"/>
              <w:rPr>
                <w:color w:val="000000"/>
                <w:lang w:val="en-US" w:eastAsia="zh-CN"/>
              </w:rPr>
            </w:pPr>
          </w:p>
        </w:tc>
        <w:tc>
          <w:tcPr>
            <w:tcW w:w="1559" w:type="dxa"/>
            <w:vAlign w:val="center"/>
          </w:tcPr>
          <w:p>
            <w:pPr>
              <w:pStyle w:val="38"/>
              <w:spacing w:before="24" w:after="24" w:line="240" w:lineRule="auto"/>
              <w:rPr>
                <w:rFonts w:ascii="Times New Roman"/>
                <w:snapToGrid w:val="0"/>
                <w:color w:val="000000"/>
                <w:lang w:val="en-US" w:eastAsia="zh-CN"/>
              </w:rPr>
            </w:pPr>
            <w:r>
              <w:rPr>
                <w:rFonts w:hint="eastAsia" w:ascii="Times New Roman"/>
                <w:snapToGrid w:val="0"/>
                <w:color w:val="000000"/>
                <w:lang w:val="en-US" w:eastAsia="zh-CN"/>
              </w:rPr>
              <w:t>2.25t/a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38"/>
              <w:spacing w:before="24" w:after="24" w:line="240" w:lineRule="auto"/>
              <w:rPr>
                <w:rFonts w:ascii="Times New Roman"/>
                <w:snapToGrid w:val="0"/>
                <w:color w:val="000000"/>
                <w:lang w:val="en-US" w:eastAsia="zh-CN"/>
              </w:rPr>
            </w:pPr>
            <w:r>
              <w:rPr>
                <w:rFonts w:hint="eastAsia" w:ascii="Times New Roman"/>
                <w:snapToGrid w:val="0"/>
                <w:color w:val="000000"/>
                <w:lang w:val="en-US" w:eastAsia="zh-CN"/>
              </w:rPr>
              <w:t>2.25t/a</w:t>
            </w:r>
          </w:p>
        </w:tc>
        <w:tc>
          <w:tcPr>
            <w:tcW w:w="1569" w:type="dxa"/>
            <w:vAlign w:val="center"/>
          </w:tcPr>
          <w:p>
            <w:pPr>
              <w:pStyle w:val="38"/>
              <w:spacing w:before="24" w:after="24" w:line="240" w:lineRule="auto"/>
              <w:rPr>
                <w:rFonts w:ascii="Times New Roman"/>
                <w:snapToGrid w:val="0"/>
                <w:color w:val="000000"/>
                <w:lang w:val="en-US" w:eastAsia="zh-CN"/>
              </w:rPr>
            </w:pPr>
            <w:r>
              <w:rPr>
                <w:rFonts w:hint="eastAsia" w:ascii="Times New Roman"/>
                <w:snapToGrid w:val="0"/>
                <w:color w:val="000000"/>
                <w:lang w:val="en-US" w:eastAsia="zh-CN"/>
              </w:rPr>
              <w:t>+2.25t/a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446" w:type="dxa"/>
            <w:vAlign w:val="center"/>
          </w:tcPr>
          <w:p>
            <w:pPr>
              <w:pStyle w:val="38"/>
              <w:spacing w:before="24" w:after="24" w:line="240" w:lineRule="auto"/>
              <w:rPr>
                <w:rFonts w:ascii="Times New Roman"/>
                <w:snapToGrid w:val="0"/>
                <w:color w:val="000000"/>
                <w:kern w:val="21"/>
                <w:szCs w:val="21"/>
                <w:lang w:val="en-US" w:eastAsia="zh-CN"/>
              </w:rPr>
            </w:pPr>
            <w:r>
              <w:rPr>
                <w:rFonts w:ascii="Times New Roman"/>
                <w:snapToGrid w:val="0"/>
                <w:color w:val="000000"/>
                <w:kern w:val="21"/>
                <w:szCs w:val="21"/>
                <w:lang w:val="en-US" w:eastAsia="zh-CN"/>
              </w:rPr>
              <w:t>危险废物</w:t>
            </w:r>
          </w:p>
        </w:tc>
        <w:tc>
          <w:tcPr>
            <w:tcW w:w="1559" w:type="dxa"/>
            <w:vAlign w:val="center"/>
          </w:tcPr>
          <w:p>
            <w:pPr>
              <w:pStyle w:val="38"/>
              <w:spacing w:before="24" w:after="24" w:line="240" w:lineRule="auto"/>
              <w:rPr>
                <w:rFonts w:ascii="Times New Roman"/>
                <w:snapToGrid w:val="0"/>
                <w:color w:val="000000"/>
                <w:kern w:val="21"/>
                <w:szCs w:val="21"/>
                <w:lang w:val="en-US" w:eastAsia="zh-CN"/>
              </w:rPr>
            </w:pPr>
            <w:r>
              <w:rPr>
                <w:rFonts w:ascii="Times New Roman"/>
                <w:color w:val="000000"/>
                <w:lang w:val="en-US" w:eastAsia="zh-CN"/>
              </w:rPr>
              <w:t>废活性炭</w:t>
            </w:r>
          </w:p>
        </w:tc>
        <w:tc>
          <w:tcPr>
            <w:tcW w:w="1701" w:type="dxa"/>
            <w:vAlign w:val="center"/>
          </w:tcPr>
          <w:p>
            <w:pPr>
              <w:pStyle w:val="71"/>
              <w:rPr>
                <w:snapToGrid w:val="0"/>
                <w:color w:val="000000"/>
                <w:kern w:val="18"/>
              </w:rPr>
            </w:pPr>
          </w:p>
        </w:tc>
        <w:tc>
          <w:tcPr>
            <w:tcW w:w="1276" w:type="dxa"/>
            <w:vAlign w:val="center"/>
          </w:tcPr>
          <w:p>
            <w:pPr>
              <w:pStyle w:val="38"/>
              <w:spacing w:before="24" w:after="24" w:line="240" w:lineRule="auto"/>
              <w:rPr>
                <w:rFonts w:ascii="Times New Roman"/>
                <w:snapToGrid w:val="0"/>
                <w:color w:val="000000"/>
                <w:kern w:val="21"/>
                <w:szCs w:val="21"/>
                <w:lang w:val="en-US" w:eastAsia="zh-CN"/>
              </w:rPr>
            </w:pPr>
          </w:p>
        </w:tc>
        <w:tc>
          <w:tcPr>
            <w:tcW w:w="1701" w:type="dxa"/>
            <w:vAlign w:val="center"/>
          </w:tcPr>
          <w:p>
            <w:pPr>
              <w:pStyle w:val="111"/>
              <w:rPr>
                <w:color w:val="000000"/>
                <w:lang w:val="en-US" w:eastAsia="zh-CN"/>
              </w:rPr>
            </w:pPr>
          </w:p>
        </w:tc>
        <w:tc>
          <w:tcPr>
            <w:tcW w:w="1559" w:type="dxa"/>
            <w:vAlign w:val="center"/>
          </w:tcPr>
          <w:p>
            <w:pPr>
              <w:pStyle w:val="38"/>
              <w:spacing w:before="24" w:after="24"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14.7t/a</w:t>
            </w:r>
          </w:p>
        </w:tc>
        <w:tc>
          <w:tcPr>
            <w:tcW w:w="1418" w:type="dxa"/>
            <w:vAlign w:val="center"/>
          </w:tcPr>
          <w:p>
            <w:pPr>
              <w:pStyle w:val="38"/>
              <w:spacing w:before="24" w:after="24" w:line="240" w:lineRule="auto"/>
              <w:rPr>
                <w:rFonts w:ascii="Times New Roman"/>
                <w:snapToGrid w:val="0"/>
                <w:color w:val="000000"/>
                <w:kern w:val="21"/>
                <w:szCs w:val="21"/>
                <w:lang w:val="en-US" w:eastAsia="zh-CN"/>
              </w:rPr>
            </w:pPr>
          </w:p>
        </w:tc>
        <w:tc>
          <w:tcPr>
            <w:tcW w:w="1559" w:type="dxa"/>
            <w:vAlign w:val="center"/>
          </w:tcPr>
          <w:p>
            <w:pPr>
              <w:pStyle w:val="38"/>
              <w:spacing w:before="24" w:after="24"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14.7t/a</w:t>
            </w:r>
          </w:p>
        </w:tc>
        <w:tc>
          <w:tcPr>
            <w:tcW w:w="1569" w:type="dxa"/>
            <w:vAlign w:val="center"/>
          </w:tcPr>
          <w:p>
            <w:pPr>
              <w:pStyle w:val="38"/>
              <w:spacing w:before="24" w:after="24" w:line="240" w:lineRule="auto"/>
              <w:rPr>
                <w:rFonts w:ascii="Times New Roman"/>
                <w:snapToGrid w:val="0"/>
                <w:color w:val="000000"/>
                <w:kern w:val="21"/>
                <w:szCs w:val="21"/>
                <w:lang w:val="en-US" w:eastAsia="zh-CN"/>
              </w:rPr>
            </w:pPr>
            <w:r>
              <w:rPr>
                <w:rFonts w:hint="eastAsia" w:ascii="Times New Roman"/>
                <w:snapToGrid w:val="0"/>
                <w:color w:val="000000"/>
                <w:kern w:val="21"/>
                <w:szCs w:val="21"/>
                <w:lang w:val="en-US" w:eastAsia="zh-CN"/>
              </w:rPr>
              <w:t>+14.7t/a</w:t>
            </w:r>
          </w:p>
        </w:tc>
      </w:tr>
    </w:tbl>
    <w:p>
      <w:pPr>
        <w:pStyle w:val="38"/>
        <w:spacing w:before="192" w:beforeLines="80" w:after="24"/>
        <w:jc w:val="left"/>
        <w:rPr>
          <w:color w:val="000000"/>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color w:val="000000"/>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hint="eastAsia" w:hAnsi="宋体" w:cs="宋体"/>
          <w:color w:val="000000"/>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hint="eastAsia" w:hAnsi="宋体" w:cs="宋体"/>
          <w:color w:val="000000"/>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hint="eastAsia" w:hAnsi="宋体" w:cs="宋体"/>
          <w:color w:val="000000"/>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hint="eastAsia" w:hAnsi="宋体" w:cs="宋体"/>
          <w:color w:val="000000"/>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color w:val="000000"/>
          <w:szCs w:val="21"/>
        </w:rPr>
        <w:t>①</w:t>
      </w:r>
      <w:r>
        <w:rPr>
          <w:rFonts w:ascii="Times New Roman"/>
          <w:snapToGrid w:val="0"/>
          <w:color w:val="000000"/>
          <w:spacing w:val="-6"/>
          <w:kern w:val="21"/>
          <w:szCs w:val="21"/>
        </w:rPr>
        <w:fldChar w:fldCharType="end"/>
      </w:r>
    </w:p>
    <w:p>
      <w:pPr>
        <w:rPr>
          <w:color w:val="000000"/>
        </w:rPr>
        <w:sectPr>
          <w:pgSz w:w="16838" w:h="11906" w:orient="landscape"/>
          <w:pgMar w:top="1531" w:right="1701" w:bottom="1531" w:left="1701" w:header="851" w:footer="851" w:gutter="0"/>
          <w:cols w:space="720" w:num="1"/>
          <w:docGrid w:linePitch="312" w:charSpace="0"/>
        </w:sectPr>
      </w:pPr>
    </w:p>
    <w:p>
      <w:pPr>
        <w:pStyle w:val="17"/>
        <w:adjustRightInd w:val="0"/>
        <w:snapToGrid w:val="0"/>
        <w:spacing w:before="0" w:beforeAutospacing="0" w:after="0" w:afterAutospacing="0"/>
        <w:outlineLvl w:val="0"/>
        <w:rPr>
          <w:rFonts w:hint="eastAsia"/>
          <w:color w:val="000000"/>
        </w:rPr>
      </w:pPr>
      <w:r>
        <w:rPr>
          <w:rFonts w:ascii="Times New Roman" w:hAnsi="Times New Roman" w:eastAsia="黑体"/>
          <w:color w:val="000000"/>
        </w:rPr>
        <w:drawing>
          <wp:anchor distT="0" distB="0" distL="114300" distR="114300" simplePos="0" relativeHeight="251659264" behindDoc="0" locked="0" layoutInCell="1" allowOverlap="1">
            <wp:simplePos x="0" y="0"/>
            <wp:positionH relativeFrom="column">
              <wp:posOffset>132080</wp:posOffset>
            </wp:positionH>
            <wp:positionV relativeFrom="paragraph">
              <wp:posOffset>1128395</wp:posOffset>
            </wp:positionV>
            <wp:extent cx="5555615" cy="5934710"/>
            <wp:effectExtent l="0" t="0" r="0" b="0"/>
            <wp:wrapSquare wrapText="bothSides"/>
            <wp:docPr id="2379" name="图片 83" descr="福清行政区划"/>
            <wp:cNvGraphicFramePr/>
            <a:graphic xmlns:a="http://schemas.openxmlformats.org/drawingml/2006/main">
              <a:graphicData uri="http://schemas.openxmlformats.org/drawingml/2006/picture">
                <pic:pic xmlns:pic="http://schemas.openxmlformats.org/drawingml/2006/picture">
                  <pic:nvPicPr>
                    <pic:cNvPr id="2379" name="图片 83" descr="福清行政区划"/>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55615" cy="5934710"/>
                    </a:xfrm>
                    <a:prstGeom prst="rect">
                      <a:avLst/>
                    </a:prstGeom>
                    <a:noFill/>
                    <a:ln>
                      <a:noFill/>
                    </a:ln>
                  </pic:spPr>
                </pic:pic>
              </a:graphicData>
            </a:graphic>
          </wp:anchor>
        </w:drawing>
      </w:r>
      <w:r>
        <w:rPr>
          <w:rFonts w:ascii="Times New Roman" w:hAnsi="Times New Roman" w:eastAsia="黑体"/>
          <w:color w:val="000000"/>
        </w:rPr>
        <w:t>附图一：项目地理位置图</w:t>
      </w:r>
    </w:p>
    <w:p>
      <w:pPr>
        <w:adjustRightInd w:val="0"/>
        <w:spacing w:line="360" w:lineRule="auto"/>
        <w:contextualSpacing/>
        <w:jc w:val="center"/>
        <w:rPr>
          <w:color w:val="000000"/>
          <w:sz w:val="24"/>
          <w:szCs w:val="22"/>
        </w:rPr>
      </w:pPr>
    </w:p>
    <w:p>
      <w:pPr>
        <w:spacing w:line="360" w:lineRule="auto"/>
        <w:ind w:right="140"/>
        <w:jc w:val="center"/>
        <w:rPr>
          <w:b/>
          <w:color w:val="000000"/>
          <w:sz w:val="24"/>
        </w:rPr>
      </w:pPr>
    </w:p>
    <w:p>
      <w:pPr>
        <w:spacing w:line="360" w:lineRule="auto"/>
        <w:ind w:right="140"/>
        <w:jc w:val="center"/>
        <w:rPr>
          <w:b/>
          <w:color w:val="000000"/>
          <w:sz w:val="24"/>
        </w:rPr>
      </w:pPr>
      <w:r>
        <w:rPr>
          <w:color w:val="000000"/>
        </w:rPr>
        <mc:AlternateContent>
          <mc:Choice Requires="wps">
            <w:drawing>
              <wp:anchor distT="0" distB="0" distL="114300" distR="114300" simplePos="0" relativeHeight="251660288" behindDoc="0" locked="0" layoutInCell="1" allowOverlap="1">
                <wp:simplePos x="0" y="0"/>
                <wp:positionH relativeFrom="column">
                  <wp:posOffset>2780030</wp:posOffset>
                </wp:positionH>
                <wp:positionV relativeFrom="paragraph">
                  <wp:posOffset>2207895</wp:posOffset>
                </wp:positionV>
                <wp:extent cx="732155" cy="309245"/>
                <wp:effectExtent l="152400" t="393700" r="4445" b="0"/>
                <wp:wrapNone/>
                <wp:docPr id="1233347823" name="AutoShape 4"/>
                <wp:cNvGraphicFramePr/>
                <a:graphic xmlns:a="http://schemas.openxmlformats.org/drawingml/2006/main">
                  <a:graphicData uri="http://schemas.microsoft.com/office/word/2010/wordprocessingShape">
                    <wps:wsp>
                      <wps:cNvSpPr/>
                      <wps:spPr bwMode="auto">
                        <a:xfrm flipV="1">
                          <a:off x="0" y="0"/>
                          <a:ext cx="732155" cy="309245"/>
                        </a:xfrm>
                        <a:prstGeom prst="wedgeRectCallout">
                          <a:avLst>
                            <a:gd name="adj1" fmla="val -69370"/>
                            <a:gd name="adj2" fmla="val 173407"/>
                          </a:avLst>
                        </a:prstGeom>
                        <a:solidFill>
                          <a:srgbClr val="FFFFFF"/>
                        </a:solidFill>
                        <a:ln w="12700">
                          <a:solidFill>
                            <a:srgbClr val="000000"/>
                          </a:solidFill>
                          <a:miter lim="200000"/>
                        </a:ln>
                      </wps:spPr>
                      <wps:txbx>
                        <w:txbxContent>
                          <w:p>
                            <w:pPr>
                              <w:rPr>
                                <w:szCs w:val="21"/>
                              </w:rPr>
                            </w:pPr>
                            <w:r>
                              <w:rPr>
                                <w:rFonts w:hint="eastAsia"/>
                                <w:szCs w:val="21"/>
                              </w:rPr>
                              <w:t>本项目</w:t>
                            </w:r>
                          </w:p>
                        </w:txbxContent>
                      </wps:txbx>
                      <wps:bodyPr rot="0" vert="horz" wrap="square" lIns="91440" tIns="45720" rIns="91440" bIns="45720" anchor="ctr" anchorCtr="0" upright="1">
                        <a:noAutofit/>
                      </wps:bodyPr>
                    </wps:wsp>
                  </a:graphicData>
                </a:graphic>
              </wp:anchor>
            </w:drawing>
          </mc:Choice>
          <mc:Fallback>
            <w:pict>
              <v:shape id="AutoShape 4" o:spid="_x0000_s1026" o:spt="61" type="#_x0000_t61" style="position:absolute;left:0pt;flip:y;margin-left:218.9pt;margin-top:173.85pt;height:24.35pt;width:57.65pt;z-index:251660288;v-text-anchor:middle;mso-width-relative:page;mso-height-relative:page;" fillcolor="#FFFFFF" filled="t" stroked="t" coordsize="21600,21600" o:gfxdata="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53Ac90AAAAL&#10;AQAADwAAAAAAAAABACAAAAAiAAAAZHJzL2Rvd25yZXYueG1sUEsBAhQAFAAAAAgAh07iQPyz88VQ&#10;AgAAwQQAAA4AAAAAAAAAAQAgAAAALAEAAGRycy9lMm9Eb2MueG1sUEsFBgAAAAAGAAYAWQEAAO4F&#10;AAAAAA==&#10;" adj="-4184,48256">
                <v:fill on="t" focussize="0,0"/>
                <v:stroke weight="1pt" color="#000000" miterlimit="2" joinstyle="miter"/>
                <v:imagedata o:title=""/>
                <o:lock v:ext="edit" aspectratio="f"/>
                <v:textbox>
                  <w:txbxContent>
                    <w:p>
                      <w:pPr>
                        <w:rPr>
                          <w:szCs w:val="21"/>
                        </w:rPr>
                      </w:pPr>
                      <w:r>
                        <w:rPr>
                          <w:rFonts w:hint="eastAsia"/>
                          <w:szCs w:val="21"/>
                        </w:rPr>
                        <w:t>本项目</w:t>
                      </w:r>
                    </w:p>
                  </w:txbxContent>
                </v:textbox>
              </v:shape>
            </w:pict>
          </mc:Fallback>
        </mc:AlternateContent>
      </w:r>
      <w:r>
        <w:rPr>
          <w:color w:val="000000"/>
        </w:rPr>
        <mc:AlternateContent>
          <mc:Choice Requires="wps">
            <w:drawing>
              <wp:anchor distT="0" distB="0" distL="114300" distR="114300" simplePos="0" relativeHeight="251661312" behindDoc="0" locked="0" layoutInCell="1" allowOverlap="1">
                <wp:simplePos x="0" y="0"/>
                <wp:positionH relativeFrom="column">
                  <wp:posOffset>2489200</wp:posOffset>
                </wp:positionH>
                <wp:positionV relativeFrom="paragraph">
                  <wp:posOffset>1711960</wp:posOffset>
                </wp:positionV>
                <wp:extent cx="208280" cy="191770"/>
                <wp:effectExtent l="25400" t="25400" r="7620" b="11430"/>
                <wp:wrapNone/>
                <wp:docPr id="1504954372" name="自选图形 10"/>
                <wp:cNvGraphicFramePr/>
                <a:graphic xmlns:a="http://schemas.openxmlformats.org/drawingml/2006/main">
                  <a:graphicData uri="http://schemas.microsoft.com/office/word/2010/wordprocessingShape">
                    <wps:wsp>
                      <wps:cNvSpPr/>
                      <wps:spPr bwMode="auto">
                        <a:xfrm>
                          <a:off x="0" y="0"/>
                          <a:ext cx="208280" cy="19177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自选图形 10" o:spid="_x0000_s1026" style="position:absolute;left:0pt;margin-left:196pt;margin-top:134.8pt;height:15.1pt;width:16.4pt;z-index:251661312;mso-width-relative:page;mso-height-relative:page;" fillcolor="#FF0000" filled="t" stroked="t" coordsize="208280,191770" o:gfxdata="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b6tt9kAAAALAQAADwAAAAAAAAABACAAAAAiAAAAZHJzL2Rvd25yZXYueG1sUEsBAhQA&#10;FAAAAAgAh07iQMD8yHYqAgAATwQAAA4AAAAAAAAAAQAgAAAAKAEAAGRycy9lMm9Eb2MueG1sUEsF&#10;BgAAAAAGAAYAWQEAAMQFAAAAAA==&#10;" path="m0,73249l79556,73249,104140,0,128723,73249,208279,73249,143917,118519,168501,191769,104140,146498,39778,191769,64362,118519xe">
                <v:path o:connectlocs="104140,0;0,73249;39778,191769;168501,191769;208279,73249" o:connectangles="247,164,82,82,0"/>
                <v:fill on="t" focussize="0,0"/>
                <v:stroke color="#FF0000" miterlimit="8" joinstyle="miter"/>
                <v:imagedata o:title=""/>
                <o:lock v:ext="edit" aspectratio="f"/>
              </v:shape>
            </w:pict>
          </mc:Fallback>
        </mc:AlternateContent>
      </w:r>
    </w:p>
    <w:p>
      <w:pPr>
        <w:pStyle w:val="88"/>
        <w:rPr>
          <w:color w:val="000000"/>
        </w:rPr>
      </w:pPr>
    </w:p>
    <w:p>
      <w:pPr>
        <w:jc w:val="center"/>
        <w:rPr>
          <w:rFonts w:eastAsia="黑体"/>
          <w:color w:val="000000"/>
        </w:rPr>
        <w:sectPr>
          <w:pgSz w:w="11906" w:h="16838"/>
          <w:pgMar w:top="1701" w:right="1531" w:bottom="1701" w:left="1531" w:header="851" w:footer="851" w:gutter="0"/>
          <w:cols w:space="720" w:num="1"/>
          <w:docGrid w:linePitch="312" w:charSpace="0"/>
        </w:sectPr>
      </w:pPr>
    </w:p>
    <w:p>
      <w:pPr>
        <w:pStyle w:val="17"/>
        <w:adjustRightInd w:val="0"/>
        <w:snapToGrid w:val="0"/>
        <w:spacing w:before="0" w:beforeAutospacing="0" w:after="0" w:afterAutospacing="0"/>
        <w:outlineLvl w:val="0"/>
        <w:rPr>
          <w:rFonts w:ascii="Times New Roman" w:hAnsi="Times New Roman" w:eastAsia="黑体"/>
          <w:color w:val="000000"/>
          <w:lang w:eastAsia="zh-CN"/>
        </w:rPr>
      </w:pPr>
      <w:r>
        <w:rPr>
          <w:rFonts w:hint="eastAsia" w:ascii="Times New Roman" w:hAnsi="Times New Roman" w:eastAsia="黑体"/>
          <w:color w:val="000000"/>
        </w:rPr>
        <w:t>附件</w:t>
      </w:r>
      <w:r>
        <w:rPr>
          <w:rFonts w:hint="eastAsia" w:ascii="Times New Roman" w:hAnsi="Times New Roman" w:eastAsia="黑体"/>
          <w:color w:val="000000"/>
          <w:lang w:eastAsia="zh-CN"/>
        </w:rPr>
        <w:t>九</w:t>
      </w:r>
      <w:r>
        <w:rPr>
          <w:rFonts w:hint="eastAsia" w:ascii="Times New Roman" w:hAnsi="Times New Roman" w:eastAsia="黑体"/>
          <w:color w:val="000000"/>
        </w:rPr>
        <w:t>：</w:t>
      </w:r>
      <w:r>
        <w:rPr>
          <w:rFonts w:ascii="Times New Roman" w:hAnsi="Times New Roman" w:eastAsia="黑体"/>
          <w:color w:val="000000"/>
        </w:rPr>
        <w:t>关于环评文件</w:t>
      </w:r>
      <w:r>
        <w:rPr>
          <w:rFonts w:hint="eastAsia" w:ascii="Times New Roman" w:hAnsi="Times New Roman" w:eastAsia="黑体"/>
          <w:color w:val="000000"/>
        </w:rPr>
        <w:t>公开文本</w:t>
      </w:r>
      <w:r>
        <w:rPr>
          <w:rFonts w:ascii="Times New Roman" w:hAnsi="Times New Roman" w:eastAsia="黑体"/>
          <w:color w:val="000000"/>
        </w:rPr>
        <w:t>删除的涉及国家秘密、商业秘密等内容的说明</w:t>
      </w:r>
    </w:p>
    <w:p>
      <w:pPr>
        <w:rPr>
          <w:color w:val="000000"/>
        </w:rPr>
      </w:pPr>
      <w:r>
        <w:rPr>
          <w:color w:val="000000"/>
        </w:rPr>
        <w:drawing>
          <wp:inline distT="0" distB="0" distL="0" distR="0">
            <wp:extent cx="5759450" cy="8141335"/>
            <wp:effectExtent l="0" t="0" r="0" b="0"/>
            <wp:docPr id="11837839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83906"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60000" cy="8141764"/>
                    </a:xfrm>
                    <a:prstGeom prst="rect">
                      <a:avLst/>
                    </a:prstGeom>
                    <a:noFill/>
                    <a:ln>
                      <a:noFill/>
                    </a:ln>
                  </pic:spPr>
                </pic:pic>
              </a:graphicData>
            </a:graphic>
          </wp:inline>
        </w:drawing>
      </w:r>
    </w:p>
    <w:p>
      <w:pPr>
        <w:rPr>
          <w:color w:val="000000"/>
        </w:rPr>
      </w:pPr>
    </w:p>
    <w:p>
      <w:pPr>
        <w:rPr>
          <w:color w:val="000000"/>
        </w:rPr>
      </w:pPr>
      <w:r>
        <w:rPr>
          <w:color w:val="000000"/>
        </w:rPr>
        <w:drawing>
          <wp:inline distT="0" distB="0" distL="0" distR="0">
            <wp:extent cx="5759450" cy="8141335"/>
            <wp:effectExtent l="0" t="0" r="0" b="0"/>
            <wp:docPr id="2631225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2252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60000" cy="8141764"/>
                    </a:xfrm>
                    <a:prstGeom prst="rect">
                      <a:avLst/>
                    </a:prstGeom>
                    <a:noFill/>
                    <a:ln>
                      <a:noFill/>
                    </a:ln>
                  </pic:spPr>
                </pic:pic>
              </a:graphicData>
            </a:graphic>
          </wp:inline>
        </w:drawing>
      </w:r>
    </w:p>
    <w:p>
      <w:pPr>
        <w:rPr>
          <w:color w:val="000000"/>
        </w:rPr>
      </w:pPr>
    </w:p>
    <w:p>
      <w:pPr>
        <w:pStyle w:val="17"/>
        <w:adjustRightInd w:val="0"/>
        <w:snapToGrid w:val="0"/>
        <w:spacing w:before="0" w:beforeAutospacing="0" w:after="0" w:afterAutospacing="0"/>
        <w:outlineLvl w:val="0"/>
        <w:rPr>
          <w:color w:val="000000"/>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方正楷体简体">
    <w:altName w:val="宋体"/>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imesNewRoman">
    <w:altName w:val="Times New Roman"/>
    <w:panose1 w:val="00000000000000000000"/>
    <w:charset w:val="00"/>
    <w:family w:val="roman"/>
    <w:pitch w:val="default"/>
    <w:sig w:usb0="00000000" w:usb1="00000000" w:usb2="00000000" w:usb3="00000000" w:csb0="00000000" w:csb1="00000000"/>
  </w:font>
  <w:font w:name="Plotter">
    <w:altName w:val="Times New Roman"/>
    <w:panose1 w:val="00000000000000000000"/>
    <w:charset w:val="00"/>
    <w:family w:val="roman"/>
    <w:pitch w:val="default"/>
    <w:sig w:usb0="00000000" w:usb1="00000000" w:usb2="0000006E" w:usb3="00000000" w:csb0="81620314" w:csb1="BFF7D17E"/>
  </w:font>
  <w:font w:name="楷体_GB2312">
    <w:altName w:val="楷体"/>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16</w:t>
    </w:r>
    <w:r>
      <w:rPr>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jc w:val="center"/>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50</w:t>
    </w:r>
    <w:r>
      <w:rPr>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83</w:t>
    </w:r>
    <w:r>
      <w:rPr>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B77C4"/>
    <w:multiLevelType w:val="singleLevel"/>
    <w:tmpl w:val="A0BB77C4"/>
    <w:lvl w:ilvl="0" w:tentative="0">
      <w:start w:val="2"/>
      <w:numFmt w:val="decimal"/>
      <w:suff w:val="nothing"/>
      <w:lvlText w:val="（%1）"/>
      <w:lvlJc w:val="left"/>
    </w:lvl>
  </w:abstractNum>
  <w:abstractNum w:abstractNumId="1">
    <w:nsid w:val="15A04CB8"/>
    <w:multiLevelType w:val="multilevel"/>
    <w:tmpl w:val="15A04CB8"/>
    <w:lvl w:ilvl="0" w:tentative="0">
      <w:start w:val="1"/>
      <w:numFmt w:val="decimal"/>
      <w:lvlText w:val="表1.1-%1"/>
      <w:lvlJc w:val="left"/>
      <w:pPr>
        <w:ind w:left="420" w:hanging="420"/>
      </w:pPr>
      <w:rPr>
        <w:rFonts w:hint="eastAsia"/>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6B4282A"/>
    <w:multiLevelType w:val="multilevel"/>
    <w:tmpl w:val="76B4282A"/>
    <w:lvl w:ilvl="0" w:tentative="0">
      <w:start w:val="1"/>
      <w:numFmt w:val="chineseCountingThousand"/>
      <w:pStyle w:val="79"/>
      <w:suff w:val="space"/>
      <w:lvlText w:val="%1、"/>
      <w:lvlJc w:val="left"/>
      <w:pPr>
        <w:ind w:left="0" w:firstLine="0"/>
      </w:pPr>
      <w:rPr>
        <w:b w:val="0"/>
        <w:bCs w:val="0"/>
        <w:i w:val="0"/>
        <w:iCs w:val="0"/>
        <w:caps w:val="0"/>
        <w:smallCaps w:val="0"/>
        <w:strike w:val="0"/>
        <w:dstrike w:val="0"/>
        <w:vanish w:val="0"/>
        <w:color w:val="000000"/>
        <w:spacing w:val="0"/>
        <w:position w:val="0"/>
        <w:u w:val="none"/>
        <w:vertAlign w:val="baseline"/>
      </w:rPr>
    </w:lvl>
    <w:lvl w:ilvl="1" w:tentative="0">
      <w:start w:val="1"/>
      <w:numFmt w:val="decimal"/>
      <w:pStyle w:val="75"/>
      <w:isLgl/>
      <w:suff w:val="space"/>
      <w:lvlText w:val="%1.%2 "/>
      <w:lvlJc w:val="left"/>
      <w:pPr>
        <w:ind w:left="4962" w:firstLine="0"/>
      </w:pPr>
      <w:rPr>
        <w:rFonts w:hint="eastAsia"/>
        <w:b/>
        <w:bCs w:val="0"/>
        <w:i w:val="0"/>
        <w:iCs w:val="0"/>
        <w:caps w:val="0"/>
        <w:smallCaps w:val="0"/>
        <w:strike w:val="0"/>
        <w:dstrike w:val="0"/>
        <w:vanish w:val="0"/>
        <w:color w:val="000000"/>
        <w:spacing w:val="0"/>
        <w:position w:val="0"/>
        <w:u w:val="none"/>
        <w:vertAlign w:val="baseline"/>
      </w:rPr>
    </w:lvl>
    <w:lvl w:ilvl="2" w:tentative="0">
      <w:start w:val="1"/>
      <w:numFmt w:val="decimal"/>
      <w:pStyle w:val="77"/>
      <w:isLgl/>
      <w:suff w:val="space"/>
      <w:lvlText w:val="%1.%2.%3 "/>
      <w:lvlJc w:val="left"/>
      <w:pPr>
        <w:ind w:left="0" w:firstLine="0"/>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rPr>
    </w:lvl>
    <w:lvl w:ilvl="3" w:tentative="0">
      <w:start w:val="1"/>
      <w:numFmt w:val="decimal"/>
      <w:pStyle w:val="76"/>
      <w:isLgl/>
      <w:suff w:val="space"/>
      <w:lvlText w:val="%1.%2.%3.%4 "/>
      <w:lvlJc w:val="left"/>
      <w:pPr>
        <w:ind w:left="0" w:firstLine="0"/>
      </w:pPr>
      <w:rPr>
        <w:rFonts w:hint="eastAsia"/>
      </w:rPr>
    </w:lvl>
    <w:lvl w:ilvl="4" w:tentative="0">
      <w:start w:val="1"/>
      <w:numFmt w:val="decimal"/>
      <w:lvlRestart w:val="2"/>
      <w:pStyle w:val="78"/>
      <w:isLgl/>
      <w:suff w:val="space"/>
      <w:lvlText w:val="表%1.%2-%5"/>
      <w:lvlJc w:val="left"/>
      <w:pPr>
        <w:ind w:left="0" w:firstLine="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5" w:tentative="0">
      <w:start w:val="1"/>
      <w:numFmt w:val="decimal"/>
      <w:lvlRestart w:val="2"/>
      <w:pStyle w:val="83"/>
      <w:isLgl/>
      <w:suff w:val="space"/>
      <w:lvlText w:val="图%1.%2-%6"/>
      <w:lvlJc w:val="left"/>
      <w:pPr>
        <w:ind w:left="0" w:firstLine="0"/>
      </w:pPr>
      <w:rPr>
        <w:rFonts w:hint="eastAsia"/>
      </w:rPr>
    </w:lvl>
    <w:lvl w:ilvl="6" w:tentative="0">
      <w:start w:val="1"/>
      <w:numFmt w:val="decimal"/>
      <w:lvlText w:val="%1.%2.%3.%4.%5.%6.%7"/>
      <w:lvlJc w:val="left"/>
      <w:pPr>
        <w:tabs>
          <w:tab w:val="left" w:pos="1566"/>
        </w:tabs>
        <w:ind w:left="0" w:firstLine="0"/>
      </w:pPr>
      <w:rPr>
        <w:rFonts w:hint="eastAsia"/>
      </w:rPr>
    </w:lvl>
    <w:lvl w:ilvl="7" w:tentative="0">
      <w:start w:val="1"/>
      <w:numFmt w:val="decimal"/>
      <w:lvlText w:val="%1.%2.%3.%4.%5.%6.%7.%8"/>
      <w:lvlJc w:val="left"/>
      <w:pPr>
        <w:tabs>
          <w:tab w:val="left" w:pos="1566"/>
        </w:tabs>
        <w:ind w:left="0" w:firstLine="0"/>
      </w:pPr>
      <w:rPr>
        <w:rFonts w:hint="eastAsia"/>
      </w:rPr>
    </w:lvl>
    <w:lvl w:ilvl="8" w:tentative="0">
      <w:start w:val="1"/>
      <w:numFmt w:val="decimal"/>
      <w:lvlText w:val="%1.%2.%3.%4.%5.%6.%7.%8.%9"/>
      <w:lvlJc w:val="left"/>
      <w:pPr>
        <w:tabs>
          <w:tab w:val="left" w:pos="1566"/>
        </w:tabs>
        <w:ind w:left="0" w:firstLine="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JkNThmZjUxOTU1N2YzNDYxZGEyYTVlOTE5ODBlNjMifQ=="/>
  </w:docVars>
  <w:rsids>
    <w:rsidRoot w:val="00172A27"/>
    <w:rsid w:val="000006B7"/>
    <w:rsid w:val="00002C17"/>
    <w:rsid w:val="00013B88"/>
    <w:rsid w:val="0001715E"/>
    <w:rsid w:val="00017EFE"/>
    <w:rsid w:val="00023BD3"/>
    <w:rsid w:val="0002539F"/>
    <w:rsid w:val="00026109"/>
    <w:rsid w:val="0002669B"/>
    <w:rsid w:val="0002670A"/>
    <w:rsid w:val="0002735F"/>
    <w:rsid w:val="00033D66"/>
    <w:rsid w:val="00041F78"/>
    <w:rsid w:val="0004500A"/>
    <w:rsid w:val="0004625E"/>
    <w:rsid w:val="00047CE5"/>
    <w:rsid w:val="000504D5"/>
    <w:rsid w:val="00054849"/>
    <w:rsid w:val="0005723B"/>
    <w:rsid w:val="000638B0"/>
    <w:rsid w:val="000709B3"/>
    <w:rsid w:val="00070FEB"/>
    <w:rsid w:val="000712D1"/>
    <w:rsid w:val="0007135B"/>
    <w:rsid w:val="00072AC4"/>
    <w:rsid w:val="00072AE2"/>
    <w:rsid w:val="00077A22"/>
    <w:rsid w:val="00077F74"/>
    <w:rsid w:val="000856F5"/>
    <w:rsid w:val="000868B3"/>
    <w:rsid w:val="00090497"/>
    <w:rsid w:val="00090E11"/>
    <w:rsid w:val="00091270"/>
    <w:rsid w:val="0009645A"/>
    <w:rsid w:val="00096B35"/>
    <w:rsid w:val="000A38EE"/>
    <w:rsid w:val="000A5049"/>
    <w:rsid w:val="000B1EFA"/>
    <w:rsid w:val="000B232E"/>
    <w:rsid w:val="000B50F7"/>
    <w:rsid w:val="000B598F"/>
    <w:rsid w:val="000C0CEC"/>
    <w:rsid w:val="000C4E66"/>
    <w:rsid w:val="000C50E9"/>
    <w:rsid w:val="000D0202"/>
    <w:rsid w:val="000D195C"/>
    <w:rsid w:val="000D3EBA"/>
    <w:rsid w:val="000D539C"/>
    <w:rsid w:val="000D57F5"/>
    <w:rsid w:val="000D6347"/>
    <w:rsid w:val="000D6D62"/>
    <w:rsid w:val="000E23E3"/>
    <w:rsid w:val="000E6771"/>
    <w:rsid w:val="000E7807"/>
    <w:rsid w:val="000F58E9"/>
    <w:rsid w:val="0010301C"/>
    <w:rsid w:val="00106151"/>
    <w:rsid w:val="0011024D"/>
    <w:rsid w:val="0011169E"/>
    <w:rsid w:val="00113481"/>
    <w:rsid w:val="001143A9"/>
    <w:rsid w:val="0011718E"/>
    <w:rsid w:val="00117263"/>
    <w:rsid w:val="00123CC1"/>
    <w:rsid w:val="00124634"/>
    <w:rsid w:val="001275D1"/>
    <w:rsid w:val="001332A8"/>
    <w:rsid w:val="00134530"/>
    <w:rsid w:val="001349E9"/>
    <w:rsid w:val="00137686"/>
    <w:rsid w:val="001401E5"/>
    <w:rsid w:val="00140FCF"/>
    <w:rsid w:val="00143DC7"/>
    <w:rsid w:val="00143E13"/>
    <w:rsid w:val="00147C2E"/>
    <w:rsid w:val="00152FCC"/>
    <w:rsid w:val="00154536"/>
    <w:rsid w:val="001545C1"/>
    <w:rsid w:val="001559F8"/>
    <w:rsid w:val="00164068"/>
    <w:rsid w:val="00165856"/>
    <w:rsid w:val="001702A3"/>
    <w:rsid w:val="001709BF"/>
    <w:rsid w:val="00172A27"/>
    <w:rsid w:val="0017660A"/>
    <w:rsid w:val="0017664D"/>
    <w:rsid w:val="00180664"/>
    <w:rsid w:val="001812EE"/>
    <w:rsid w:val="00182E4C"/>
    <w:rsid w:val="00183150"/>
    <w:rsid w:val="00184AD1"/>
    <w:rsid w:val="00185C62"/>
    <w:rsid w:val="00186706"/>
    <w:rsid w:val="00190684"/>
    <w:rsid w:val="00190818"/>
    <w:rsid w:val="00192D88"/>
    <w:rsid w:val="00193BAB"/>
    <w:rsid w:val="001A1EF4"/>
    <w:rsid w:val="001A4131"/>
    <w:rsid w:val="001A4E8A"/>
    <w:rsid w:val="001B465E"/>
    <w:rsid w:val="001B574B"/>
    <w:rsid w:val="001C32FA"/>
    <w:rsid w:val="001C3C48"/>
    <w:rsid w:val="001C768D"/>
    <w:rsid w:val="001D5A5A"/>
    <w:rsid w:val="001D5EF9"/>
    <w:rsid w:val="001D7E70"/>
    <w:rsid w:val="001E08B7"/>
    <w:rsid w:val="001E278F"/>
    <w:rsid w:val="001E5B8E"/>
    <w:rsid w:val="001E762B"/>
    <w:rsid w:val="001F30B7"/>
    <w:rsid w:val="001F4655"/>
    <w:rsid w:val="001F68C8"/>
    <w:rsid w:val="001F7398"/>
    <w:rsid w:val="002037D9"/>
    <w:rsid w:val="00203F8B"/>
    <w:rsid w:val="0020411C"/>
    <w:rsid w:val="00205439"/>
    <w:rsid w:val="00205636"/>
    <w:rsid w:val="00207DE6"/>
    <w:rsid w:val="00210749"/>
    <w:rsid w:val="00212F3C"/>
    <w:rsid w:val="00213683"/>
    <w:rsid w:val="0021505E"/>
    <w:rsid w:val="002154FC"/>
    <w:rsid w:val="00217838"/>
    <w:rsid w:val="002240DA"/>
    <w:rsid w:val="00225CB9"/>
    <w:rsid w:val="002302BF"/>
    <w:rsid w:val="00235418"/>
    <w:rsid w:val="00241B86"/>
    <w:rsid w:val="00244566"/>
    <w:rsid w:val="00250C43"/>
    <w:rsid w:val="00257010"/>
    <w:rsid w:val="00264470"/>
    <w:rsid w:val="00265E29"/>
    <w:rsid w:val="00267091"/>
    <w:rsid w:val="00273B25"/>
    <w:rsid w:val="00274640"/>
    <w:rsid w:val="00274A77"/>
    <w:rsid w:val="0027764C"/>
    <w:rsid w:val="0028031E"/>
    <w:rsid w:val="00281C83"/>
    <w:rsid w:val="00282B55"/>
    <w:rsid w:val="0028342B"/>
    <w:rsid w:val="00283DFE"/>
    <w:rsid w:val="002856F4"/>
    <w:rsid w:val="0028653D"/>
    <w:rsid w:val="00286935"/>
    <w:rsid w:val="002873A6"/>
    <w:rsid w:val="002919EE"/>
    <w:rsid w:val="00293DB6"/>
    <w:rsid w:val="00294FDC"/>
    <w:rsid w:val="00295663"/>
    <w:rsid w:val="00296C49"/>
    <w:rsid w:val="002A0609"/>
    <w:rsid w:val="002A1251"/>
    <w:rsid w:val="002A22AD"/>
    <w:rsid w:val="002A32ED"/>
    <w:rsid w:val="002A670F"/>
    <w:rsid w:val="002A7397"/>
    <w:rsid w:val="002B18F1"/>
    <w:rsid w:val="002B3A92"/>
    <w:rsid w:val="002B4389"/>
    <w:rsid w:val="002B5371"/>
    <w:rsid w:val="002C4B7E"/>
    <w:rsid w:val="002C4E30"/>
    <w:rsid w:val="002C5E18"/>
    <w:rsid w:val="002C74CE"/>
    <w:rsid w:val="002D106F"/>
    <w:rsid w:val="002D2BBA"/>
    <w:rsid w:val="002E3F22"/>
    <w:rsid w:val="002E6CBB"/>
    <w:rsid w:val="002F5D12"/>
    <w:rsid w:val="002F647E"/>
    <w:rsid w:val="00301DC4"/>
    <w:rsid w:val="00303BE6"/>
    <w:rsid w:val="003067C9"/>
    <w:rsid w:val="00307B63"/>
    <w:rsid w:val="003120F1"/>
    <w:rsid w:val="003144F4"/>
    <w:rsid w:val="003162F5"/>
    <w:rsid w:val="00317242"/>
    <w:rsid w:val="00322023"/>
    <w:rsid w:val="003243B7"/>
    <w:rsid w:val="003256D6"/>
    <w:rsid w:val="00326FB6"/>
    <w:rsid w:val="003279E3"/>
    <w:rsid w:val="00331AD1"/>
    <w:rsid w:val="0033442A"/>
    <w:rsid w:val="0033599A"/>
    <w:rsid w:val="0034009F"/>
    <w:rsid w:val="00342241"/>
    <w:rsid w:val="00350CDC"/>
    <w:rsid w:val="00351C10"/>
    <w:rsid w:val="00352C04"/>
    <w:rsid w:val="00353D8A"/>
    <w:rsid w:val="003550CD"/>
    <w:rsid w:val="003577D7"/>
    <w:rsid w:val="00357FB2"/>
    <w:rsid w:val="00361B23"/>
    <w:rsid w:val="00364306"/>
    <w:rsid w:val="0036490C"/>
    <w:rsid w:val="00365833"/>
    <w:rsid w:val="003661BC"/>
    <w:rsid w:val="003668FE"/>
    <w:rsid w:val="0036755D"/>
    <w:rsid w:val="003734A0"/>
    <w:rsid w:val="00374298"/>
    <w:rsid w:val="003749CE"/>
    <w:rsid w:val="00377214"/>
    <w:rsid w:val="0037745B"/>
    <w:rsid w:val="00377A06"/>
    <w:rsid w:val="00382CE0"/>
    <w:rsid w:val="003869CF"/>
    <w:rsid w:val="00387473"/>
    <w:rsid w:val="003934CF"/>
    <w:rsid w:val="0039520D"/>
    <w:rsid w:val="00395AF6"/>
    <w:rsid w:val="003972C6"/>
    <w:rsid w:val="003A309B"/>
    <w:rsid w:val="003A3604"/>
    <w:rsid w:val="003A40C2"/>
    <w:rsid w:val="003A5D82"/>
    <w:rsid w:val="003A5F9B"/>
    <w:rsid w:val="003B15A8"/>
    <w:rsid w:val="003B1746"/>
    <w:rsid w:val="003B352B"/>
    <w:rsid w:val="003B46FC"/>
    <w:rsid w:val="003B49F5"/>
    <w:rsid w:val="003B4F30"/>
    <w:rsid w:val="003B5D8B"/>
    <w:rsid w:val="003B5F32"/>
    <w:rsid w:val="003B68FD"/>
    <w:rsid w:val="003B6BAC"/>
    <w:rsid w:val="003B7F6D"/>
    <w:rsid w:val="003C4005"/>
    <w:rsid w:val="003C4F95"/>
    <w:rsid w:val="003D06B7"/>
    <w:rsid w:val="003D1D1C"/>
    <w:rsid w:val="003D5274"/>
    <w:rsid w:val="003D5616"/>
    <w:rsid w:val="003D7E01"/>
    <w:rsid w:val="003E0E32"/>
    <w:rsid w:val="003E285D"/>
    <w:rsid w:val="003E6362"/>
    <w:rsid w:val="003E7B89"/>
    <w:rsid w:val="003F41A4"/>
    <w:rsid w:val="003F519B"/>
    <w:rsid w:val="003F581C"/>
    <w:rsid w:val="003F75AD"/>
    <w:rsid w:val="004015AE"/>
    <w:rsid w:val="0040504F"/>
    <w:rsid w:val="00407984"/>
    <w:rsid w:val="00407CB5"/>
    <w:rsid w:val="00410344"/>
    <w:rsid w:val="00410B6D"/>
    <w:rsid w:val="004139A5"/>
    <w:rsid w:val="004168C6"/>
    <w:rsid w:val="004206FC"/>
    <w:rsid w:val="00422B12"/>
    <w:rsid w:val="00422C07"/>
    <w:rsid w:val="0042751C"/>
    <w:rsid w:val="00433623"/>
    <w:rsid w:val="00434773"/>
    <w:rsid w:val="00440A01"/>
    <w:rsid w:val="00440FEC"/>
    <w:rsid w:val="00444CBB"/>
    <w:rsid w:val="004455C7"/>
    <w:rsid w:val="00446658"/>
    <w:rsid w:val="00447E90"/>
    <w:rsid w:val="00454222"/>
    <w:rsid w:val="0046187D"/>
    <w:rsid w:val="004631C1"/>
    <w:rsid w:val="00463421"/>
    <w:rsid w:val="004652B4"/>
    <w:rsid w:val="0046594A"/>
    <w:rsid w:val="0046679F"/>
    <w:rsid w:val="004678CA"/>
    <w:rsid w:val="004724D0"/>
    <w:rsid w:val="004765F8"/>
    <w:rsid w:val="00476B8E"/>
    <w:rsid w:val="0047775B"/>
    <w:rsid w:val="0047795B"/>
    <w:rsid w:val="0048041F"/>
    <w:rsid w:val="00484570"/>
    <w:rsid w:val="004877AB"/>
    <w:rsid w:val="004A1198"/>
    <w:rsid w:val="004A5278"/>
    <w:rsid w:val="004A566A"/>
    <w:rsid w:val="004A6CFC"/>
    <w:rsid w:val="004B1B34"/>
    <w:rsid w:val="004B4C85"/>
    <w:rsid w:val="004B5588"/>
    <w:rsid w:val="004B5CD4"/>
    <w:rsid w:val="004B5E47"/>
    <w:rsid w:val="004B7F2A"/>
    <w:rsid w:val="004C117D"/>
    <w:rsid w:val="004D1274"/>
    <w:rsid w:val="004D2509"/>
    <w:rsid w:val="004D26CD"/>
    <w:rsid w:val="004D33F6"/>
    <w:rsid w:val="004F0ED9"/>
    <w:rsid w:val="004F27A0"/>
    <w:rsid w:val="004F4972"/>
    <w:rsid w:val="004F6572"/>
    <w:rsid w:val="004F6709"/>
    <w:rsid w:val="004F7AD3"/>
    <w:rsid w:val="0050172A"/>
    <w:rsid w:val="00502A7C"/>
    <w:rsid w:val="00503694"/>
    <w:rsid w:val="00505268"/>
    <w:rsid w:val="005053E8"/>
    <w:rsid w:val="00505ADA"/>
    <w:rsid w:val="005069C9"/>
    <w:rsid w:val="00506CD7"/>
    <w:rsid w:val="00507FA4"/>
    <w:rsid w:val="00511A88"/>
    <w:rsid w:val="005120AD"/>
    <w:rsid w:val="00512BEB"/>
    <w:rsid w:val="00514DB0"/>
    <w:rsid w:val="005161DE"/>
    <w:rsid w:val="0051749D"/>
    <w:rsid w:val="005179A1"/>
    <w:rsid w:val="00520734"/>
    <w:rsid w:val="00522AFC"/>
    <w:rsid w:val="00527D07"/>
    <w:rsid w:val="00530334"/>
    <w:rsid w:val="00531290"/>
    <w:rsid w:val="00531BDC"/>
    <w:rsid w:val="0053396A"/>
    <w:rsid w:val="00536267"/>
    <w:rsid w:val="005369E1"/>
    <w:rsid w:val="00536E29"/>
    <w:rsid w:val="005407D8"/>
    <w:rsid w:val="00540825"/>
    <w:rsid w:val="00541B54"/>
    <w:rsid w:val="00542A1E"/>
    <w:rsid w:val="00543254"/>
    <w:rsid w:val="0054331C"/>
    <w:rsid w:val="005448CA"/>
    <w:rsid w:val="005503D4"/>
    <w:rsid w:val="00552136"/>
    <w:rsid w:val="00552C12"/>
    <w:rsid w:val="005541C3"/>
    <w:rsid w:val="005570D3"/>
    <w:rsid w:val="00562CE4"/>
    <w:rsid w:val="0056506E"/>
    <w:rsid w:val="00575632"/>
    <w:rsid w:val="0057671C"/>
    <w:rsid w:val="00580702"/>
    <w:rsid w:val="00585CEE"/>
    <w:rsid w:val="00591587"/>
    <w:rsid w:val="00592A0E"/>
    <w:rsid w:val="0059352D"/>
    <w:rsid w:val="00594C44"/>
    <w:rsid w:val="00597A62"/>
    <w:rsid w:val="005A16AE"/>
    <w:rsid w:val="005A54AA"/>
    <w:rsid w:val="005A6633"/>
    <w:rsid w:val="005B0710"/>
    <w:rsid w:val="005B1D60"/>
    <w:rsid w:val="005B4D16"/>
    <w:rsid w:val="005B6F01"/>
    <w:rsid w:val="005C151F"/>
    <w:rsid w:val="005C30C8"/>
    <w:rsid w:val="005C3DA5"/>
    <w:rsid w:val="005C75F9"/>
    <w:rsid w:val="005D3ECC"/>
    <w:rsid w:val="005D5274"/>
    <w:rsid w:val="005E4972"/>
    <w:rsid w:val="005F66CA"/>
    <w:rsid w:val="005F7841"/>
    <w:rsid w:val="005F7C9A"/>
    <w:rsid w:val="00606EA2"/>
    <w:rsid w:val="00611036"/>
    <w:rsid w:val="00612FAE"/>
    <w:rsid w:val="00613DF1"/>
    <w:rsid w:val="00615A06"/>
    <w:rsid w:val="00617E75"/>
    <w:rsid w:val="00622913"/>
    <w:rsid w:val="00626CB1"/>
    <w:rsid w:val="00627C21"/>
    <w:rsid w:val="00631B31"/>
    <w:rsid w:val="0063229B"/>
    <w:rsid w:val="00637166"/>
    <w:rsid w:val="006376ED"/>
    <w:rsid w:val="00640004"/>
    <w:rsid w:val="00645F28"/>
    <w:rsid w:val="0065057C"/>
    <w:rsid w:val="00650FEF"/>
    <w:rsid w:val="00653D2E"/>
    <w:rsid w:val="00654C0B"/>
    <w:rsid w:val="00657CDE"/>
    <w:rsid w:val="00660B67"/>
    <w:rsid w:val="0066265E"/>
    <w:rsid w:val="006638EA"/>
    <w:rsid w:val="00664DC4"/>
    <w:rsid w:val="00666A79"/>
    <w:rsid w:val="0068313C"/>
    <w:rsid w:val="006952D1"/>
    <w:rsid w:val="006953A3"/>
    <w:rsid w:val="006A3B66"/>
    <w:rsid w:val="006A6CC8"/>
    <w:rsid w:val="006B1BB2"/>
    <w:rsid w:val="006B513E"/>
    <w:rsid w:val="006B5D8B"/>
    <w:rsid w:val="006B6A26"/>
    <w:rsid w:val="006C003D"/>
    <w:rsid w:val="006C2EC2"/>
    <w:rsid w:val="006C339E"/>
    <w:rsid w:val="006C6474"/>
    <w:rsid w:val="006C76A4"/>
    <w:rsid w:val="006D01C8"/>
    <w:rsid w:val="006D039A"/>
    <w:rsid w:val="006D0A2F"/>
    <w:rsid w:val="006D2E01"/>
    <w:rsid w:val="006D3614"/>
    <w:rsid w:val="006D717D"/>
    <w:rsid w:val="006E0711"/>
    <w:rsid w:val="006E3295"/>
    <w:rsid w:val="006E7AD9"/>
    <w:rsid w:val="006F2999"/>
    <w:rsid w:val="006F490F"/>
    <w:rsid w:val="006F6264"/>
    <w:rsid w:val="006F63E4"/>
    <w:rsid w:val="006F6795"/>
    <w:rsid w:val="006F68C9"/>
    <w:rsid w:val="00700738"/>
    <w:rsid w:val="00701E75"/>
    <w:rsid w:val="00702AF0"/>
    <w:rsid w:val="00702AFF"/>
    <w:rsid w:val="007118C4"/>
    <w:rsid w:val="007154E1"/>
    <w:rsid w:val="00716D4F"/>
    <w:rsid w:val="007175B2"/>
    <w:rsid w:val="00720CBA"/>
    <w:rsid w:val="00721D2F"/>
    <w:rsid w:val="00721DD6"/>
    <w:rsid w:val="00724A3A"/>
    <w:rsid w:val="007355B8"/>
    <w:rsid w:val="0073589E"/>
    <w:rsid w:val="007361EC"/>
    <w:rsid w:val="007364C3"/>
    <w:rsid w:val="00737066"/>
    <w:rsid w:val="00737BDC"/>
    <w:rsid w:val="007433E0"/>
    <w:rsid w:val="00744468"/>
    <w:rsid w:val="00747B61"/>
    <w:rsid w:val="00750421"/>
    <w:rsid w:val="00751138"/>
    <w:rsid w:val="00751863"/>
    <w:rsid w:val="007577DA"/>
    <w:rsid w:val="00757932"/>
    <w:rsid w:val="00757B77"/>
    <w:rsid w:val="00764FB1"/>
    <w:rsid w:val="00766624"/>
    <w:rsid w:val="00767A3E"/>
    <w:rsid w:val="00770002"/>
    <w:rsid w:val="00772E2F"/>
    <w:rsid w:val="00774D6C"/>
    <w:rsid w:val="00775C97"/>
    <w:rsid w:val="00776F9B"/>
    <w:rsid w:val="0077700D"/>
    <w:rsid w:val="00780140"/>
    <w:rsid w:val="00782552"/>
    <w:rsid w:val="00783454"/>
    <w:rsid w:val="00784380"/>
    <w:rsid w:val="00785845"/>
    <w:rsid w:val="00787C03"/>
    <w:rsid w:val="00793522"/>
    <w:rsid w:val="0079435C"/>
    <w:rsid w:val="0079652A"/>
    <w:rsid w:val="007A143C"/>
    <w:rsid w:val="007A20D6"/>
    <w:rsid w:val="007A3A7C"/>
    <w:rsid w:val="007A3DD1"/>
    <w:rsid w:val="007A465D"/>
    <w:rsid w:val="007A55C3"/>
    <w:rsid w:val="007A7457"/>
    <w:rsid w:val="007A7E76"/>
    <w:rsid w:val="007B3109"/>
    <w:rsid w:val="007B4ADA"/>
    <w:rsid w:val="007B6888"/>
    <w:rsid w:val="007B6DC7"/>
    <w:rsid w:val="007C1AB1"/>
    <w:rsid w:val="007C1EAE"/>
    <w:rsid w:val="007C3BCC"/>
    <w:rsid w:val="007C5E02"/>
    <w:rsid w:val="007D35C5"/>
    <w:rsid w:val="007E2D9E"/>
    <w:rsid w:val="007E30B5"/>
    <w:rsid w:val="007E478F"/>
    <w:rsid w:val="007E47F9"/>
    <w:rsid w:val="007E7AD1"/>
    <w:rsid w:val="007F083E"/>
    <w:rsid w:val="007F38B4"/>
    <w:rsid w:val="0080076C"/>
    <w:rsid w:val="00804450"/>
    <w:rsid w:val="00811904"/>
    <w:rsid w:val="00816648"/>
    <w:rsid w:val="0082298C"/>
    <w:rsid w:val="0082499F"/>
    <w:rsid w:val="008258D1"/>
    <w:rsid w:val="0083213F"/>
    <w:rsid w:val="008322B5"/>
    <w:rsid w:val="00836EA3"/>
    <w:rsid w:val="00843262"/>
    <w:rsid w:val="0084461F"/>
    <w:rsid w:val="008465AF"/>
    <w:rsid w:val="0085001F"/>
    <w:rsid w:val="0085206C"/>
    <w:rsid w:val="00854663"/>
    <w:rsid w:val="00854BA5"/>
    <w:rsid w:val="00856647"/>
    <w:rsid w:val="008572F8"/>
    <w:rsid w:val="008613AB"/>
    <w:rsid w:val="00861D61"/>
    <w:rsid w:val="00861E77"/>
    <w:rsid w:val="008652A1"/>
    <w:rsid w:val="00865D34"/>
    <w:rsid w:val="00865F2A"/>
    <w:rsid w:val="008668C4"/>
    <w:rsid w:val="00867A01"/>
    <w:rsid w:val="008705E7"/>
    <w:rsid w:val="008712E9"/>
    <w:rsid w:val="00873A2B"/>
    <w:rsid w:val="00875292"/>
    <w:rsid w:val="00875652"/>
    <w:rsid w:val="008819ED"/>
    <w:rsid w:val="00887D46"/>
    <w:rsid w:val="00890822"/>
    <w:rsid w:val="00891999"/>
    <w:rsid w:val="008A305C"/>
    <w:rsid w:val="008A3C43"/>
    <w:rsid w:val="008A3F80"/>
    <w:rsid w:val="008A411C"/>
    <w:rsid w:val="008A47BB"/>
    <w:rsid w:val="008B05A4"/>
    <w:rsid w:val="008B2D97"/>
    <w:rsid w:val="008B7867"/>
    <w:rsid w:val="008C0E8F"/>
    <w:rsid w:val="008C1382"/>
    <w:rsid w:val="008C152E"/>
    <w:rsid w:val="008C2C21"/>
    <w:rsid w:val="008C4171"/>
    <w:rsid w:val="008C48A0"/>
    <w:rsid w:val="008D0CA7"/>
    <w:rsid w:val="008D281E"/>
    <w:rsid w:val="008D54F2"/>
    <w:rsid w:val="008D64D8"/>
    <w:rsid w:val="008D6926"/>
    <w:rsid w:val="008E074F"/>
    <w:rsid w:val="008E5163"/>
    <w:rsid w:val="008E6630"/>
    <w:rsid w:val="008E6EC8"/>
    <w:rsid w:val="008F11D6"/>
    <w:rsid w:val="008F52DC"/>
    <w:rsid w:val="008F5E1B"/>
    <w:rsid w:val="00900E5D"/>
    <w:rsid w:val="00902E2A"/>
    <w:rsid w:val="009039A6"/>
    <w:rsid w:val="00903DA2"/>
    <w:rsid w:val="00910336"/>
    <w:rsid w:val="00910C4B"/>
    <w:rsid w:val="00911BC8"/>
    <w:rsid w:val="009133EB"/>
    <w:rsid w:val="00913EA8"/>
    <w:rsid w:val="00914FB0"/>
    <w:rsid w:val="00916070"/>
    <w:rsid w:val="00917D47"/>
    <w:rsid w:val="009234FC"/>
    <w:rsid w:val="00925806"/>
    <w:rsid w:val="00925EA9"/>
    <w:rsid w:val="00932A0B"/>
    <w:rsid w:val="009409F4"/>
    <w:rsid w:val="00942844"/>
    <w:rsid w:val="00946A67"/>
    <w:rsid w:val="009478CF"/>
    <w:rsid w:val="00947DC1"/>
    <w:rsid w:val="00951C30"/>
    <w:rsid w:val="00952216"/>
    <w:rsid w:val="0095700D"/>
    <w:rsid w:val="0095777A"/>
    <w:rsid w:val="00962945"/>
    <w:rsid w:val="00981EE5"/>
    <w:rsid w:val="00984667"/>
    <w:rsid w:val="009859BB"/>
    <w:rsid w:val="00987189"/>
    <w:rsid w:val="009901BA"/>
    <w:rsid w:val="0099497E"/>
    <w:rsid w:val="00995771"/>
    <w:rsid w:val="00996DDB"/>
    <w:rsid w:val="009A00F0"/>
    <w:rsid w:val="009A042A"/>
    <w:rsid w:val="009A1FBC"/>
    <w:rsid w:val="009A24DF"/>
    <w:rsid w:val="009A28EC"/>
    <w:rsid w:val="009B1936"/>
    <w:rsid w:val="009B1F70"/>
    <w:rsid w:val="009B38FA"/>
    <w:rsid w:val="009B4871"/>
    <w:rsid w:val="009B4B46"/>
    <w:rsid w:val="009C31B1"/>
    <w:rsid w:val="009E0590"/>
    <w:rsid w:val="009E0B4E"/>
    <w:rsid w:val="009E5AD2"/>
    <w:rsid w:val="009F0509"/>
    <w:rsid w:val="009F1E12"/>
    <w:rsid w:val="009F3783"/>
    <w:rsid w:val="009F3C1A"/>
    <w:rsid w:val="009F71FB"/>
    <w:rsid w:val="00A037E1"/>
    <w:rsid w:val="00A042DD"/>
    <w:rsid w:val="00A0435C"/>
    <w:rsid w:val="00A115EE"/>
    <w:rsid w:val="00A13674"/>
    <w:rsid w:val="00A15D7B"/>
    <w:rsid w:val="00A15DAD"/>
    <w:rsid w:val="00A17EBB"/>
    <w:rsid w:val="00A21335"/>
    <w:rsid w:val="00A23445"/>
    <w:rsid w:val="00A279E8"/>
    <w:rsid w:val="00A34B18"/>
    <w:rsid w:val="00A4094C"/>
    <w:rsid w:val="00A4094E"/>
    <w:rsid w:val="00A5218F"/>
    <w:rsid w:val="00A52DDD"/>
    <w:rsid w:val="00A57224"/>
    <w:rsid w:val="00A60547"/>
    <w:rsid w:val="00A60CA2"/>
    <w:rsid w:val="00A6234F"/>
    <w:rsid w:val="00A64DDD"/>
    <w:rsid w:val="00A6567B"/>
    <w:rsid w:val="00A6648C"/>
    <w:rsid w:val="00A7279B"/>
    <w:rsid w:val="00A736F7"/>
    <w:rsid w:val="00A738F0"/>
    <w:rsid w:val="00A73D4D"/>
    <w:rsid w:val="00A750EA"/>
    <w:rsid w:val="00A7628B"/>
    <w:rsid w:val="00A76CBA"/>
    <w:rsid w:val="00A77EBF"/>
    <w:rsid w:val="00A81313"/>
    <w:rsid w:val="00A84C47"/>
    <w:rsid w:val="00A86006"/>
    <w:rsid w:val="00A910C6"/>
    <w:rsid w:val="00A91BD1"/>
    <w:rsid w:val="00A921F6"/>
    <w:rsid w:val="00A93338"/>
    <w:rsid w:val="00A94B0B"/>
    <w:rsid w:val="00A95294"/>
    <w:rsid w:val="00A96716"/>
    <w:rsid w:val="00AA3483"/>
    <w:rsid w:val="00AA65D7"/>
    <w:rsid w:val="00AA6B27"/>
    <w:rsid w:val="00AA79A5"/>
    <w:rsid w:val="00AB1A27"/>
    <w:rsid w:val="00AB3CA7"/>
    <w:rsid w:val="00AB545B"/>
    <w:rsid w:val="00AB674B"/>
    <w:rsid w:val="00AB6BA0"/>
    <w:rsid w:val="00AB775B"/>
    <w:rsid w:val="00AC000B"/>
    <w:rsid w:val="00AC018C"/>
    <w:rsid w:val="00AC01FC"/>
    <w:rsid w:val="00AC0B25"/>
    <w:rsid w:val="00AC5262"/>
    <w:rsid w:val="00AC6B95"/>
    <w:rsid w:val="00AD0019"/>
    <w:rsid w:val="00AD298B"/>
    <w:rsid w:val="00AD6EE1"/>
    <w:rsid w:val="00AE2166"/>
    <w:rsid w:val="00AE37F5"/>
    <w:rsid w:val="00AE50FF"/>
    <w:rsid w:val="00AE51E7"/>
    <w:rsid w:val="00AF26AC"/>
    <w:rsid w:val="00AF4B4F"/>
    <w:rsid w:val="00AF570E"/>
    <w:rsid w:val="00AF69B1"/>
    <w:rsid w:val="00B021C2"/>
    <w:rsid w:val="00B04E53"/>
    <w:rsid w:val="00B06334"/>
    <w:rsid w:val="00B10C30"/>
    <w:rsid w:val="00B227A5"/>
    <w:rsid w:val="00B24563"/>
    <w:rsid w:val="00B24883"/>
    <w:rsid w:val="00B254C5"/>
    <w:rsid w:val="00B2665A"/>
    <w:rsid w:val="00B2766E"/>
    <w:rsid w:val="00B32102"/>
    <w:rsid w:val="00B34741"/>
    <w:rsid w:val="00B357A2"/>
    <w:rsid w:val="00B35A1D"/>
    <w:rsid w:val="00B37500"/>
    <w:rsid w:val="00B37CE7"/>
    <w:rsid w:val="00B42C0B"/>
    <w:rsid w:val="00B43D6E"/>
    <w:rsid w:val="00B473A7"/>
    <w:rsid w:val="00B52570"/>
    <w:rsid w:val="00B52E34"/>
    <w:rsid w:val="00B54485"/>
    <w:rsid w:val="00B560DB"/>
    <w:rsid w:val="00B5766F"/>
    <w:rsid w:val="00B57FE7"/>
    <w:rsid w:val="00B61E38"/>
    <w:rsid w:val="00B61F86"/>
    <w:rsid w:val="00B624B0"/>
    <w:rsid w:val="00B634FB"/>
    <w:rsid w:val="00B658EB"/>
    <w:rsid w:val="00B7309E"/>
    <w:rsid w:val="00B74FB7"/>
    <w:rsid w:val="00B814C0"/>
    <w:rsid w:val="00B86519"/>
    <w:rsid w:val="00B86C54"/>
    <w:rsid w:val="00B9055D"/>
    <w:rsid w:val="00B92673"/>
    <w:rsid w:val="00B92AAC"/>
    <w:rsid w:val="00B96470"/>
    <w:rsid w:val="00B96E1E"/>
    <w:rsid w:val="00BA312A"/>
    <w:rsid w:val="00BA4C89"/>
    <w:rsid w:val="00BA54FD"/>
    <w:rsid w:val="00BB1263"/>
    <w:rsid w:val="00BB20D0"/>
    <w:rsid w:val="00BB211F"/>
    <w:rsid w:val="00BB2805"/>
    <w:rsid w:val="00BB3239"/>
    <w:rsid w:val="00BB3293"/>
    <w:rsid w:val="00BB7598"/>
    <w:rsid w:val="00BC204B"/>
    <w:rsid w:val="00BC452D"/>
    <w:rsid w:val="00BC521C"/>
    <w:rsid w:val="00BC6141"/>
    <w:rsid w:val="00BC638E"/>
    <w:rsid w:val="00BC755D"/>
    <w:rsid w:val="00BC764C"/>
    <w:rsid w:val="00BD448A"/>
    <w:rsid w:val="00BD4A58"/>
    <w:rsid w:val="00BE3C72"/>
    <w:rsid w:val="00BF1C68"/>
    <w:rsid w:val="00BF27E5"/>
    <w:rsid w:val="00BF2FB3"/>
    <w:rsid w:val="00BF462F"/>
    <w:rsid w:val="00BF5720"/>
    <w:rsid w:val="00C01FC1"/>
    <w:rsid w:val="00C04ED9"/>
    <w:rsid w:val="00C06D92"/>
    <w:rsid w:val="00C1228F"/>
    <w:rsid w:val="00C12A51"/>
    <w:rsid w:val="00C12EDD"/>
    <w:rsid w:val="00C14530"/>
    <w:rsid w:val="00C17C13"/>
    <w:rsid w:val="00C22D37"/>
    <w:rsid w:val="00C26BAD"/>
    <w:rsid w:val="00C2765F"/>
    <w:rsid w:val="00C31529"/>
    <w:rsid w:val="00C3426F"/>
    <w:rsid w:val="00C34F8F"/>
    <w:rsid w:val="00C3684A"/>
    <w:rsid w:val="00C378C8"/>
    <w:rsid w:val="00C44761"/>
    <w:rsid w:val="00C44BFC"/>
    <w:rsid w:val="00C47A75"/>
    <w:rsid w:val="00C50D1D"/>
    <w:rsid w:val="00C51EFE"/>
    <w:rsid w:val="00C52C86"/>
    <w:rsid w:val="00C536A7"/>
    <w:rsid w:val="00C57FD6"/>
    <w:rsid w:val="00C70F2E"/>
    <w:rsid w:val="00C711B8"/>
    <w:rsid w:val="00C72E9C"/>
    <w:rsid w:val="00C742B4"/>
    <w:rsid w:val="00C749D1"/>
    <w:rsid w:val="00C74BD5"/>
    <w:rsid w:val="00C772AA"/>
    <w:rsid w:val="00C77707"/>
    <w:rsid w:val="00C810E3"/>
    <w:rsid w:val="00C828D7"/>
    <w:rsid w:val="00C83ED5"/>
    <w:rsid w:val="00C92892"/>
    <w:rsid w:val="00C94316"/>
    <w:rsid w:val="00C94557"/>
    <w:rsid w:val="00C9655C"/>
    <w:rsid w:val="00C974A6"/>
    <w:rsid w:val="00CA16A9"/>
    <w:rsid w:val="00CA3CEA"/>
    <w:rsid w:val="00CA4F68"/>
    <w:rsid w:val="00CC07DF"/>
    <w:rsid w:val="00CC0F74"/>
    <w:rsid w:val="00CC40EC"/>
    <w:rsid w:val="00CC4E52"/>
    <w:rsid w:val="00CC6EA8"/>
    <w:rsid w:val="00CD23DC"/>
    <w:rsid w:val="00CD3CFC"/>
    <w:rsid w:val="00CD6E5E"/>
    <w:rsid w:val="00CE147D"/>
    <w:rsid w:val="00CE1989"/>
    <w:rsid w:val="00CE33EE"/>
    <w:rsid w:val="00CE3C90"/>
    <w:rsid w:val="00CF13DC"/>
    <w:rsid w:val="00CF334B"/>
    <w:rsid w:val="00CF414C"/>
    <w:rsid w:val="00CF4174"/>
    <w:rsid w:val="00CF43A5"/>
    <w:rsid w:val="00CF55C6"/>
    <w:rsid w:val="00D006BC"/>
    <w:rsid w:val="00D010FF"/>
    <w:rsid w:val="00D01171"/>
    <w:rsid w:val="00D02B9D"/>
    <w:rsid w:val="00D07990"/>
    <w:rsid w:val="00D11F60"/>
    <w:rsid w:val="00D12262"/>
    <w:rsid w:val="00D149D7"/>
    <w:rsid w:val="00D20897"/>
    <w:rsid w:val="00D20C06"/>
    <w:rsid w:val="00D21589"/>
    <w:rsid w:val="00D23874"/>
    <w:rsid w:val="00D24234"/>
    <w:rsid w:val="00D25687"/>
    <w:rsid w:val="00D27E2C"/>
    <w:rsid w:val="00D33C34"/>
    <w:rsid w:val="00D35471"/>
    <w:rsid w:val="00D428A9"/>
    <w:rsid w:val="00D43D15"/>
    <w:rsid w:val="00D45DC6"/>
    <w:rsid w:val="00D46F77"/>
    <w:rsid w:val="00D478A4"/>
    <w:rsid w:val="00D504D2"/>
    <w:rsid w:val="00D511D4"/>
    <w:rsid w:val="00D51B84"/>
    <w:rsid w:val="00D51EF9"/>
    <w:rsid w:val="00D52804"/>
    <w:rsid w:val="00D52A09"/>
    <w:rsid w:val="00D52DD6"/>
    <w:rsid w:val="00D54B0F"/>
    <w:rsid w:val="00D54B1A"/>
    <w:rsid w:val="00D564F6"/>
    <w:rsid w:val="00D61272"/>
    <w:rsid w:val="00D6317D"/>
    <w:rsid w:val="00D6521F"/>
    <w:rsid w:val="00D65A76"/>
    <w:rsid w:val="00D72E25"/>
    <w:rsid w:val="00D7588F"/>
    <w:rsid w:val="00D7622F"/>
    <w:rsid w:val="00D763FA"/>
    <w:rsid w:val="00D77D16"/>
    <w:rsid w:val="00D801DE"/>
    <w:rsid w:val="00D80742"/>
    <w:rsid w:val="00D82C52"/>
    <w:rsid w:val="00D85F53"/>
    <w:rsid w:val="00D877C3"/>
    <w:rsid w:val="00DA066F"/>
    <w:rsid w:val="00DA191A"/>
    <w:rsid w:val="00DA2D6E"/>
    <w:rsid w:val="00DB263E"/>
    <w:rsid w:val="00DC1B94"/>
    <w:rsid w:val="00DC3D03"/>
    <w:rsid w:val="00DC54BA"/>
    <w:rsid w:val="00DD3322"/>
    <w:rsid w:val="00DD4432"/>
    <w:rsid w:val="00DE0248"/>
    <w:rsid w:val="00DE0FD9"/>
    <w:rsid w:val="00DE1E04"/>
    <w:rsid w:val="00DF5336"/>
    <w:rsid w:val="00E02AB7"/>
    <w:rsid w:val="00E046BF"/>
    <w:rsid w:val="00E05133"/>
    <w:rsid w:val="00E055A0"/>
    <w:rsid w:val="00E05B1D"/>
    <w:rsid w:val="00E07BE2"/>
    <w:rsid w:val="00E07E7D"/>
    <w:rsid w:val="00E1030A"/>
    <w:rsid w:val="00E113BE"/>
    <w:rsid w:val="00E116A4"/>
    <w:rsid w:val="00E16BAD"/>
    <w:rsid w:val="00E17677"/>
    <w:rsid w:val="00E2245A"/>
    <w:rsid w:val="00E23D0F"/>
    <w:rsid w:val="00E246BF"/>
    <w:rsid w:val="00E26382"/>
    <w:rsid w:val="00E26ED2"/>
    <w:rsid w:val="00E33DC6"/>
    <w:rsid w:val="00E3459F"/>
    <w:rsid w:val="00E348C0"/>
    <w:rsid w:val="00E34AD7"/>
    <w:rsid w:val="00E42F74"/>
    <w:rsid w:val="00E44A06"/>
    <w:rsid w:val="00E45E5C"/>
    <w:rsid w:val="00E517FD"/>
    <w:rsid w:val="00E5311F"/>
    <w:rsid w:val="00E56727"/>
    <w:rsid w:val="00E57474"/>
    <w:rsid w:val="00E6011A"/>
    <w:rsid w:val="00E61B85"/>
    <w:rsid w:val="00E6368B"/>
    <w:rsid w:val="00E63B56"/>
    <w:rsid w:val="00E67CF3"/>
    <w:rsid w:val="00E67E88"/>
    <w:rsid w:val="00E714BB"/>
    <w:rsid w:val="00E718CA"/>
    <w:rsid w:val="00E748A2"/>
    <w:rsid w:val="00E7778C"/>
    <w:rsid w:val="00E83E08"/>
    <w:rsid w:val="00E9174D"/>
    <w:rsid w:val="00E942DE"/>
    <w:rsid w:val="00E95B2A"/>
    <w:rsid w:val="00EA10DD"/>
    <w:rsid w:val="00EA1526"/>
    <w:rsid w:val="00EA2508"/>
    <w:rsid w:val="00EA334B"/>
    <w:rsid w:val="00EA7564"/>
    <w:rsid w:val="00EB0C2D"/>
    <w:rsid w:val="00EC0094"/>
    <w:rsid w:val="00EC1A56"/>
    <w:rsid w:val="00EC1B14"/>
    <w:rsid w:val="00EC2500"/>
    <w:rsid w:val="00EC558D"/>
    <w:rsid w:val="00EC6D9B"/>
    <w:rsid w:val="00ED1FE3"/>
    <w:rsid w:val="00ED31AA"/>
    <w:rsid w:val="00ED3CC9"/>
    <w:rsid w:val="00ED4B9B"/>
    <w:rsid w:val="00EE5AC8"/>
    <w:rsid w:val="00EE74E9"/>
    <w:rsid w:val="00EF3B1E"/>
    <w:rsid w:val="00EF566D"/>
    <w:rsid w:val="00EF7CED"/>
    <w:rsid w:val="00F00312"/>
    <w:rsid w:val="00F01809"/>
    <w:rsid w:val="00F11DFA"/>
    <w:rsid w:val="00F12490"/>
    <w:rsid w:val="00F12C04"/>
    <w:rsid w:val="00F130EF"/>
    <w:rsid w:val="00F153B2"/>
    <w:rsid w:val="00F15F73"/>
    <w:rsid w:val="00F225B3"/>
    <w:rsid w:val="00F22E67"/>
    <w:rsid w:val="00F2330E"/>
    <w:rsid w:val="00F24DF5"/>
    <w:rsid w:val="00F3014F"/>
    <w:rsid w:val="00F303CE"/>
    <w:rsid w:val="00F308E6"/>
    <w:rsid w:val="00F31631"/>
    <w:rsid w:val="00F31FB5"/>
    <w:rsid w:val="00F32324"/>
    <w:rsid w:val="00F36544"/>
    <w:rsid w:val="00F36E85"/>
    <w:rsid w:val="00F37719"/>
    <w:rsid w:val="00F43751"/>
    <w:rsid w:val="00F451DC"/>
    <w:rsid w:val="00F50618"/>
    <w:rsid w:val="00F50667"/>
    <w:rsid w:val="00F51806"/>
    <w:rsid w:val="00F51A10"/>
    <w:rsid w:val="00F51DB0"/>
    <w:rsid w:val="00F5235F"/>
    <w:rsid w:val="00F52A92"/>
    <w:rsid w:val="00F53251"/>
    <w:rsid w:val="00F5346F"/>
    <w:rsid w:val="00F540FF"/>
    <w:rsid w:val="00F543C2"/>
    <w:rsid w:val="00F55CEE"/>
    <w:rsid w:val="00F55D9D"/>
    <w:rsid w:val="00F62A67"/>
    <w:rsid w:val="00F633F3"/>
    <w:rsid w:val="00F63789"/>
    <w:rsid w:val="00F649D2"/>
    <w:rsid w:val="00F64CF2"/>
    <w:rsid w:val="00F75AB9"/>
    <w:rsid w:val="00F76086"/>
    <w:rsid w:val="00F7688F"/>
    <w:rsid w:val="00F810DE"/>
    <w:rsid w:val="00F82108"/>
    <w:rsid w:val="00F83211"/>
    <w:rsid w:val="00F837DC"/>
    <w:rsid w:val="00F8514A"/>
    <w:rsid w:val="00F85253"/>
    <w:rsid w:val="00F8635A"/>
    <w:rsid w:val="00F90D98"/>
    <w:rsid w:val="00F92A06"/>
    <w:rsid w:val="00F92CD6"/>
    <w:rsid w:val="00F92D1B"/>
    <w:rsid w:val="00F9384F"/>
    <w:rsid w:val="00F93D27"/>
    <w:rsid w:val="00F93E51"/>
    <w:rsid w:val="00F958C9"/>
    <w:rsid w:val="00F95AB8"/>
    <w:rsid w:val="00F97311"/>
    <w:rsid w:val="00FA003C"/>
    <w:rsid w:val="00FA4295"/>
    <w:rsid w:val="00FA473D"/>
    <w:rsid w:val="00FA4E3D"/>
    <w:rsid w:val="00FA70E1"/>
    <w:rsid w:val="00FA724E"/>
    <w:rsid w:val="00FB0565"/>
    <w:rsid w:val="00FB0FF9"/>
    <w:rsid w:val="00FB2831"/>
    <w:rsid w:val="00FB77FC"/>
    <w:rsid w:val="00FC385A"/>
    <w:rsid w:val="00FC385B"/>
    <w:rsid w:val="00FC3CAD"/>
    <w:rsid w:val="00FC3D6C"/>
    <w:rsid w:val="00FC6172"/>
    <w:rsid w:val="00FD119B"/>
    <w:rsid w:val="00FD2BC5"/>
    <w:rsid w:val="00FD4514"/>
    <w:rsid w:val="00FD5279"/>
    <w:rsid w:val="00FD5291"/>
    <w:rsid w:val="00FE60F9"/>
    <w:rsid w:val="00FE68D8"/>
    <w:rsid w:val="00FE7E44"/>
    <w:rsid w:val="00FF2A0F"/>
    <w:rsid w:val="00FF2DB1"/>
    <w:rsid w:val="00FF4A0E"/>
    <w:rsid w:val="00FF511D"/>
    <w:rsid w:val="00FF55A0"/>
    <w:rsid w:val="00FF5A89"/>
    <w:rsid w:val="2C4A7EE7"/>
    <w:rsid w:val="59ED3ADA"/>
    <w:rsid w:val="76A87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7"/>
    <w:unhideWhenUsed/>
    <w:qFormat/>
    <w:locked/>
    <w:uiPriority w:val="0"/>
    <w:pPr>
      <w:keepNext/>
      <w:keepLines/>
      <w:spacing w:before="260" w:after="260" w:line="416" w:lineRule="auto"/>
      <w:outlineLvl w:val="1"/>
    </w:pPr>
    <w:rPr>
      <w:rFonts w:ascii="等线 Light" w:hAnsi="等线 Light" w:eastAsia="等线 Light"/>
      <w:b/>
      <w:bCs/>
      <w:sz w:val="32"/>
      <w:szCs w:val="32"/>
      <w:lang w:val="zh-CN" w:eastAsia="zh-CN"/>
    </w:rPr>
  </w:style>
  <w:style w:type="paragraph" w:styleId="4">
    <w:name w:val="heading 3"/>
    <w:basedOn w:val="1"/>
    <w:next w:val="1"/>
    <w:link w:val="67"/>
    <w:qFormat/>
    <w:locked/>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6"/>
    <w:qFormat/>
    <w:locked/>
    <w:uiPriority w:val="0"/>
    <w:pPr>
      <w:keepNext/>
      <w:keepLines/>
      <w:spacing w:before="280" w:after="290" w:line="376" w:lineRule="auto"/>
      <w:outlineLvl w:val="3"/>
    </w:pPr>
    <w:rPr>
      <w:rFonts w:ascii="Cambria" w:hAnsi="Cambria"/>
      <w:b/>
      <w:bCs/>
      <w:sz w:val="28"/>
      <w:szCs w:val="28"/>
      <w:lang w:val="zh-CN" w:eastAsia="zh-CN"/>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107"/>
    <w:qFormat/>
    <w:locked/>
    <w:uiPriority w:val="0"/>
    <w:pPr>
      <w:ind w:firstLine="420"/>
    </w:pPr>
    <w:rPr>
      <w:lang w:val="zh-CN" w:eastAsia="zh-CN"/>
    </w:rPr>
  </w:style>
  <w:style w:type="paragraph" w:styleId="7">
    <w:name w:val="Document Map"/>
    <w:basedOn w:val="1"/>
    <w:link w:val="45"/>
    <w:qFormat/>
    <w:locked/>
    <w:uiPriority w:val="0"/>
    <w:rPr>
      <w:rFonts w:ascii="宋体"/>
      <w:sz w:val="18"/>
      <w:szCs w:val="18"/>
      <w:lang w:val="zh-CN" w:eastAsia="zh-CN"/>
    </w:rPr>
  </w:style>
  <w:style w:type="paragraph" w:styleId="8">
    <w:name w:val="annotation text"/>
    <w:basedOn w:val="1"/>
    <w:link w:val="41"/>
    <w:qFormat/>
    <w:uiPriority w:val="0"/>
    <w:pPr>
      <w:jc w:val="left"/>
    </w:pPr>
    <w:rPr>
      <w:kern w:val="0"/>
      <w:sz w:val="24"/>
      <w:szCs w:val="20"/>
      <w:lang w:val="zh-CN" w:eastAsia="zh-CN"/>
    </w:rPr>
  </w:style>
  <w:style w:type="paragraph" w:styleId="9">
    <w:name w:val="Body Text"/>
    <w:basedOn w:val="1"/>
    <w:link w:val="40"/>
    <w:qFormat/>
    <w:uiPriority w:val="0"/>
    <w:pPr>
      <w:widowControl/>
      <w:snapToGrid w:val="0"/>
      <w:spacing w:before="60" w:after="160" w:line="259" w:lineRule="auto"/>
      <w:ind w:right="113"/>
    </w:pPr>
    <w:rPr>
      <w:kern w:val="0"/>
      <w:sz w:val="18"/>
      <w:szCs w:val="20"/>
      <w:lang w:val="zh-CN" w:eastAsia="zh-CN"/>
    </w:rPr>
  </w:style>
  <w:style w:type="paragraph" w:styleId="10">
    <w:name w:val="Body Text Indent"/>
    <w:basedOn w:val="1"/>
    <w:link w:val="60"/>
    <w:qFormat/>
    <w:uiPriority w:val="0"/>
    <w:pPr>
      <w:spacing w:after="120"/>
      <w:ind w:left="420" w:leftChars="200"/>
    </w:pPr>
    <w:rPr>
      <w:kern w:val="0"/>
      <w:sz w:val="24"/>
      <w:szCs w:val="20"/>
      <w:lang w:val="zh-CN" w:eastAsia="zh-CN"/>
    </w:rPr>
  </w:style>
  <w:style w:type="paragraph" w:styleId="11">
    <w:name w:val="Plain Text"/>
    <w:basedOn w:val="1"/>
    <w:link w:val="132"/>
    <w:qFormat/>
    <w:locked/>
    <w:uiPriority w:val="0"/>
    <w:pPr>
      <w:adjustRightInd w:val="0"/>
      <w:snapToGrid w:val="0"/>
      <w:spacing w:line="240" w:lineRule="exact"/>
      <w:jc w:val="center"/>
    </w:pPr>
    <w:rPr>
      <w:rFonts w:ascii="宋体" w:hAnsi="Courier New"/>
      <w:szCs w:val="20"/>
      <w:lang w:val="zh-CN" w:eastAsia="zh-CN"/>
    </w:rPr>
  </w:style>
  <w:style w:type="paragraph" w:styleId="12">
    <w:name w:val="Date"/>
    <w:basedOn w:val="1"/>
    <w:next w:val="1"/>
    <w:link w:val="47"/>
    <w:qFormat/>
    <w:uiPriority w:val="0"/>
    <w:pPr>
      <w:ind w:left="100" w:leftChars="2500"/>
    </w:pPr>
    <w:rPr>
      <w:kern w:val="0"/>
      <w:sz w:val="24"/>
      <w:szCs w:val="20"/>
      <w:lang w:val="zh-CN" w:eastAsia="zh-CN"/>
    </w:rPr>
  </w:style>
  <w:style w:type="paragraph" w:styleId="13">
    <w:name w:val="Balloon Text"/>
    <w:basedOn w:val="1"/>
    <w:link w:val="59"/>
    <w:semiHidden/>
    <w:qFormat/>
    <w:uiPriority w:val="0"/>
    <w:rPr>
      <w:kern w:val="0"/>
      <w:sz w:val="18"/>
      <w:szCs w:val="20"/>
      <w:lang w:val="zh-CN" w:eastAsia="zh-CN"/>
    </w:rPr>
  </w:style>
  <w:style w:type="paragraph" w:styleId="14">
    <w:name w:val="footer"/>
    <w:basedOn w:val="1"/>
    <w:link w:val="68"/>
    <w:qFormat/>
    <w:uiPriority w:val="99"/>
    <w:pPr>
      <w:tabs>
        <w:tab w:val="center" w:pos="4153"/>
        <w:tab w:val="right" w:pos="8306"/>
      </w:tabs>
      <w:snapToGrid w:val="0"/>
      <w:jc w:val="left"/>
    </w:pPr>
    <w:rPr>
      <w:kern w:val="0"/>
      <w:sz w:val="18"/>
      <w:szCs w:val="20"/>
      <w:lang w:val="zh-CN" w:eastAsia="zh-CN"/>
    </w:rPr>
  </w:style>
  <w:style w:type="paragraph" w:styleId="15">
    <w:name w:val="header"/>
    <w:basedOn w:val="1"/>
    <w:link w:val="66"/>
    <w:qFormat/>
    <w:uiPriority w:val="0"/>
    <w:pPr>
      <w:pBdr>
        <w:bottom w:val="single" w:color="auto" w:sz="6" w:space="1"/>
      </w:pBdr>
      <w:tabs>
        <w:tab w:val="center" w:pos="4153"/>
        <w:tab w:val="right" w:pos="8306"/>
      </w:tabs>
      <w:snapToGrid w:val="0"/>
      <w:jc w:val="center"/>
    </w:pPr>
    <w:rPr>
      <w:kern w:val="0"/>
      <w:sz w:val="18"/>
      <w:szCs w:val="20"/>
      <w:lang w:val="zh-CN" w:eastAsia="zh-CN"/>
    </w:rPr>
  </w:style>
  <w:style w:type="paragraph" w:styleId="16">
    <w:name w:val="HTML Preformatted"/>
    <w:basedOn w:val="1"/>
    <w:link w:val="108"/>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eastAsia="zh-CN"/>
    </w:rPr>
  </w:style>
  <w:style w:type="paragraph" w:styleId="17">
    <w:name w:val="Normal (Web)"/>
    <w:basedOn w:val="1"/>
    <w:link w:val="44"/>
    <w:qFormat/>
    <w:uiPriority w:val="99"/>
    <w:pPr>
      <w:widowControl/>
      <w:spacing w:before="100" w:beforeAutospacing="1" w:after="100" w:afterAutospacing="1"/>
      <w:jc w:val="left"/>
    </w:pPr>
    <w:rPr>
      <w:rFonts w:ascii="宋体" w:hAnsi="宋体"/>
      <w:kern w:val="0"/>
      <w:sz w:val="24"/>
      <w:szCs w:val="20"/>
      <w:lang w:val="zh-CN" w:eastAsia="zh-CN"/>
    </w:rPr>
  </w:style>
  <w:style w:type="paragraph" w:styleId="18">
    <w:name w:val="Title"/>
    <w:basedOn w:val="1"/>
    <w:next w:val="1"/>
    <w:link w:val="39"/>
    <w:qFormat/>
    <w:locked/>
    <w:uiPriority w:val="0"/>
    <w:pPr>
      <w:spacing w:before="240" w:after="60"/>
      <w:jc w:val="center"/>
      <w:outlineLvl w:val="0"/>
    </w:pPr>
    <w:rPr>
      <w:rFonts w:ascii="等线 Light" w:hAnsi="等线 Light"/>
      <w:b/>
      <w:bCs/>
      <w:sz w:val="32"/>
      <w:szCs w:val="32"/>
      <w:lang w:val="zh-CN" w:eastAsia="zh-CN"/>
    </w:rPr>
  </w:style>
  <w:style w:type="paragraph" w:styleId="19">
    <w:name w:val="annotation subject"/>
    <w:basedOn w:val="8"/>
    <w:next w:val="8"/>
    <w:link w:val="52"/>
    <w:semiHidden/>
    <w:qFormat/>
    <w:uiPriority w:val="0"/>
    <w:rPr>
      <w:b/>
      <w:kern w:val="2"/>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locked/>
    <w:uiPriority w:val="0"/>
  </w:style>
  <w:style w:type="character" w:styleId="24">
    <w:name w:val="annotation reference"/>
    <w:qFormat/>
    <w:uiPriority w:val="0"/>
    <w:rPr>
      <w:sz w:val="21"/>
    </w:rPr>
  </w:style>
  <w:style w:type="character" w:customStyle="1" w:styleId="25">
    <w:name w:val="5文章(金皇) 字符"/>
    <w:link w:val="26"/>
    <w:qFormat/>
    <w:uiPriority w:val="0"/>
    <w:rPr>
      <w:kern w:val="2"/>
      <w:sz w:val="24"/>
      <w:szCs w:val="24"/>
    </w:rPr>
  </w:style>
  <w:style w:type="paragraph" w:customStyle="1" w:styleId="26">
    <w:name w:val="5文章(金皇)"/>
    <w:basedOn w:val="1"/>
    <w:link w:val="25"/>
    <w:qFormat/>
    <w:uiPriority w:val="0"/>
    <w:pPr>
      <w:spacing w:line="360" w:lineRule="auto"/>
      <w:ind w:firstLine="480" w:firstLineChars="200"/>
    </w:pPr>
    <w:rPr>
      <w:sz w:val="24"/>
      <w:lang w:val="zh-CN" w:eastAsia="zh-CN"/>
    </w:rPr>
  </w:style>
  <w:style w:type="character" w:customStyle="1" w:styleId="27">
    <w:name w:val="正文（小四） Char"/>
    <w:link w:val="28"/>
    <w:qFormat/>
    <w:uiPriority w:val="0"/>
    <w:rPr>
      <w:bCs/>
      <w:color w:val="000000"/>
      <w:kern w:val="2"/>
      <w:sz w:val="24"/>
      <w:szCs w:val="32"/>
      <w:lang w:val="en-US" w:eastAsia="zh-CN" w:bidi="ar-SA"/>
    </w:rPr>
  </w:style>
  <w:style w:type="paragraph" w:customStyle="1" w:styleId="28">
    <w:name w:val="正文（小四）"/>
    <w:link w:val="27"/>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character" w:customStyle="1" w:styleId="29">
    <w:name w:val="普通(网站) Char"/>
    <w:qFormat/>
    <w:locked/>
    <w:uiPriority w:val="0"/>
    <w:rPr>
      <w:rFonts w:ascii="宋体" w:hAnsi="宋体" w:eastAsia="宋体"/>
      <w:sz w:val="24"/>
    </w:rPr>
  </w:style>
  <w:style w:type="character" w:customStyle="1" w:styleId="30">
    <w:name w:val="足乐正文 Char"/>
    <w:link w:val="31"/>
    <w:qFormat/>
    <w:uiPriority w:val="0"/>
  </w:style>
  <w:style w:type="paragraph" w:customStyle="1" w:styleId="31">
    <w:name w:val="足乐正文"/>
    <w:basedOn w:val="1"/>
    <w:link w:val="30"/>
    <w:qFormat/>
    <w:uiPriority w:val="0"/>
    <w:pPr>
      <w:adjustRightInd w:val="0"/>
      <w:snapToGrid w:val="0"/>
      <w:spacing w:line="360" w:lineRule="auto"/>
      <w:ind w:firstLine="720" w:firstLineChars="200"/>
    </w:pPr>
    <w:rPr>
      <w:kern w:val="0"/>
      <w:sz w:val="20"/>
      <w:szCs w:val="20"/>
    </w:rPr>
  </w:style>
  <w:style w:type="character" w:customStyle="1" w:styleId="32">
    <w:name w:val="1.表格标题CM 字符"/>
    <w:link w:val="33"/>
    <w:qFormat/>
    <w:uiPriority w:val="0"/>
    <w:rPr>
      <w:rFonts w:eastAsia="黑体" w:cs="宋体"/>
      <w:b/>
      <w:kern w:val="2"/>
      <w:sz w:val="24"/>
      <w:szCs w:val="24"/>
    </w:rPr>
  </w:style>
  <w:style w:type="paragraph" w:customStyle="1" w:styleId="33">
    <w:name w:val="1.表格标题CM"/>
    <w:basedOn w:val="1"/>
    <w:link w:val="32"/>
    <w:qFormat/>
    <w:uiPriority w:val="0"/>
    <w:pPr>
      <w:adjustRightInd w:val="0"/>
      <w:snapToGrid w:val="0"/>
      <w:spacing w:beforeLines="25" w:line="360" w:lineRule="auto"/>
      <w:jc w:val="center"/>
      <w:outlineLvl w:val="6"/>
    </w:pPr>
    <w:rPr>
      <w:rFonts w:eastAsia="黑体"/>
      <w:b/>
      <w:sz w:val="24"/>
      <w:lang w:val="zh-CN" w:eastAsia="zh-CN"/>
    </w:rPr>
  </w:style>
  <w:style w:type="character" w:customStyle="1" w:styleId="34">
    <w:name w:val="表格内容CCW Char"/>
    <w:link w:val="35"/>
    <w:qFormat/>
    <w:uiPriority w:val="0"/>
    <w:rPr>
      <w:sz w:val="18"/>
    </w:rPr>
  </w:style>
  <w:style w:type="paragraph" w:customStyle="1" w:styleId="35">
    <w:name w:val="表格内容CCW"/>
    <w:basedOn w:val="1"/>
    <w:link w:val="34"/>
    <w:qFormat/>
    <w:uiPriority w:val="0"/>
    <w:pPr>
      <w:jc w:val="center"/>
    </w:pPr>
    <w:rPr>
      <w:kern w:val="0"/>
      <w:sz w:val="18"/>
      <w:szCs w:val="20"/>
      <w:lang w:val="zh-CN" w:eastAsia="zh-CN"/>
    </w:rPr>
  </w:style>
  <w:style w:type="character" w:customStyle="1" w:styleId="36">
    <w:name w:val="日期 字符"/>
    <w:semiHidden/>
    <w:qFormat/>
    <w:uiPriority w:val="0"/>
    <w:rPr>
      <w:rFonts w:ascii="Times New Roman" w:hAnsi="Times New Roman" w:eastAsia="宋体"/>
      <w:sz w:val="24"/>
    </w:rPr>
  </w:style>
  <w:style w:type="character" w:customStyle="1" w:styleId="37">
    <w:name w:val="表格 Char"/>
    <w:link w:val="38"/>
    <w:qFormat/>
    <w:locked/>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Cs w:val="20"/>
      <w:lang w:val="zh-CN" w:eastAsia="zh-CN"/>
    </w:rPr>
  </w:style>
  <w:style w:type="character" w:customStyle="1" w:styleId="39">
    <w:name w:val="标题 字符"/>
    <w:link w:val="18"/>
    <w:qFormat/>
    <w:uiPriority w:val="0"/>
    <w:rPr>
      <w:rFonts w:ascii="等线 Light" w:hAnsi="等线 Light" w:cs="Times New Roman"/>
      <w:b/>
      <w:bCs/>
      <w:kern w:val="2"/>
      <w:sz w:val="32"/>
      <w:szCs w:val="32"/>
    </w:rPr>
  </w:style>
  <w:style w:type="character" w:customStyle="1" w:styleId="40">
    <w:name w:val="正文文本 字符"/>
    <w:link w:val="9"/>
    <w:qFormat/>
    <w:locked/>
    <w:uiPriority w:val="0"/>
    <w:rPr>
      <w:sz w:val="18"/>
    </w:rPr>
  </w:style>
  <w:style w:type="character" w:customStyle="1" w:styleId="41">
    <w:name w:val="批注文字 字符"/>
    <w:link w:val="8"/>
    <w:qFormat/>
    <w:locked/>
    <w:uiPriority w:val="0"/>
    <w:rPr>
      <w:rFonts w:ascii="Times New Roman" w:hAnsi="Times New Roman" w:eastAsia="宋体"/>
      <w:sz w:val="24"/>
    </w:rPr>
  </w:style>
  <w:style w:type="character" w:customStyle="1" w:styleId="42">
    <w:name w:val="3.表格备注CM 字符"/>
    <w:link w:val="43"/>
    <w:qFormat/>
    <w:uiPriority w:val="0"/>
    <w:rPr>
      <w:rFonts w:cs="宋体"/>
      <w:b/>
      <w:sz w:val="21"/>
    </w:rPr>
  </w:style>
  <w:style w:type="paragraph" w:customStyle="1" w:styleId="43">
    <w:name w:val="3.表格备注CM"/>
    <w:basedOn w:val="1"/>
    <w:link w:val="42"/>
    <w:qFormat/>
    <w:uiPriority w:val="0"/>
    <w:pPr>
      <w:widowControl/>
      <w:tabs>
        <w:tab w:val="left" w:pos="1980"/>
        <w:tab w:val="left" w:pos="3825"/>
        <w:tab w:val="left" w:pos="4680"/>
      </w:tabs>
      <w:adjustRightInd w:val="0"/>
      <w:snapToGrid w:val="0"/>
      <w:spacing w:afterLines="30"/>
      <w:jc w:val="left"/>
    </w:pPr>
    <w:rPr>
      <w:b/>
      <w:kern w:val="0"/>
      <w:szCs w:val="20"/>
      <w:lang w:val="zh-CN" w:eastAsia="zh-CN"/>
    </w:rPr>
  </w:style>
  <w:style w:type="character" w:customStyle="1" w:styleId="44">
    <w:name w:val="普通(网站) 字符"/>
    <w:link w:val="17"/>
    <w:qFormat/>
    <w:locked/>
    <w:uiPriority w:val="0"/>
    <w:rPr>
      <w:rFonts w:ascii="宋体" w:hAnsi="宋体" w:eastAsia="宋体"/>
      <w:sz w:val="24"/>
    </w:rPr>
  </w:style>
  <w:style w:type="character" w:customStyle="1" w:styleId="45">
    <w:name w:val="文档结构图 字符"/>
    <w:link w:val="7"/>
    <w:qFormat/>
    <w:uiPriority w:val="0"/>
    <w:rPr>
      <w:rFonts w:ascii="宋体"/>
      <w:kern w:val="2"/>
      <w:sz w:val="18"/>
      <w:szCs w:val="18"/>
    </w:rPr>
  </w:style>
  <w:style w:type="character" w:customStyle="1" w:styleId="46">
    <w:name w:val="标题 4 字符"/>
    <w:link w:val="5"/>
    <w:semiHidden/>
    <w:qFormat/>
    <w:uiPriority w:val="0"/>
    <w:rPr>
      <w:rFonts w:ascii="Cambria" w:hAnsi="Cambria" w:eastAsia="宋体" w:cs="Times New Roman"/>
      <w:b/>
      <w:bCs/>
      <w:kern w:val="2"/>
      <w:sz w:val="28"/>
      <w:szCs w:val="28"/>
    </w:rPr>
  </w:style>
  <w:style w:type="character" w:customStyle="1" w:styleId="47">
    <w:name w:val="日期 字符1"/>
    <w:link w:val="12"/>
    <w:qFormat/>
    <w:locked/>
    <w:uiPriority w:val="0"/>
    <w:rPr>
      <w:rFonts w:ascii="Times New Roman" w:hAnsi="Times New Roman" w:eastAsia="宋体"/>
      <w:sz w:val="24"/>
    </w:rPr>
  </w:style>
  <w:style w:type="character" w:customStyle="1" w:styleId="48">
    <w:name w:val="表格名称 Char Char"/>
    <w:link w:val="49"/>
    <w:qFormat/>
    <w:uiPriority w:val="0"/>
    <w:rPr>
      <w:b/>
      <w:sz w:val="24"/>
      <w:szCs w:val="21"/>
    </w:rPr>
  </w:style>
  <w:style w:type="paragraph" w:customStyle="1" w:styleId="49">
    <w:name w:val="表格名称"/>
    <w:basedOn w:val="1"/>
    <w:next w:val="1"/>
    <w:link w:val="48"/>
    <w:qFormat/>
    <w:uiPriority w:val="0"/>
    <w:pPr>
      <w:spacing w:line="360" w:lineRule="auto"/>
      <w:jc w:val="center"/>
    </w:pPr>
    <w:rPr>
      <w:b/>
      <w:kern w:val="0"/>
      <w:sz w:val="24"/>
      <w:szCs w:val="21"/>
      <w:lang w:val="zh-CN" w:eastAsia="zh-CN"/>
    </w:rPr>
  </w:style>
  <w:style w:type="character" w:customStyle="1" w:styleId="50">
    <w:name w:val="表格内正文1 Char"/>
    <w:link w:val="51"/>
    <w:qFormat/>
    <w:uiPriority w:val="0"/>
    <w:rPr>
      <w:kern w:val="2"/>
      <w:sz w:val="21"/>
      <w:szCs w:val="24"/>
    </w:rPr>
  </w:style>
  <w:style w:type="paragraph" w:customStyle="1" w:styleId="51">
    <w:name w:val="表格内正文1"/>
    <w:basedOn w:val="1"/>
    <w:next w:val="1"/>
    <w:link w:val="50"/>
    <w:qFormat/>
    <w:uiPriority w:val="0"/>
    <w:pPr>
      <w:widowControl/>
      <w:adjustRightInd w:val="0"/>
      <w:snapToGrid w:val="0"/>
      <w:jc w:val="center"/>
    </w:pPr>
    <w:rPr>
      <w:lang w:val="zh-CN" w:eastAsia="zh-CN"/>
    </w:rPr>
  </w:style>
  <w:style w:type="character" w:customStyle="1" w:styleId="52">
    <w:name w:val="批注主题 字符"/>
    <w:link w:val="19"/>
    <w:semiHidden/>
    <w:qFormat/>
    <w:locked/>
    <w:uiPriority w:val="0"/>
    <w:rPr>
      <w:rFonts w:ascii="Times New Roman" w:hAnsi="Times New Roman" w:eastAsia="宋体"/>
      <w:b/>
      <w:kern w:val="2"/>
      <w:sz w:val="24"/>
    </w:rPr>
  </w:style>
  <w:style w:type="character" w:customStyle="1" w:styleId="53">
    <w:name w:val="页脚 字符"/>
    <w:qFormat/>
    <w:uiPriority w:val="99"/>
  </w:style>
  <w:style w:type="character" w:customStyle="1" w:styleId="54">
    <w:name w:val="书籍标题1"/>
    <w:qFormat/>
    <w:uiPriority w:val="33"/>
    <w:rPr>
      <w:b/>
      <w:bCs/>
      <w:i/>
      <w:iCs/>
      <w:spacing w:val="5"/>
    </w:rPr>
  </w:style>
  <w:style w:type="character" w:customStyle="1" w:styleId="55">
    <w:name w:val="highlight"/>
    <w:qFormat/>
    <w:uiPriority w:val="0"/>
  </w:style>
  <w:style w:type="character" w:customStyle="1" w:styleId="56">
    <w:name w:val="2表内正文CM 字符"/>
    <w:link w:val="57"/>
    <w:qFormat/>
    <w:uiPriority w:val="0"/>
    <w:rPr>
      <w:rFonts w:cs="宋体"/>
      <w:kern w:val="2"/>
      <w:sz w:val="21"/>
      <w:szCs w:val="24"/>
    </w:rPr>
  </w:style>
  <w:style w:type="paragraph" w:customStyle="1" w:styleId="57">
    <w:name w:val="2表内正文CM"/>
    <w:basedOn w:val="1"/>
    <w:next w:val="1"/>
    <w:link w:val="56"/>
    <w:qFormat/>
    <w:uiPriority w:val="0"/>
    <w:pPr>
      <w:widowControl/>
      <w:adjustRightInd w:val="0"/>
      <w:snapToGrid w:val="0"/>
      <w:jc w:val="center"/>
    </w:pPr>
    <w:rPr>
      <w:lang w:val="zh-CN" w:eastAsia="zh-CN"/>
    </w:rPr>
  </w:style>
  <w:style w:type="character" w:customStyle="1" w:styleId="58">
    <w:name w:val="正文文本 字符1"/>
    <w:semiHidden/>
    <w:qFormat/>
    <w:uiPriority w:val="0"/>
    <w:rPr>
      <w:rFonts w:ascii="Times New Roman" w:hAnsi="Times New Roman" w:eastAsia="宋体"/>
      <w:sz w:val="24"/>
    </w:rPr>
  </w:style>
  <w:style w:type="character" w:customStyle="1" w:styleId="59">
    <w:name w:val="批注框文本 字符"/>
    <w:link w:val="13"/>
    <w:semiHidden/>
    <w:qFormat/>
    <w:locked/>
    <w:uiPriority w:val="0"/>
    <w:rPr>
      <w:rFonts w:ascii="Times New Roman" w:hAnsi="Times New Roman" w:eastAsia="宋体"/>
      <w:sz w:val="18"/>
    </w:rPr>
  </w:style>
  <w:style w:type="character" w:customStyle="1" w:styleId="60">
    <w:name w:val="正文文本缩进 字符"/>
    <w:link w:val="10"/>
    <w:semiHidden/>
    <w:qFormat/>
    <w:locked/>
    <w:uiPriority w:val="0"/>
    <w:rPr>
      <w:rFonts w:ascii="Times New Roman" w:hAnsi="Times New Roman" w:eastAsia="宋体"/>
      <w:sz w:val="24"/>
    </w:rPr>
  </w:style>
  <w:style w:type="character" w:customStyle="1" w:styleId="61">
    <w:name w:val="表格内容 Char"/>
    <w:qFormat/>
    <w:uiPriority w:val="0"/>
    <w:rPr>
      <w:sz w:val="21"/>
      <w:lang w:bidi="he-IL"/>
    </w:rPr>
  </w:style>
  <w:style w:type="character" w:customStyle="1" w:styleId="62">
    <w:name w:val="表格 Char2"/>
    <w:qFormat/>
    <w:uiPriority w:val="0"/>
    <w:rPr>
      <w:rFonts w:eastAsia="宋体"/>
      <w:snapToGrid w:val="0"/>
      <w:sz w:val="21"/>
      <w:szCs w:val="24"/>
      <w:lang w:val="en-US" w:eastAsia="zh-CN" w:bidi="ar-SA"/>
    </w:rPr>
  </w:style>
  <w:style w:type="character" w:customStyle="1" w:styleId="63">
    <w:name w:val="表格内容 Char Char"/>
    <w:link w:val="64"/>
    <w:qFormat/>
    <w:uiPriority w:val="0"/>
    <w:rPr>
      <w:kern w:val="2"/>
      <w:sz w:val="21"/>
      <w:szCs w:val="22"/>
      <w:lang w:val="en-US" w:eastAsia="zh-CN" w:bidi="ar-SA"/>
    </w:rPr>
  </w:style>
  <w:style w:type="paragraph" w:customStyle="1" w:styleId="64">
    <w:name w:val="表格内容"/>
    <w:link w:val="63"/>
    <w:qFormat/>
    <w:uiPriority w:val="0"/>
    <w:pPr>
      <w:adjustRightInd w:val="0"/>
      <w:snapToGrid w:val="0"/>
      <w:spacing w:before="30" w:after="30"/>
      <w:jc w:val="center"/>
    </w:pPr>
    <w:rPr>
      <w:rFonts w:ascii="Times New Roman" w:hAnsi="Times New Roman" w:eastAsia="宋体" w:cs="Times New Roman"/>
      <w:kern w:val="2"/>
      <w:sz w:val="21"/>
      <w:szCs w:val="22"/>
      <w:lang w:val="en-US" w:eastAsia="zh-CN" w:bidi="ar-SA"/>
    </w:rPr>
  </w:style>
  <w:style w:type="character" w:customStyle="1" w:styleId="65">
    <w:name w:val="批注文字 字符1"/>
    <w:semiHidden/>
    <w:qFormat/>
    <w:uiPriority w:val="0"/>
    <w:rPr>
      <w:rFonts w:ascii="Times New Roman" w:hAnsi="Times New Roman" w:eastAsia="宋体"/>
      <w:sz w:val="24"/>
    </w:rPr>
  </w:style>
  <w:style w:type="character" w:customStyle="1" w:styleId="66">
    <w:name w:val="页眉 字符"/>
    <w:link w:val="15"/>
    <w:qFormat/>
    <w:locked/>
    <w:uiPriority w:val="0"/>
    <w:rPr>
      <w:sz w:val="18"/>
    </w:rPr>
  </w:style>
  <w:style w:type="character" w:customStyle="1" w:styleId="67">
    <w:name w:val="标题 3 字符"/>
    <w:link w:val="4"/>
    <w:qFormat/>
    <w:uiPriority w:val="0"/>
    <w:rPr>
      <w:b/>
      <w:bCs/>
      <w:kern w:val="2"/>
      <w:sz w:val="32"/>
      <w:szCs w:val="32"/>
    </w:rPr>
  </w:style>
  <w:style w:type="character" w:customStyle="1" w:styleId="68">
    <w:name w:val="页脚 字符1"/>
    <w:link w:val="14"/>
    <w:qFormat/>
    <w:locked/>
    <w:uiPriority w:val="99"/>
    <w:rPr>
      <w:sz w:val="18"/>
    </w:rPr>
  </w:style>
  <w:style w:type="paragraph" w:customStyle="1" w:styleId="69">
    <w:name w:val="标题3"/>
    <w:basedOn w:val="1"/>
    <w:qFormat/>
    <w:uiPriority w:val="0"/>
    <w:pPr>
      <w:spacing w:line="360" w:lineRule="auto"/>
      <w:outlineLvl w:val="2"/>
    </w:pPr>
    <w:rPr>
      <w:b/>
      <w:sz w:val="24"/>
    </w:rPr>
  </w:style>
  <w:style w:type="paragraph" w:customStyle="1" w:styleId="70">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1">
    <w:name w:val="表内容"/>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72">
    <w:name w:val="表表表表"/>
    <w:basedOn w:val="1"/>
    <w:qFormat/>
    <w:uiPriority w:val="0"/>
    <w:pPr>
      <w:jc w:val="center"/>
    </w:pPr>
    <w:rPr>
      <w:rFonts w:eastAsia="方正楷体简体"/>
      <w:szCs w:val="21"/>
    </w:rPr>
  </w:style>
  <w:style w:type="paragraph" w:customStyle="1" w:styleId="73">
    <w:name w:val="颜表格文字"/>
    <w:basedOn w:val="1"/>
    <w:qFormat/>
    <w:uiPriority w:val="0"/>
    <w:pPr>
      <w:adjustRightInd w:val="0"/>
      <w:snapToGrid w:val="0"/>
      <w:jc w:val="center"/>
    </w:pPr>
  </w:style>
  <w:style w:type="paragraph" w:customStyle="1" w:styleId="74">
    <w:name w:val="Char Char Char Char Char Char Char Char Char1 Char"/>
    <w:basedOn w:val="1"/>
    <w:semiHidden/>
    <w:qFormat/>
    <w:uiPriority w:val="0"/>
    <w:rPr>
      <w:rFonts w:ascii="宋体" w:hAnsi="宋体" w:cs="Courier New"/>
      <w:sz w:val="32"/>
      <w:szCs w:val="32"/>
    </w:rPr>
  </w:style>
  <w:style w:type="paragraph" w:customStyle="1" w:styleId="75">
    <w:name w:val="二级标题"/>
    <w:next w:val="1"/>
    <w:qFormat/>
    <w:uiPriority w:val="0"/>
    <w:pPr>
      <w:numPr>
        <w:ilvl w:val="1"/>
        <w:numId w:val="1"/>
      </w:numPr>
      <w:adjustRightInd w:val="0"/>
      <w:snapToGrid w:val="0"/>
      <w:spacing w:before="240" w:after="100" w:line="360" w:lineRule="auto"/>
      <w:ind w:left="0"/>
      <w:outlineLvl w:val="1"/>
    </w:pPr>
    <w:rPr>
      <w:rFonts w:ascii="Times New Roman" w:hAnsi="Times New Roman" w:eastAsia="楷体" w:cs="Times New Roman"/>
      <w:b/>
      <w:snapToGrid w:val="0"/>
      <w:kern w:val="2"/>
      <w:sz w:val="30"/>
      <w:szCs w:val="28"/>
      <w:lang w:val="en-US" w:eastAsia="zh-CN" w:bidi="ar-SA"/>
    </w:rPr>
  </w:style>
  <w:style w:type="paragraph" w:customStyle="1" w:styleId="76">
    <w:name w:val="四级标题"/>
    <w:qFormat/>
    <w:uiPriority w:val="0"/>
    <w:pPr>
      <w:numPr>
        <w:ilvl w:val="3"/>
        <w:numId w:val="1"/>
      </w:numPr>
      <w:adjustRightInd w:val="0"/>
      <w:snapToGrid w:val="0"/>
      <w:spacing w:before="100" w:after="100" w:line="360" w:lineRule="auto"/>
      <w:outlineLvl w:val="3"/>
    </w:pPr>
    <w:rPr>
      <w:rFonts w:ascii="Times New Roman" w:hAnsi="Times New Roman" w:eastAsia="宋体" w:cs="Times New Roman"/>
      <w:b/>
      <w:kern w:val="2"/>
      <w:sz w:val="24"/>
      <w:szCs w:val="28"/>
      <w:lang w:val="en-US" w:eastAsia="zh-CN" w:bidi="ar-SA"/>
    </w:rPr>
  </w:style>
  <w:style w:type="paragraph" w:customStyle="1" w:styleId="77">
    <w:name w:val="三级标题"/>
    <w:next w:val="1"/>
    <w:qFormat/>
    <w:uiPriority w:val="0"/>
    <w:pPr>
      <w:numPr>
        <w:ilvl w:val="2"/>
        <w:numId w:val="1"/>
      </w:numPr>
      <w:adjustRightInd w:val="0"/>
      <w:snapToGrid w:val="0"/>
      <w:spacing w:before="100" w:after="100" w:line="360" w:lineRule="auto"/>
      <w:outlineLvl w:val="2"/>
    </w:pPr>
    <w:rPr>
      <w:rFonts w:ascii="Times New Roman" w:hAnsi="Times New Roman" w:eastAsia="楷体" w:cs="Times New Roman"/>
      <w:b/>
      <w:color w:val="000000"/>
      <w:kern w:val="2"/>
      <w:sz w:val="28"/>
      <w:szCs w:val="28"/>
      <w:lang w:val="en-US" w:eastAsia="zh-CN" w:bidi="ar-SA"/>
    </w:rPr>
  </w:style>
  <w:style w:type="paragraph" w:customStyle="1" w:styleId="78">
    <w:name w:val="表格标题"/>
    <w:link w:val="130"/>
    <w:qFormat/>
    <w:uiPriority w:val="0"/>
    <w:pPr>
      <w:numPr>
        <w:ilvl w:val="4"/>
        <w:numId w:val="1"/>
      </w:numPr>
      <w:adjustRightInd w:val="0"/>
      <w:snapToGrid w:val="0"/>
      <w:spacing w:beforeLines="50"/>
      <w:jc w:val="center"/>
    </w:pPr>
    <w:rPr>
      <w:rFonts w:ascii="Times New Roman" w:hAnsi="Times New Roman" w:eastAsia="宋体" w:cs="Times New Roman"/>
      <w:b/>
      <w:kern w:val="2"/>
      <w:sz w:val="24"/>
      <w:szCs w:val="28"/>
      <w:lang w:val="en-US" w:eastAsia="zh-CN" w:bidi="ar-SA"/>
    </w:rPr>
  </w:style>
  <w:style w:type="paragraph" w:customStyle="1" w:styleId="79">
    <w:name w:val="一级标题"/>
    <w:qFormat/>
    <w:uiPriority w:val="0"/>
    <w:pPr>
      <w:numPr>
        <w:ilvl w:val="0"/>
        <w:numId w:val="1"/>
      </w:numPr>
      <w:adjustRightInd w:val="0"/>
      <w:snapToGrid w:val="0"/>
      <w:spacing w:before="300" w:after="300"/>
      <w:outlineLvl w:val="0"/>
    </w:pPr>
    <w:rPr>
      <w:rFonts w:ascii="宋体" w:hAnsi="宋体" w:eastAsia="楷体" w:cs="Times New Roman"/>
      <w:b/>
      <w:kern w:val="2"/>
      <w:sz w:val="32"/>
      <w:szCs w:val="28"/>
      <w:lang w:val="en-US" w:eastAsia="zh-CN" w:bidi="ar-SA"/>
    </w:rPr>
  </w:style>
  <w:style w:type="paragraph" w:customStyle="1" w:styleId="80">
    <w:name w:val="表格5号"/>
    <w:basedOn w:val="1"/>
    <w:qFormat/>
    <w:uiPriority w:val="0"/>
    <w:pPr>
      <w:widowControl/>
      <w:autoSpaceDE w:val="0"/>
      <w:autoSpaceDN w:val="0"/>
      <w:adjustRightInd w:val="0"/>
      <w:jc w:val="center"/>
      <w:textAlignment w:val="baseline"/>
    </w:pPr>
    <w:rPr>
      <w:kern w:val="0"/>
      <w:szCs w:val="20"/>
    </w:rPr>
  </w:style>
  <w:style w:type="paragraph" w:customStyle="1" w:styleId="8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图件标题"/>
    <w:qFormat/>
    <w:uiPriority w:val="0"/>
    <w:pPr>
      <w:numPr>
        <w:ilvl w:val="5"/>
        <w:numId w:val="1"/>
      </w:numPr>
      <w:adjustRightInd w:val="0"/>
      <w:snapToGrid w:val="0"/>
      <w:spacing w:before="40" w:after="100"/>
      <w:jc w:val="center"/>
    </w:pPr>
    <w:rPr>
      <w:rFonts w:ascii="Times New Roman" w:hAnsi="Times New Roman" w:eastAsia="宋体" w:cs="Times New Roman"/>
      <w:b/>
      <w:kern w:val="2"/>
      <w:sz w:val="24"/>
      <w:szCs w:val="28"/>
      <w:lang w:val="en-US" w:eastAsia="zh-CN" w:bidi="ar-SA"/>
    </w:rPr>
  </w:style>
  <w:style w:type="paragraph" w:customStyle="1" w:styleId="84">
    <w:name w:val="表格内文字"/>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85">
    <w:name w:val="表哥的格式"/>
    <w:basedOn w:val="1"/>
    <w:qFormat/>
    <w:uiPriority w:val="0"/>
    <w:pPr>
      <w:autoSpaceDE w:val="0"/>
      <w:autoSpaceDN w:val="0"/>
      <w:adjustRightInd w:val="0"/>
      <w:snapToGrid w:val="0"/>
      <w:spacing w:line="360" w:lineRule="auto"/>
      <w:ind w:firstLine="880" w:firstLineChars="200"/>
      <w:jc w:val="center"/>
    </w:pPr>
    <w:rPr>
      <w:kern w:val="0"/>
      <w:szCs w:val="21"/>
    </w:rPr>
  </w:style>
  <w:style w:type="paragraph" w:customStyle="1" w:styleId="86">
    <w:name w:val="表名"/>
    <w:basedOn w:val="1"/>
    <w:qFormat/>
    <w:uiPriority w:val="0"/>
    <w:pPr>
      <w:adjustRightInd w:val="0"/>
      <w:snapToGrid w:val="0"/>
      <w:jc w:val="center"/>
    </w:pPr>
    <w:rPr>
      <w:b/>
      <w:bCs/>
      <w:sz w:val="24"/>
    </w:rPr>
  </w:style>
  <w:style w:type="paragraph" w:customStyle="1" w:styleId="87">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88">
    <w:name w:val="4正文"/>
    <w:basedOn w:val="1"/>
    <w:qFormat/>
    <w:uiPriority w:val="0"/>
    <w:pPr>
      <w:adjustRightInd w:val="0"/>
      <w:snapToGrid w:val="0"/>
      <w:spacing w:line="360" w:lineRule="auto"/>
      <w:ind w:firstLine="480" w:firstLineChars="200"/>
    </w:pPr>
    <w:rPr>
      <w:rFonts w:cs="宋体"/>
      <w:sz w:val="24"/>
    </w:rPr>
  </w:style>
  <w:style w:type="paragraph" w:customStyle="1" w:styleId="89">
    <w:name w:val="表正文"/>
    <w:basedOn w:val="1"/>
    <w:qFormat/>
    <w:uiPriority w:val="0"/>
    <w:pPr>
      <w:spacing w:line="360" w:lineRule="auto"/>
      <w:ind w:firstLine="200" w:firstLineChars="200"/>
    </w:pPr>
    <w:rPr>
      <w:sz w:val="24"/>
    </w:rPr>
  </w:style>
  <w:style w:type="paragraph" w:customStyle="1" w:styleId="90">
    <w:name w:val="表格名称1"/>
    <w:basedOn w:val="1"/>
    <w:qFormat/>
    <w:uiPriority w:val="0"/>
    <w:pPr>
      <w:adjustRightInd w:val="0"/>
      <w:snapToGrid w:val="0"/>
      <w:jc w:val="center"/>
    </w:pPr>
    <w:rPr>
      <w:b/>
    </w:rPr>
  </w:style>
  <w:style w:type="table" w:customStyle="1" w:styleId="91">
    <w:name w:val="表格样式1"/>
    <w:basedOn w:val="20"/>
    <w:qFormat/>
    <w:uiPriority w:val="0"/>
    <w:pPr>
      <w:jc w:val="center"/>
    </w:pPr>
    <w:rPr>
      <w:rFonts w:ascii="Calibri" w:hAnsi="Calibri"/>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table" w:customStyle="1" w:styleId="92">
    <w:name w:val="表格样式11"/>
    <w:basedOn w:val="20"/>
    <w:qFormat/>
    <w:uiPriority w:val="0"/>
    <w:pPr>
      <w:spacing w:line="240" w:lineRule="atLeast"/>
      <w:jc w:val="center"/>
    </w:pPr>
    <w:rPr>
      <w:rFonts w:ascii="Calibri" w:hAnsi="Calibri"/>
      <w:sz w:val="21"/>
    </w:rPr>
    <w:tblPr>
      <w:tblBorders>
        <w:top w:val="single" w:color="auto" w:sz="12" w:space="0"/>
        <w:bottom w:val="single" w:color="auto" w:sz="12" w:space="0"/>
        <w:insideH w:val="single" w:color="auto" w:sz="6" w:space="0"/>
        <w:insideV w:val="single" w:color="auto" w:sz="6" w:space="0"/>
      </w:tblBorders>
    </w:tblPr>
    <w:tcPr>
      <w:vAlign w:val="center"/>
    </w:tcPr>
  </w:style>
  <w:style w:type="character" w:customStyle="1" w:styleId="93">
    <w:name w:val="5.正文内容 字符"/>
    <w:link w:val="94"/>
    <w:qFormat/>
    <w:uiPriority w:val="0"/>
    <w:rPr>
      <w:rFonts w:cs="宋体"/>
      <w:sz w:val="24"/>
    </w:rPr>
  </w:style>
  <w:style w:type="paragraph" w:customStyle="1" w:styleId="94">
    <w:name w:val="5.正文内容"/>
    <w:basedOn w:val="1"/>
    <w:link w:val="93"/>
    <w:qFormat/>
    <w:uiPriority w:val="0"/>
    <w:pPr>
      <w:widowControl/>
      <w:adjustRightInd w:val="0"/>
      <w:snapToGrid w:val="0"/>
      <w:spacing w:line="360" w:lineRule="auto"/>
      <w:ind w:firstLine="200" w:firstLineChars="200"/>
    </w:pPr>
    <w:rPr>
      <w:kern w:val="0"/>
      <w:sz w:val="24"/>
      <w:szCs w:val="20"/>
      <w:lang w:val="zh-CN" w:eastAsia="zh-CN"/>
    </w:rPr>
  </w:style>
  <w:style w:type="character" w:customStyle="1" w:styleId="95">
    <w:name w:val="0.正文内容 字符"/>
    <w:link w:val="96"/>
    <w:qFormat/>
    <w:uiPriority w:val="0"/>
    <w:rPr>
      <w:rFonts w:ascii="TimesNewRoman" w:hAnsi="TimesNewRoman" w:cs="宋体"/>
      <w:sz w:val="24"/>
    </w:rPr>
  </w:style>
  <w:style w:type="paragraph" w:customStyle="1" w:styleId="96">
    <w:name w:val="0.正文内容"/>
    <w:basedOn w:val="1"/>
    <w:link w:val="95"/>
    <w:qFormat/>
    <w:uiPriority w:val="0"/>
    <w:pPr>
      <w:widowControl/>
      <w:adjustRightInd w:val="0"/>
      <w:snapToGrid w:val="0"/>
      <w:spacing w:line="360" w:lineRule="auto"/>
      <w:ind w:firstLine="200" w:firstLineChars="200"/>
      <w:jc w:val="left"/>
    </w:pPr>
    <w:rPr>
      <w:rFonts w:ascii="TimesNewRoman" w:hAnsi="TimesNewRoman"/>
      <w:kern w:val="0"/>
      <w:sz w:val="24"/>
      <w:szCs w:val="20"/>
      <w:lang w:val="zh-CN" w:eastAsia="zh-CN"/>
    </w:rPr>
  </w:style>
  <w:style w:type="paragraph" w:customStyle="1" w:styleId="97">
    <w:name w:val="5 正文"/>
    <w:basedOn w:val="1"/>
    <w:qFormat/>
    <w:uiPriority w:val="0"/>
    <w:pPr>
      <w:widowControl/>
      <w:tabs>
        <w:tab w:val="left" w:pos="1980"/>
        <w:tab w:val="left" w:pos="3825"/>
        <w:tab w:val="left" w:pos="4680"/>
      </w:tabs>
      <w:spacing w:line="360" w:lineRule="auto"/>
      <w:ind w:firstLine="480" w:firstLineChars="200"/>
    </w:pPr>
    <w:rPr>
      <w:kern w:val="0"/>
      <w:sz w:val="24"/>
      <w:szCs w:val="21"/>
      <w:lang w:eastAsia="en-US" w:bidi="en-US"/>
    </w:rPr>
  </w:style>
  <w:style w:type="character" w:customStyle="1" w:styleId="98">
    <w:name w:val="正文内容 Char"/>
    <w:link w:val="99"/>
    <w:qFormat/>
    <w:uiPriority w:val="0"/>
    <w:rPr>
      <w:sz w:val="24"/>
    </w:rPr>
  </w:style>
  <w:style w:type="paragraph" w:customStyle="1" w:styleId="99">
    <w:name w:val="正文内容"/>
    <w:basedOn w:val="1"/>
    <w:link w:val="98"/>
    <w:qFormat/>
    <w:uiPriority w:val="0"/>
    <w:pPr>
      <w:widowControl/>
      <w:adjustRightInd w:val="0"/>
      <w:snapToGrid w:val="0"/>
      <w:jc w:val="left"/>
    </w:pPr>
    <w:rPr>
      <w:kern w:val="0"/>
      <w:sz w:val="24"/>
      <w:szCs w:val="20"/>
      <w:lang w:val="zh-CN" w:eastAsia="zh-CN"/>
    </w:rPr>
  </w:style>
  <w:style w:type="character" w:customStyle="1" w:styleId="100">
    <w:name w:val="4.图片格式CM 字符"/>
    <w:link w:val="101"/>
    <w:uiPriority w:val="0"/>
    <w:rPr>
      <w:kern w:val="2"/>
      <w:sz w:val="24"/>
      <w:szCs w:val="21"/>
      <w:lang w:val="en-US" w:eastAsia="zh-CN" w:bidi="ar-SA"/>
    </w:rPr>
  </w:style>
  <w:style w:type="paragraph" w:customStyle="1" w:styleId="101">
    <w:name w:val="4.图片格式CM"/>
    <w:link w:val="100"/>
    <w:qFormat/>
    <w:uiPriority w:val="0"/>
    <w:pPr>
      <w:spacing w:before="20" w:beforeLines="20" w:after="30" w:afterLines="30" w:line="360" w:lineRule="auto"/>
      <w:jc w:val="center"/>
    </w:pPr>
    <w:rPr>
      <w:rFonts w:ascii="Times New Roman" w:hAnsi="Times New Roman" w:eastAsia="宋体" w:cs="Times New Roman"/>
      <w:kern w:val="2"/>
      <w:sz w:val="24"/>
      <w:szCs w:val="21"/>
      <w:lang w:val="en-US" w:eastAsia="zh-CN" w:bidi="ar-SA"/>
    </w:rPr>
  </w:style>
  <w:style w:type="character" w:customStyle="1" w:styleId="102">
    <w:name w:val="批注文字 Char"/>
    <w:uiPriority w:val="0"/>
    <w:rPr>
      <w:rFonts w:ascii="Calibri" w:hAnsi="Calibri"/>
      <w:kern w:val="2"/>
      <w:sz w:val="21"/>
      <w:szCs w:val="24"/>
    </w:rPr>
  </w:style>
  <w:style w:type="paragraph" w:customStyle="1" w:styleId="103">
    <w:name w:val="5段落"/>
    <w:basedOn w:val="1"/>
    <w:qFormat/>
    <w:uiPriority w:val="0"/>
    <w:rPr>
      <w:szCs w:val="28"/>
    </w:rPr>
  </w:style>
  <w:style w:type="paragraph" w:customStyle="1" w:styleId="104">
    <w:name w:val="CM11"/>
    <w:basedOn w:val="1"/>
    <w:next w:val="1"/>
    <w:qFormat/>
    <w:uiPriority w:val="0"/>
    <w:pPr>
      <w:autoSpaceDE w:val="0"/>
      <w:autoSpaceDN w:val="0"/>
      <w:adjustRightInd w:val="0"/>
      <w:spacing w:line="520" w:lineRule="atLeast"/>
      <w:jc w:val="left"/>
    </w:pPr>
    <w:rPr>
      <w:rFonts w:ascii="宋体"/>
      <w:kern w:val="0"/>
      <w:sz w:val="24"/>
    </w:rPr>
  </w:style>
  <w:style w:type="paragraph" w:customStyle="1" w:styleId="105">
    <w:name w:val="金皇-正文"/>
    <w:basedOn w:val="1"/>
    <w:link w:val="106"/>
    <w:qFormat/>
    <w:uiPriority w:val="0"/>
    <w:pPr>
      <w:spacing w:line="360" w:lineRule="auto"/>
      <w:ind w:firstLine="200" w:firstLineChars="200"/>
    </w:pPr>
    <w:rPr>
      <w:sz w:val="24"/>
      <w:lang w:val="zh-CN" w:eastAsia="zh-CN"/>
    </w:rPr>
  </w:style>
  <w:style w:type="character" w:customStyle="1" w:styleId="106">
    <w:name w:val="金皇-正文 Char"/>
    <w:link w:val="105"/>
    <w:qFormat/>
    <w:uiPriority w:val="0"/>
    <w:rPr>
      <w:kern w:val="2"/>
      <w:sz w:val="24"/>
      <w:szCs w:val="24"/>
    </w:rPr>
  </w:style>
  <w:style w:type="character" w:customStyle="1" w:styleId="107">
    <w:name w:val="正文缩进 字符"/>
    <w:link w:val="6"/>
    <w:qFormat/>
    <w:uiPriority w:val="0"/>
    <w:rPr>
      <w:kern w:val="2"/>
      <w:sz w:val="21"/>
      <w:szCs w:val="24"/>
    </w:rPr>
  </w:style>
  <w:style w:type="character" w:customStyle="1" w:styleId="108">
    <w:name w:val="HTML 预设格式 字符"/>
    <w:link w:val="16"/>
    <w:qFormat/>
    <w:uiPriority w:val="99"/>
    <w:rPr>
      <w:rFonts w:ascii="宋体" w:hAnsi="宋体" w:cs="宋体"/>
      <w:sz w:val="24"/>
      <w:szCs w:val="24"/>
    </w:rPr>
  </w:style>
  <w:style w:type="paragraph" w:customStyle="1" w:styleId="109">
    <w:name w:val="T表格"/>
    <w:uiPriority w:val="0"/>
    <w:pPr>
      <w:jc w:val="center"/>
    </w:pPr>
    <w:rPr>
      <w:rFonts w:ascii="Times New Roman" w:hAnsi="Times New Roman" w:eastAsia="宋体" w:cs="Times New Roman"/>
      <w:sz w:val="21"/>
      <w:lang w:val="en-US" w:eastAsia="zh-CN" w:bidi="ar-SA"/>
    </w:rPr>
  </w:style>
  <w:style w:type="character" w:customStyle="1" w:styleId="110">
    <w:name w:val="表格的字 Char"/>
    <w:link w:val="111"/>
    <w:uiPriority w:val="0"/>
    <w:rPr>
      <w:kern w:val="2"/>
      <w:sz w:val="21"/>
      <w:szCs w:val="24"/>
    </w:rPr>
  </w:style>
  <w:style w:type="paragraph" w:customStyle="1" w:styleId="111">
    <w:name w:val="表格的字"/>
    <w:basedOn w:val="1"/>
    <w:link w:val="110"/>
    <w:qFormat/>
    <w:uiPriority w:val="0"/>
    <w:pPr>
      <w:jc w:val="center"/>
    </w:pPr>
    <w:rPr>
      <w:lang w:val="zh-CN" w:eastAsia="zh-CN"/>
    </w:rPr>
  </w:style>
  <w:style w:type="character" w:customStyle="1" w:styleId="112">
    <w:name w:val="zzzzz Char"/>
    <w:link w:val="113"/>
    <w:uiPriority w:val="0"/>
    <w:rPr>
      <w:rFonts w:hAnsi="宋体"/>
      <w:color w:val="000000"/>
      <w:kern w:val="2"/>
      <w:sz w:val="24"/>
      <w:szCs w:val="24"/>
      <w:lang w:val="zh-CN" w:eastAsia="zh-CN"/>
    </w:rPr>
  </w:style>
  <w:style w:type="paragraph" w:customStyle="1" w:styleId="113">
    <w:name w:val="zzzzz"/>
    <w:basedOn w:val="1"/>
    <w:link w:val="112"/>
    <w:qFormat/>
    <w:uiPriority w:val="0"/>
    <w:pPr>
      <w:adjustRightInd w:val="0"/>
      <w:snapToGrid w:val="0"/>
      <w:spacing w:line="360" w:lineRule="auto"/>
      <w:ind w:firstLine="480" w:firstLineChars="200"/>
    </w:pPr>
    <w:rPr>
      <w:rFonts w:hAnsi="宋体"/>
      <w:color w:val="000000"/>
      <w:sz w:val="24"/>
      <w:lang w:val="zh-CN" w:eastAsia="zh-CN"/>
    </w:rPr>
  </w:style>
  <w:style w:type="paragraph" w:customStyle="1" w:styleId="114">
    <w:name w:val="正文首行缩进 21"/>
    <w:basedOn w:val="10"/>
    <w:link w:val="115"/>
    <w:qFormat/>
    <w:locked/>
    <w:uiPriority w:val="0"/>
    <w:pPr>
      <w:ind w:firstLine="420" w:firstLineChars="200"/>
    </w:pPr>
    <w:rPr>
      <w:kern w:val="2"/>
      <w:sz w:val="21"/>
      <w:szCs w:val="24"/>
    </w:rPr>
  </w:style>
  <w:style w:type="character" w:customStyle="1" w:styleId="115">
    <w:name w:val="正文文本首行缩进 2 字符"/>
    <w:link w:val="114"/>
    <w:qFormat/>
    <w:uiPriority w:val="0"/>
    <w:rPr>
      <w:rFonts w:ascii="Times New Roman" w:hAnsi="Times New Roman" w:eastAsia="宋体"/>
      <w:kern w:val="2"/>
      <w:sz w:val="21"/>
      <w:szCs w:val="24"/>
    </w:rPr>
  </w:style>
  <w:style w:type="paragraph" w:customStyle="1" w:styleId="116">
    <w:name w:val="目录 11"/>
    <w:basedOn w:val="1"/>
    <w:next w:val="1"/>
    <w:qFormat/>
    <w:locked/>
    <w:uiPriority w:val="39"/>
  </w:style>
  <w:style w:type="character" w:customStyle="1" w:styleId="117">
    <w:name w:val="标题 2 字符"/>
    <w:link w:val="3"/>
    <w:uiPriority w:val="0"/>
    <w:rPr>
      <w:rFonts w:ascii="等线 Light" w:hAnsi="等线 Light" w:eastAsia="等线 Light" w:cs="Times New Roman"/>
      <w:b/>
      <w:bCs/>
      <w:kern w:val="2"/>
      <w:sz w:val="32"/>
      <w:szCs w:val="32"/>
    </w:rPr>
  </w:style>
  <w:style w:type="character" w:customStyle="1" w:styleId="118">
    <w:name w:val="表格标题CCW Char"/>
    <w:link w:val="119"/>
    <w:uiPriority w:val="0"/>
    <w:rPr>
      <w:b/>
      <w:sz w:val="24"/>
      <w:lang w:val="en-US" w:eastAsia="zh-CN" w:bidi="ar-SA"/>
    </w:rPr>
  </w:style>
  <w:style w:type="paragraph" w:customStyle="1" w:styleId="119">
    <w:name w:val="表格标题CCW"/>
    <w:link w:val="118"/>
    <w:uiPriority w:val="0"/>
    <w:pPr>
      <w:jc w:val="center"/>
    </w:pPr>
    <w:rPr>
      <w:rFonts w:ascii="Times New Roman" w:hAnsi="Times New Roman" w:eastAsia="宋体" w:cs="Times New Roman"/>
      <w:b/>
      <w:sz w:val="24"/>
      <w:lang w:val="en-US" w:eastAsia="zh-CN" w:bidi="ar-SA"/>
    </w:rPr>
  </w:style>
  <w:style w:type="paragraph" w:customStyle="1" w:styleId="120">
    <w:name w:val="一级aaa"/>
    <w:basedOn w:val="2"/>
    <w:qFormat/>
    <w:uiPriority w:val="0"/>
    <w:pPr>
      <w:keepNext w:val="0"/>
      <w:widowControl/>
      <w:overflowPunct/>
      <w:adjustRightInd w:val="0"/>
      <w:spacing w:before="240" w:beforeLines="100" w:after="60" w:afterLines="100" w:line="360" w:lineRule="auto"/>
      <w:ind w:left="0" w:firstLine="0"/>
      <w:jc w:val="left"/>
    </w:pPr>
    <w:rPr>
      <w:rFonts w:ascii="Cambria" w:hAnsi="Cambria" w:eastAsia="宋体"/>
      <w:b w:val="0"/>
      <w:color w:val="auto"/>
      <w:kern w:val="32"/>
      <w:sz w:val="28"/>
      <w:szCs w:val="32"/>
      <w:lang w:eastAsia="en-US"/>
    </w:rPr>
  </w:style>
  <w:style w:type="paragraph" w:customStyle="1" w:styleId="121">
    <w:name w:val="6表格"/>
    <w:basedOn w:val="1"/>
    <w:qFormat/>
    <w:uiPriority w:val="0"/>
    <w:pPr>
      <w:jc w:val="center"/>
    </w:pPr>
  </w:style>
  <w:style w:type="character" w:customStyle="1" w:styleId="122">
    <w:name w:val="普通(网站) 字符1"/>
    <w:qFormat/>
    <w:locked/>
    <w:uiPriority w:val="0"/>
    <w:rPr>
      <w:rFonts w:ascii="宋体" w:hAnsi="宋体" w:eastAsia="宋体"/>
      <w:sz w:val="24"/>
    </w:rPr>
  </w:style>
  <w:style w:type="paragraph" w:styleId="123">
    <w:name w:val="No Spacing"/>
    <w:basedOn w:val="1"/>
    <w:qFormat/>
    <w:uiPriority w:val="99"/>
    <w:rPr>
      <w:sz w:val="24"/>
      <w:szCs w:val="21"/>
    </w:rPr>
  </w:style>
  <w:style w:type="paragraph" w:customStyle="1" w:styleId="124">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eastAsia="黑体" w:cs="宋体"/>
      <w:sz w:val="24"/>
    </w:rPr>
  </w:style>
  <w:style w:type="character" w:customStyle="1" w:styleId="125">
    <w:name w:val="正文缩进 Char"/>
    <w:qFormat/>
    <w:uiPriority w:val="0"/>
    <w:rPr>
      <w:rFonts w:ascii="黑体" w:eastAsia="黑体" w:cs="Plotter"/>
      <w:kern w:val="2"/>
      <w:sz w:val="24"/>
    </w:rPr>
  </w:style>
  <w:style w:type="character" w:customStyle="1" w:styleId="126">
    <w:name w:val="表格内容 Char1"/>
    <w:qFormat/>
    <w:uiPriority w:val="0"/>
    <w:rPr>
      <w:rFonts w:ascii="宋体" w:hAnsi="宋体" w:eastAsia="宋体"/>
      <w:kern w:val="0"/>
      <w:sz w:val="21"/>
    </w:rPr>
  </w:style>
  <w:style w:type="paragraph" w:customStyle="1" w:styleId="127">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28">
    <w:name w:val="zhang正文 Char"/>
    <w:basedOn w:val="10"/>
    <w:qFormat/>
    <w:uiPriority w:val="0"/>
    <w:pPr>
      <w:autoSpaceDE w:val="0"/>
      <w:autoSpaceDN w:val="0"/>
      <w:adjustRightInd w:val="0"/>
      <w:snapToGrid w:val="0"/>
      <w:spacing w:after="0" w:line="500" w:lineRule="exact"/>
      <w:ind w:left="0" w:leftChars="0" w:firstLine="539"/>
      <w:textAlignment w:val="baseline"/>
    </w:pPr>
    <w:rPr>
      <w:rFonts w:eastAsia="楷体_GB2312"/>
      <w:sz w:val="28"/>
      <w:lang w:val="en-US" w:eastAsia="zh-CN"/>
    </w:rPr>
  </w:style>
  <w:style w:type="character" w:customStyle="1" w:styleId="129">
    <w:name w:val="表格内容 字符"/>
    <w:qFormat/>
    <w:uiPriority w:val="0"/>
    <w:rPr>
      <w:iCs/>
      <w:kern w:val="2"/>
      <w:sz w:val="21"/>
      <w:szCs w:val="21"/>
    </w:rPr>
  </w:style>
  <w:style w:type="character" w:customStyle="1" w:styleId="130">
    <w:name w:val="表格标题 Char"/>
    <w:link w:val="78"/>
    <w:qFormat/>
    <w:uiPriority w:val="0"/>
    <w:rPr>
      <w:b/>
      <w:kern w:val="2"/>
      <w:sz w:val="24"/>
      <w:szCs w:val="28"/>
      <w:lang w:bidi="ar-SA"/>
    </w:rPr>
  </w:style>
  <w:style w:type="character" w:customStyle="1" w:styleId="131">
    <w:name w:val="表格标题 Char1"/>
    <w:qFormat/>
    <w:uiPriority w:val="0"/>
    <w:rPr>
      <w:b/>
      <w:sz w:val="24"/>
      <w:szCs w:val="24"/>
    </w:rPr>
  </w:style>
  <w:style w:type="character" w:customStyle="1" w:styleId="132">
    <w:name w:val="纯文本 字符"/>
    <w:link w:val="11"/>
    <w:qFormat/>
    <w:uiPriority w:val="0"/>
    <w:rPr>
      <w:rFonts w:ascii="宋体" w:hAnsi="Courier New"/>
      <w:kern w:val="2"/>
      <w:sz w:val="21"/>
      <w:lang w:val="zh-CN" w:eastAsia="zh-CN"/>
    </w:rPr>
  </w:style>
  <w:style w:type="paragraph" w:customStyle="1" w:styleId="133">
    <w:name w:val="Table Paragraph"/>
    <w:basedOn w:val="1"/>
    <w:qFormat/>
    <w:uiPriority w:val="0"/>
    <w:pPr>
      <w:widowControl/>
      <w:adjustRightInd w:val="0"/>
      <w:snapToGrid w:val="0"/>
      <w:jc w:val="left"/>
    </w:pPr>
    <w:rPr>
      <w:rFonts w:ascii="Calibri" w:hAnsi="Calibri"/>
      <w:kern w:val="0"/>
      <w:sz w:val="22"/>
      <w:szCs w:val="22"/>
    </w:rPr>
  </w:style>
  <w:style w:type="paragraph" w:customStyle="1" w:styleId="134">
    <w:name w:val="zhang正文"/>
    <w:basedOn w:val="10"/>
    <w:link w:val="135"/>
    <w:qFormat/>
    <w:uiPriority w:val="0"/>
    <w:pPr>
      <w:autoSpaceDE w:val="0"/>
      <w:autoSpaceDN w:val="0"/>
      <w:adjustRightInd w:val="0"/>
      <w:snapToGrid w:val="0"/>
      <w:spacing w:line="500" w:lineRule="exact"/>
      <w:ind w:firstLine="539"/>
      <w:textAlignment w:val="baseline"/>
    </w:pPr>
    <w:rPr>
      <w:rFonts w:eastAsia="楷体_GB2312"/>
    </w:rPr>
  </w:style>
  <w:style w:type="character" w:customStyle="1" w:styleId="135">
    <w:name w:val="zhang正文 Char1"/>
    <w:link w:val="134"/>
    <w:qFormat/>
    <w:locked/>
    <w:uiPriority w:val="0"/>
    <w:rPr>
      <w:rFonts w:eastAsia="楷体_GB2312"/>
      <w:sz w:val="24"/>
      <w:lang w:val="zh-CN" w:eastAsia="zh-CN"/>
    </w:rPr>
  </w:style>
  <w:style w:type="character" w:customStyle="1" w:styleId="136">
    <w:name w:val="markedcontent"/>
    <w:basedOn w:val="22"/>
    <w:qFormat/>
    <w:uiPriority w:val="0"/>
  </w:style>
  <w:style w:type="paragraph" w:customStyle="1" w:styleId="137">
    <w:name w:val="足乐表格"/>
    <w:basedOn w:val="1"/>
    <w:qFormat/>
    <w:uiPriority w:val="0"/>
    <w:pPr>
      <w:adjustRightInd w:val="0"/>
      <w:snapToGrid w:val="0"/>
      <w:jc w:val="center"/>
    </w:pPr>
  </w:style>
  <w:style w:type="character" w:customStyle="1" w:styleId="138">
    <w:name w:val="b-free-read-leaf"/>
    <w:basedOn w:val="22"/>
    <w:qFormat/>
    <w:uiPriority w:val="0"/>
  </w:style>
  <w:style w:type="character" w:customStyle="1" w:styleId="139">
    <w:name w:val="HTML 预设格式 Char1"/>
    <w:qFormat/>
    <w:uiPriority w:val="99"/>
    <w:rPr>
      <w:rFonts w:ascii="宋体" w:hAnsi="宋体" w:cs="宋体"/>
      <w:sz w:val="24"/>
      <w:szCs w:val="24"/>
    </w:rPr>
  </w:style>
  <w:style w:type="character" w:customStyle="1" w:styleId="140">
    <w:name w:val="普通(网站) Char1"/>
    <w:qFormat/>
    <w:locked/>
    <w:uiPriority w:val="0"/>
    <w:rPr>
      <w:rFonts w:ascii="宋体" w:hAnsi="宋体" w:eastAsia="宋体"/>
      <w:sz w:val="24"/>
    </w:rPr>
  </w:style>
  <w:style w:type="paragraph" w:customStyle="1" w:styleId="141">
    <w:name w:val="金皇-表格内文字"/>
    <w:basedOn w:val="1"/>
    <w:qFormat/>
    <w:uiPriority w:val="0"/>
    <w:pPr>
      <w:tabs>
        <w:tab w:val="left" w:pos="0"/>
      </w:tabs>
      <w:adjustRightInd w:val="0"/>
      <w:snapToGrid w:val="0"/>
      <w:jc w:val="center"/>
    </w:pPr>
    <w:rPr>
      <w:snapToGrid w:val="0"/>
      <w:szCs w:val="21"/>
    </w:rPr>
  </w:style>
  <w:style w:type="paragraph" w:customStyle="1" w:styleId="142">
    <w:name w:val="BGZX"/>
    <w:next w:val="1"/>
    <w:link w:val="143"/>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2"/>
      <w:lang w:val="en-GB" w:eastAsia="zh-CN" w:bidi="ar-SA"/>
    </w:rPr>
  </w:style>
  <w:style w:type="character" w:customStyle="1" w:styleId="143">
    <w:name w:val="BGZX Char"/>
    <w:link w:val="142"/>
    <w:qFormat/>
    <w:uiPriority w:val="0"/>
    <w:rPr>
      <w:color w:val="000000"/>
      <w:sz w:val="24"/>
      <w:szCs w:val="22"/>
      <w:lang w:val="en-GB" w:bidi="ar-SA"/>
    </w:rPr>
  </w:style>
  <w:style w:type="paragraph" w:customStyle="1" w:styleId="144">
    <w:name w:val="表格样式"/>
    <w:basedOn w:val="1"/>
    <w:next w:val="1"/>
    <w:qFormat/>
    <w:uiPriority w:val="0"/>
    <w:pPr>
      <w:keepNext/>
      <w:overflowPunct w:val="0"/>
      <w:snapToGrid w:val="0"/>
      <w:spacing w:line="340" w:lineRule="exact"/>
      <w:jc w:val="center"/>
    </w:pPr>
    <w:rPr>
      <w:rFonts w:hint="eastAsia"/>
      <w:bCs/>
      <w:color w:val="000000"/>
      <w:kern w:val="44"/>
      <w:szCs w:val="30"/>
    </w:rPr>
  </w:style>
  <w:style w:type="character" w:customStyle="1" w:styleId="145">
    <w:name w:val="表头样式 Char"/>
    <w:link w:val="146"/>
    <w:qFormat/>
    <w:locked/>
    <w:uiPriority w:val="0"/>
    <w:rPr>
      <w:rFonts w:ascii="黑体" w:hAnsi="黑体" w:eastAsia="黑体"/>
      <w:bCs/>
      <w:color w:val="000000"/>
      <w:kern w:val="44"/>
      <w:sz w:val="24"/>
      <w:szCs w:val="24"/>
      <w:lang w:val="zh-CN" w:eastAsia="zh-CN"/>
    </w:rPr>
  </w:style>
  <w:style w:type="paragraph" w:customStyle="1" w:styleId="146">
    <w:name w:val="表头样式"/>
    <w:basedOn w:val="1"/>
    <w:next w:val="1"/>
    <w:link w:val="145"/>
    <w:qFormat/>
    <w:uiPriority w:val="0"/>
    <w:pPr>
      <w:keepNext/>
      <w:overflowPunct w:val="0"/>
      <w:adjustRightInd w:val="0"/>
      <w:snapToGrid w:val="0"/>
      <w:spacing w:beforeLines="50"/>
      <w:jc w:val="center"/>
    </w:pPr>
    <w:rPr>
      <w:rFonts w:ascii="黑体" w:hAnsi="黑体" w:eastAsia="黑体"/>
      <w:bCs/>
      <w:color w:val="000000"/>
      <w:kern w:val="44"/>
      <w:sz w:val="24"/>
      <w:lang w:val="zh-CN" w:eastAsia="zh-CN"/>
    </w:rPr>
  </w:style>
  <w:style w:type="paragraph" w:customStyle="1" w:styleId="147">
    <w:name w:val="章1正文样式"/>
    <w:basedOn w:val="1"/>
    <w:qFormat/>
    <w:uiPriority w:val="0"/>
    <w:pPr>
      <w:adjustRightInd w:val="0"/>
      <w:snapToGrid w:val="0"/>
      <w:spacing w:line="360" w:lineRule="auto"/>
      <w:ind w:firstLine="720" w:firstLineChars="200"/>
    </w:pPr>
    <w:rPr>
      <w:sz w:val="24"/>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A5B72D-8CBC-4A87-A402-6CFEBF11C67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65</Pages>
  <Words>29348</Words>
  <Characters>7314</Characters>
  <Lines>60</Lines>
  <Paragraphs>73</Paragraphs>
  <TotalTime>11</TotalTime>
  <ScaleCrop>false</ScaleCrop>
  <LinksUpToDate>false</LinksUpToDate>
  <CharactersWithSpaces>36589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2025-10-10T08:24:00Z</dcterms:created>
  <dc:creator>lhj</dc:creator>
  <cp:lastModifiedBy>105</cp:lastModifiedBy>
  <cp:lastPrinted>2024-08-18T06:26:00Z</cp:lastPrinted>
  <dcterms:modified xsi:type="dcterms:W3CDTF">2025-10-16T03:13:35Z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7C40800627874ED586E92C78A574AED3</vt:lpwstr>
  </property>
</Properties>
</file>