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45B10B">
      <w:pPr>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sz w:val="36"/>
          <w:szCs w:val="36"/>
          <w:highlight w:val="none"/>
          <w:lang w:eastAsia="zh-CN"/>
        </w:rPr>
      </w:pPr>
      <w:bookmarkStart w:id="165" w:name="_GoBack"/>
      <w:r>
        <w:drawing>
          <wp:anchor distT="0" distB="0" distL="114300" distR="114300" simplePos="0" relativeHeight="251661312" behindDoc="0" locked="0" layoutInCell="1" allowOverlap="1">
            <wp:simplePos x="0" y="0"/>
            <wp:positionH relativeFrom="column">
              <wp:posOffset>-889000</wp:posOffset>
            </wp:positionH>
            <wp:positionV relativeFrom="paragraph">
              <wp:posOffset>-989330</wp:posOffset>
            </wp:positionV>
            <wp:extent cx="7551420" cy="10657840"/>
            <wp:effectExtent l="0" t="0" r="11430" b="10160"/>
            <wp:wrapNone/>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0"/>
                    <a:stretch>
                      <a:fillRect/>
                    </a:stretch>
                  </pic:blipFill>
                  <pic:spPr>
                    <a:xfrm>
                      <a:off x="0" y="0"/>
                      <a:ext cx="7551420" cy="10657840"/>
                    </a:xfrm>
                    <a:prstGeom prst="rect">
                      <a:avLst/>
                    </a:prstGeom>
                    <a:noFill/>
                    <a:ln>
                      <a:noFill/>
                    </a:ln>
                  </pic:spPr>
                </pic:pic>
              </a:graphicData>
            </a:graphic>
          </wp:anchor>
        </w:drawing>
      </w:r>
      <w:bookmarkEnd w:id="165"/>
      <w:r>
        <w:rPr>
          <w:rFonts w:hint="eastAsia"/>
          <w:lang w:eastAsia="zh-CN"/>
        </w:rPr>
        <w:t>且</w:t>
      </w:r>
    </w:p>
    <w:p w14:paraId="4FF2ACA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Cs/>
          <w:color w:val="auto"/>
          <w:sz w:val="72"/>
          <w:szCs w:val="72"/>
          <w:highlight w:val="none"/>
        </w:rPr>
      </w:pPr>
      <w:bookmarkStart w:id="0" w:name="_Toc13859"/>
      <w:bookmarkStart w:id="1" w:name="_Toc23611"/>
      <w:bookmarkStart w:id="2" w:name="_Toc19841"/>
      <w:bookmarkStart w:id="3" w:name="_Toc2526"/>
      <w:bookmarkStart w:id="4" w:name="_Toc9163"/>
      <w:bookmarkStart w:id="5" w:name="_Toc17132"/>
      <w:bookmarkStart w:id="6" w:name="_Toc14623"/>
      <w:bookmarkStart w:id="7" w:name="_Toc29571"/>
      <w:bookmarkStart w:id="8" w:name="_Toc15153"/>
      <w:r>
        <w:rPr>
          <w:rFonts w:hint="default" w:ascii="Times New Roman" w:hAnsi="Times New Roman" w:eastAsia="宋体" w:cs="Times New Roman"/>
          <w:bCs/>
          <w:color w:val="auto"/>
          <w:sz w:val="72"/>
          <w:szCs w:val="72"/>
          <w:highlight w:val="none"/>
        </w:rPr>
        <w:t>建设项目环境影响报告表</w:t>
      </w:r>
      <w:bookmarkEnd w:id="0"/>
      <w:bookmarkEnd w:id="1"/>
      <w:bookmarkEnd w:id="2"/>
      <w:bookmarkEnd w:id="3"/>
      <w:bookmarkEnd w:id="4"/>
      <w:bookmarkEnd w:id="5"/>
      <w:bookmarkEnd w:id="6"/>
      <w:bookmarkEnd w:id="7"/>
      <w:bookmarkEnd w:id="8"/>
    </w:p>
    <w:p w14:paraId="5940FCBB">
      <w:pPr>
        <w:keepNext w:val="0"/>
        <w:keepLines w:val="0"/>
        <w:pageBreakBefore w:val="0"/>
        <w:widowControl w:val="0"/>
        <w:kinsoku/>
        <w:wordWrap/>
        <w:overflowPunct/>
        <w:topLinePunct w:val="0"/>
        <w:autoSpaceDE/>
        <w:autoSpaceDN/>
        <w:bidi w:val="0"/>
        <w:adjustRightInd w:val="0"/>
        <w:snapToGrid w:val="0"/>
        <w:spacing w:before="192" w:beforeLines="80" w:line="360" w:lineRule="auto"/>
        <w:jc w:val="center"/>
        <w:textAlignment w:val="auto"/>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14:paraId="309F4B84">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004335CC">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28182584">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7CCA024B">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71F5BD59">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0FA06328">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1AE8C748">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41189136">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02AB258A">
      <w:pPr>
        <w:keepNext w:val="0"/>
        <w:keepLines w:val="0"/>
        <w:pageBreakBefore w:val="0"/>
        <w:widowControl w:val="0"/>
        <w:kinsoku/>
        <w:wordWrap/>
        <w:overflowPunct/>
        <w:topLinePunct w:val="0"/>
        <w:autoSpaceDE/>
        <w:autoSpaceDN/>
        <w:bidi w:val="0"/>
        <w:adjustRightInd w:val="0"/>
        <w:snapToGrid w:val="0"/>
        <w:spacing w:line="288" w:lineRule="auto"/>
        <w:ind w:left="2159" w:leftChars="171" w:hanging="1800" w:hangingChars="500"/>
        <w:jc w:val="left"/>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u w:val="none"/>
          <w:lang w:eastAsia="zh-CN"/>
        </w:rPr>
        <w:t>项目名称：</w:t>
      </w:r>
      <w:r>
        <w:rPr>
          <w:rFonts w:hint="eastAsia" w:ascii="宋体" w:hAnsi="宋体" w:eastAsia="宋体" w:cs="宋体"/>
          <w:color w:val="auto"/>
          <w:sz w:val="36"/>
          <w:szCs w:val="36"/>
          <w:u w:val="single"/>
          <w:lang w:eastAsia="zh-CN"/>
        </w:rPr>
        <w:t>福</w:t>
      </w:r>
      <w:r>
        <w:rPr>
          <w:rFonts w:hint="eastAsia" w:ascii="Times New Roman" w:hAnsi="Times New Roman" w:eastAsia="宋体" w:cs="Times New Roman"/>
          <w:color w:val="auto"/>
          <w:sz w:val="36"/>
          <w:szCs w:val="36"/>
          <w:highlight w:val="none"/>
          <w:u w:val="single"/>
          <w:lang w:eastAsia="zh-CN"/>
        </w:rPr>
        <w:t>清大松模具有限公司年加工汽车塑料配件</w:t>
      </w:r>
      <w:r>
        <w:rPr>
          <w:rFonts w:hint="eastAsia" w:ascii="Times New Roman" w:hAnsi="Times New Roman" w:cs="Times New Roman"/>
          <w:color w:val="auto"/>
          <w:sz w:val="36"/>
          <w:szCs w:val="36"/>
          <w:highlight w:val="none"/>
          <w:u w:val="single"/>
          <w:lang w:val="en-US" w:eastAsia="zh-CN"/>
        </w:rPr>
        <w:t xml:space="preserve">  </w:t>
      </w:r>
      <w:r>
        <w:rPr>
          <w:rFonts w:hint="eastAsia" w:ascii="Times New Roman" w:hAnsi="Times New Roman" w:eastAsia="宋体" w:cs="Times New Roman"/>
          <w:color w:val="auto"/>
          <w:sz w:val="36"/>
          <w:szCs w:val="36"/>
          <w:highlight w:val="none"/>
          <w:u w:val="single"/>
          <w:lang w:val="en-US" w:eastAsia="zh-CN"/>
        </w:rPr>
        <w:t>83万套</w:t>
      </w:r>
      <w:r>
        <w:rPr>
          <w:rFonts w:hint="eastAsia" w:cs="Times New Roman"/>
          <w:color w:val="auto"/>
          <w:sz w:val="36"/>
          <w:szCs w:val="36"/>
          <w:highlight w:val="none"/>
          <w:u w:val="single"/>
          <w:lang w:val="en-US" w:eastAsia="zh-CN"/>
        </w:rPr>
        <w:t xml:space="preserve">项目             </w:t>
      </w:r>
      <w:r>
        <w:rPr>
          <w:rFonts w:hint="eastAsia" w:ascii="Times New Roman" w:hAnsi="Times New Roman" w:cs="Times New Roman"/>
          <w:color w:val="auto"/>
          <w:sz w:val="36"/>
          <w:szCs w:val="36"/>
          <w:highlight w:val="none"/>
          <w:u w:val="single"/>
          <w:lang w:val="en-US" w:eastAsia="zh-CN"/>
        </w:rPr>
        <w:t xml:space="preserve">  </w:t>
      </w:r>
      <w:r>
        <w:rPr>
          <w:rFonts w:hint="eastAsia" w:cs="Times New Roman"/>
          <w:color w:val="auto"/>
          <w:sz w:val="36"/>
          <w:szCs w:val="36"/>
          <w:highlight w:val="none"/>
          <w:u w:val="single"/>
          <w:lang w:val="en-US" w:eastAsia="zh-CN"/>
        </w:rPr>
        <w:t xml:space="preserve">       </w:t>
      </w:r>
      <w:r>
        <w:rPr>
          <w:rFonts w:hint="eastAsia" w:ascii="Times New Roman" w:hAnsi="Times New Roman" w:cs="Times New Roman"/>
          <w:color w:val="auto"/>
          <w:sz w:val="36"/>
          <w:szCs w:val="36"/>
          <w:highlight w:val="none"/>
          <w:u w:val="single"/>
          <w:lang w:val="en-US" w:eastAsia="zh-CN"/>
        </w:rPr>
        <w:t xml:space="preserve">      </w:t>
      </w:r>
    </w:p>
    <w:p w14:paraId="29F2C6CF">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left"/>
        <w:textAlignment w:val="auto"/>
        <w:rPr>
          <w:rFonts w:hint="default" w:ascii="Times New Roman" w:hAnsi="Times New Roman" w:eastAsia="宋体" w:cs="Times New Roman"/>
          <w:color w:val="auto"/>
          <w:sz w:val="36"/>
          <w:szCs w:val="36"/>
          <w:highlight w:val="none"/>
          <w:u w:val="single"/>
          <w:lang w:val="en-US"/>
        </w:rPr>
      </w:pPr>
      <w:r>
        <w:rPr>
          <w:rFonts w:hint="default" w:ascii="Times New Roman" w:hAnsi="Times New Roman" w:eastAsia="宋体" w:cs="Times New Roman"/>
          <w:color w:val="auto"/>
          <w:sz w:val="36"/>
          <w:szCs w:val="36"/>
          <w:highlight w:val="none"/>
        </w:rPr>
        <w:t>建设单位（盖章）：</w:t>
      </w:r>
      <w:r>
        <w:rPr>
          <w:rFonts w:hint="eastAsia" w:ascii="Times New Roman" w:hAnsi="Times New Roman" w:eastAsia="宋体" w:cs="Times New Roman"/>
          <w:color w:val="auto"/>
          <w:sz w:val="36"/>
          <w:szCs w:val="36"/>
          <w:highlight w:val="none"/>
          <w:u w:val="single"/>
          <w:lang w:val="en-US" w:eastAsia="zh-CN"/>
        </w:rPr>
        <w:t xml:space="preserve"> </w:t>
      </w:r>
      <w:r>
        <w:rPr>
          <w:rFonts w:hint="eastAsia" w:ascii="Times New Roman" w:hAnsi="Times New Roman" w:cs="Times New Roman"/>
          <w:color w:val="auto"/>
          <w:sz w:val="36"/>
          <w:szCs w:val="36"/>
          <w:highlight w:val="none"/>
          <w:u w:val="single"/>
          <w:lang w:val="en-US" w:eastAsia="zh-CN"/>
        </w:rPr>
        <w:t xml:space="preserve">   </w:t>
      </w:r>
      <w:r>
        <w:rPr>
          <w:rFonts w:hint="eastAsia" w:ascii="宋体" w:hAnsi="宋体" w:eastAsia="宋体" w:cs="宋体"/>
          <w:color w:val="auto"/>
          <w:sz w:val="36"/>
          <w:szCs w:val="36"/>
          <w:u w:val="single"/>
          <w:lang w:eastAsia="zh-CN"/>
        </w:rPr>
        <w:t>福</w:t>
      </w:r>
      <w:r>
        <w:rPr>
          <w:rFonts w:hint="eastAsia" w:ascii="Times New Roman" w:hAnsi="Times New Roman" w:eastAsia="宋体" w:cs="Times New Roman"/>
          <w:color w:val="auto"/>
          <w:sz w:val="36"/>
          <w:szCs w:val="36"/>
          <w:highlight w:val="none"/>
          <w:u w:val="single"/>
          <w:lang w:eastAsia="zh-CN"/>
        </w:rPr>
        <w:t>清大松模具有限公司</w:t>
      </w:r>
      <w:r>
        <w:rPr>
          <w:rFonts w:hint="eastAsia" w:ascii="Times New Roman" w:hAnsi="Times New Roman" w:eastAsia="宋体" w:cs="Times New Roman"/>
          <w:color w:val="auto"/>
          <w:sz w:val="36"/>
          <w:szCs w:val="36"/>
          <w:highlight w:val="none"/>
          <w:u w:val="single"/>
          <w:lang w:val="en-US" w:eastAsia="zh-CN"/>
        </w:rPr>
        <w:t xml:space="preserve">  </w:t>
      </w:r>
      <w:r>
        <w:rPr>
          <w:rFonts w:hint="eastAsia" w:ascii="Times New Roman" w:hAnsi="Times New Roman"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lang w:val="en-US" w:eastAsia="zh-CN"/>
        </w:rPr>
        <w:t xml:space="preserve"> </w:t>
      </w:r>
      <w:r>
        <w:rPr>
          <w:rFonts w:hint="eastAsia" w:ascii="Times New Roman" w:hAnsi="Times New Roman" w:eastAsia="宋体" w:cs="Times New Roman"/>
          <w:color w:val="auto"/>
          <w:sz w:val="36"/>
          <w:szCs w:val="36"/>
          <w:highlight w:val="none"/>
          <w:u w:val="single"/>
          <w:lang w:val="en-US" w:eastAsia="zh-CN"/>
        </w:rPr>
        <w:t xml:space="preserve"> </w:t>
      </w:r>
    </w:p>
    <w:p w14:paraId="08138358">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left"/>
        <w:textAlignment w:val="auto"/>
        <w:rPr>
          <w:rFonts w:hint="default" w:ascii="Times New Roman" w:hAnsi="Times New Roman" w:eastAsia="宋体" w:cs="Times New Roman"/>
          <w:color w:val="auto"/>
          <w:sz w:val="36"/>
          <w:szCs w:val="36"/>
          <w:highlight w:val="none"/>
          <w:u w:val="single"/>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lang w:val="en-US" w:eastAsia="zh-CN"/>
        </w:rPr>
        <w:t xml:space="preserve">      </w:t>
      </w:r>
      <w:r>
        <w:rPr>
          <w:rFonts w:hint="eastAsia"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lang w:val="en-US" w:eastAsia="zh-CN"/>
        </w:rPr>
        <w:t xml:space="preserve"> 202</w:t>
      </w:r>
      <w:r>
        <w:rPr>
          <w:rFonts w:hint="eastAsia" w:ascii="Times New Roman" w:hAnsi="Times New Roman" w:eastAsia="宋体" w:cs="Times New Roman"/>
          <w:color w:val="auto"/>
          <w:sz w:val="36"/>
          <w:szCs w:val="36"/>
          <w:highlight w:val="none"/>
          <w:u w:val="single"/>
          <w:lang w:val="en-US" w:eastAsia="zh-CN"/>
        </w:rPr>
        <w:t>5</w:t>
      </w:r>
      <w:r>
        <w:rPr>
          <w:rFonts w:hint="default" w:ascii="Times New Roman" w:hAnsi="Times New Roman" w:eastAsia="宋体" w:cs="Times New Roman"/>
          <w:color w:val="auto"/>
          <w:sz w:val="36"/>
          <w:szCs w:val="36"/>
          <w:highlight w:val="none"/>
          <w:u w:val="single"/>
          <w:lang w:val="en-US" w:eastAsia="zh-CN"/>
        </w:rPr>
        <w:t>年</w:t>
      </w:r>
      <w:r>
        <w:rPr>
          <w:rFonts w:hint="eastAsia" w:ascii="Times New Roman" w:hAnsi="Times New Roman" w:cs="Times New Roman"/>
          <w:color w:val="auto"/>
          <w:sz w:val="36"/>
          <w:szCs w:val="36"/>
          <w:highlight w:val="none"/>
          <w:u w:val="single"/>
          <w:lang w:val="en-US" w:eastAsia="zh-CN"/>
        </w:rPr>
        <w:t>9</w:t>
      </w:r>
      <w:r>
        <w:rPr>
          <w:rFonts w:hint="default" w:ascii="Times New Roman" w:hAnsi="Times New Roman" w:eastAsia="宋体" w:cs="Times New Roman"/>
          <w:color w:val="auto"/>
          <w:sz w:val="36"/>
          <w:szCs w:val="36"/>
          <w:highlight w:val="none"/>
          <w:u w:val="single"/>
          <w:lang w:val="en-US" w:eastAsia="zh-CN"/>
        </w:rPr>
        <w:t>月</w:t>
      </w:r>
      <w:r>
        <w:rPr>
          <w:rFonts w:hint="default" w:ascii="Times New Roman" w:hAnsi="Times New Roman" w:eastAsia="宋体" w:cs="Times New Roman"/>
          <w:color w:val="auto"/>
          <w:sz w:val="36"/>
          <w:szCs w:val="36"/>
          <w:highlight w:val="none"/>
          <w:u w:val="single"/>
        </w:rPr>
        <w:t xml:space="preserve">     </w:t>
      </w:r>
      <w:r>
        <w:rPr>
          <w:rFonts w:hint="eastAsia"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 xml:space="preserve">   </w:t>
      </w:r>
    </w:p>
    <w:p w14:paraId="10F1FF98">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u w:val="single"/>
        </w:rPr>
      </w:pPr>
    </w:p>
    <w:p w14:paraId="22E5E2AB">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rPr>
      </w:pPr>
    </w:p>
    <w:p w14:paraId="33A72B51">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rPr>
      </w:pPr>
    </w:p>
    <w:p w14:paraId="51012B6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36"/>
          <w:szCs w:val="36"/>
          <w:highlight w:val="none"/>
        </w:rPr>
      </w:pPr>
    </w:p>
    <w:p w14:paraId="76BC4882">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0ECF4C3D">
      <w:pPr>
        <w:pStyle w:val="14"/>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14:paraId="062A0CAC">
      <w:pP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br w:type="page"/>
      </w:r>
    </w:p>
    <w:p w14:paraId="79F8F56A">
      <w:pPr>
        <w:rPr>
          <w:rFonts w:hint="eastAsia"/>
        </w:rPr>
      </w:pPr>
      <w:r>
        <w:rPr>
          <w:sz w:val="21"/>
        </w:rPr>
        <mc:AlternateContent>
          <mc:Choice Requires="wps">
            <w:drawing>
              <wp:anchor distT="0" distB="0" distL="114300" distR="114300" simplePos="0" relativeHeight="251696128" behindDoc="0" locked="0" layoutInCell="1" allowOverlap="1">
                <wp:simplePos x="0" y="0"/>
                <wp:positionH relativeFrom="column">
                  <wp:posOffset>2875915</wp:posOffset>
                </wp:positionH>
                <wp:positionV relativeFrom="paragraph">
                  <wp:posOffset>4358005</wp:posOffset>
                </wp:positionV>
                <wp:extent cx="875030" cy="295275"/>
                <wp:effectExtent l="0" t="0" r="1270" b="9525"/>
                <wp:wrapNone/>
                <wp:docPr id="173" name="矩形 173"/>
                <wp:cNvGraphicFramePr/>
                <a:graphic xmlns:a="http://schemas.openxmlformats.org/drawingml/2006/main">
                  <a:graphicData uri="http://schemas.microsoft.com/office/word/2010/wordprocessingShape">
                    <wps:wsp>
                      <wps:cNvSpPr/>
                      <wps:spPr>
                        <a:xfrm>
                          <a:off x="0" y="0"/>
                          <a:ext cx="875030" cy="2952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6.45pt;margin-top:343.15pt;height:23.25pt;width:68.9pt;z-index:251696128;v-text-anchor:middle;mso-width-relative:page;mso-height-relative:page;" fillcolor="#FFFFFF [3212]" filled="t" stroked="f" coordsize="21600,21600" o:gfxdata="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XM/N53AAAAAsBAAAPAAAAAAAAAAEAIAAAACIAAABkcnMvZG93bnJl&#10;di54bWxQSwECFAAUAAAACACHTuJAgnbJf2sCAADOBAAADgAAAAAAAAABACAAAAArAQAAZHJzL2Uy&#10;b0RvYy54bWxQSwUGAAAAAAYABgBZAQAACAYAAAAA&#10;">
                <v:fill on="t" focussize="0,0"/>
                <v:stroke on="f" weight="1pt" miterlimit="8" joinstyle="miter"/>
                <v:imagedata o:title=""/>
                <o:lock v:ext="edit" aspectratio="f"/>
              </v:rect>
            </w:pict>
          </mc:Fallback>
        </mc:AlternateContent>
      </w:r>
      <w:r>
        <w:drawing>
          <wp:anchor distT="0" distB="0" distL="114300" distR="114300" simplePos="0" relativeHeight="251662336" behindDoc="0" locked="0" layoutInCell="1" allowOverlap="1">
            <wp:simplePos x="0" y="0"/>
            <wp:positionH relativeFrom="column">
              <wp:posOffset>-822960</wp:posOffset>
            </wp:positionH>
            <wp:positionV relativeFrom="paragraph">
              <wp:posOffset>-992505</wp:posOffset>
            </wp:positionV>
            <wp:extent cx="7527290" cy="10634980"/>
            <wp:effectExtent l="0" t="0" r="16510" b="13970"/>
            <wp:wrapNone/>
            <wp:docPr id="1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
                    <pic:cNvPicPr>
                      <a:picLocks noChangeAspect="1"/>
                    </pic:cNvPicPr>
                  </pic:nvPicPr>
                  <pic:blipFill>
                    <a:blip r:embed="rId11"/>
                    <a:stretch>
                      <a:fillRect/>
                    </a:stretch>
                  </pic:blipFill>
                  <pic:spPr>
                    <a:xfrm>
                      <a:off x="0" y="0"/>
                      <a:ext cx="7527290" cy="10634980"/>
                    </a:xfrm>
                    <a:prstGeom prst="rect">
                      <a:avLst/>
                    </a:prstGeom>
                    <a:noFill/>
                    <a:ln>
                      <a:noFill/>
                    </a:ln>
                  </pic:spPr>
                </pic:pic>
              </a:graphicData>
            </a:graphic>
          </wp:anchor>
        </w:drawing>
      </w:r>
      <w:r>
        <w:rPr>
          <w:sz w:val="21"/>
        </w:rPr>
        <mc:AlternateContent>
          <mc:Choice Requires="wps">
            <w:drawing>
              <wp:anchor distT="0" distB="0" distL="114300" distR="114300" simplePos="0" relativeHeight="251695104" behindDoc="0" locked="0" layoutInCell="1" allowOverlap="1">
                <wp:simplePos x="0" y="0"/>
                <wp:positionH relativeFrom="column">
                  <wp:posOffset>342265</wp:posOffset>
                </wp:positionH>
                <wp:positionV relativeFrom="paragraph">
                  <wp:posOffset>4377055</wp:posOffset>
                </wp:positionV>
                <wp:extent cx="836930" cy="295275"/>
                <wp:effectExtent l="0" t="0" r="1270" b="9525"/>
                <wp:wrapNone/>
                <wp:docPr id="172" name="矩形 172"/>
                <wp:cNvGraphicFramePr/>
                <a:graphic xmlns:a="http://schemas.openxmlformats.org/drawingml/2006/main">
                  <a:graphicData uri="http://schemas.microsoft.com/office/word/2010/wordprocessingShape">
                    <wps:wsp>
                      <wps:cNvSpPr/>
                      <wps:spPr>
                        <a:xfrm>
                          <a:off x="0" y="0"/>
                          <a:ext cx="836930" cy="2952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5pt;margin-top:344.65pt;height:23.25pt;width:65.9pt;z-index:251695104;v-text-anchor:middle;mso-width-relative:page;mso-height-relative:page;" fillcolor="#FFFFFF [3212]" filled="t" stroked="f" coordsize="21600,21600" o:gfxdata="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X0tixNoAAAAKAQAADwAAAAAAAAABACAAAAAiAAAAZHJzL2Rvd25yZXYu&#10;eG1sUEsBAhQAFAAAAAgAh07iQKhMtAxrAgAAzgQAAA4AAAAAAAAAAQAgAAAAKQEAAGRycy9lMm9E&#10;b2MueG1sUEsFBgAAAAAGAAYAWQEAAAYGA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3923665</wp:posOffset>
                </wp:positionH>
                <wp:positionV relativeFrom="paragraph">
                  <wp:posOffset>4005580</wp:posOffset>
                </wp:positionV>
                <wp:extent cx="589915" cy="295275"/>
                <wp:effectExtent l="0" t="0" r="635" b="9525"/>
                <wp:wrapNone/>
                <wp:docPr id="171" name="矩形 171"/>
                <wp:cNvGraphicFramePr/>
                <a:graphic xmlns:a="http://schemas.openxmlformats.org/drawingml/2006/main">
                  <a:graphicData uri="http://schemas.microsoft.com/office/word/2010/wordprocessingShape">
                    <wps:wsp>
                      <wps:cNvSpPr/>
                      <wps:spPr>
                        <a:xfrm>
                          <a:off x="0" y="0"/>
                          <a:ext cx="589915" cy="2952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95pt;margin-top:315.4pt;height:23.25pt;width:46.45pt;z-index:251694080;v-text-anchor:middle;mso-width-relative:page;mso-height-relative:page;" fillcolor="#FFFFFF [3212]" filled="t" stroked="f" coordsize="21600,21600" o:gfxdata="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N79ItkAAAALAQAADwAAAAAAAAABACAAAAAiAAAAZHJzL2Rvd25yZXYu&#10;eG1sUEsBAhQAFAAAAAgAh07iQEWLMGhsAgAAzgQAAA4AAAAAAAAAAQAgAAAAKAEAAGRycy9lMm9E&#10;b2MueG1sUEsFBgAAAAAGAAYAWQEAAAYGA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1018540</wp:posOffset>
                </wp:positionH>
                <wp:positionV relativeFrom="paragraph">
                  <wp:posOffset>3938905</wp:posOffset>
                </wp:positionV>
                <wp:extent cx="923290" cy="295275"/>
                <wp:effectExtent l="0" t="0" r="10160" b="9525"/>
                <wp:wrapNone/>
                <wp:docPr id="170" name="矩形 170"/>
                <wp:cNvGraphicFramePr/>
                <a:graphic xmlns:a="http://schemas.openxmlformats.org/drawingml/2006/main">
                  <a:graphicData uri="http://schemas.microsoft.com/office/word/2010/wordprocessingShape">
                    <wps:wsp>
                      <wps:cNvSpPr/>
                      <wps:spPr>
                        <a:xfrm>
                          <a:off x="0" y="0"/>
                          <a:ext cx="923290" cy="2952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2pt;margin-top:310.15pt;height:23.25pt;width:72.7pt;z-index:251693056;v-text-anchor:middle;mso-width-relative:page;mso-height-relative:page;" fillcolor="#FFFFFF [3212]" filled="t" stroked="f" coordsize="21600,21600" o:gfxdata="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vNPvXZAAAACwEAAA8AAAAAAAAAAQAgAAAAIgAAAGRycy9kb3ducmV2Lnht&#10;bFBLAQIUABQAAAAIAIdO4kCbOZ53agIAAM4EAAAOAAAAAAAAAAEAIAAAACgBAABkcnMvZTJvRG9j&#10;LnhtbFBLBQYAAAAABgAGAFkBAAAE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2704465</wp:posOffset>
                </wp:positionH>
                <wp:positionV relativeFrom="paragraph">
                  <wp:posOffset>3615055</wp:posOffset>
                </wp:positionV>
                <wp:extent cx="2494915" cy="295275"/>
                <wp:effectExtent l="0" t="0" r="635" b="9525"/>
                <wp:wrapNone/>
                <wp:docPr id="169" name="矩形 169"/>
                <wp:cNvGraphicFramePr/>
                <a:graphic xmlns:a="http://schemas.openxmlformats.org/drawingml/2006/main">
                  <a:graphicData uri="http://schemas.microsoft.com/office/word/2010/wordprocessingShape">
                    <wps:wsp>
                      <wps:cNvSpPr/>
                      <wps:spPr>
                        <a:xfrm>
                          <a:off x="0" y="0"/>
                          <a:ext cx="2494915" cy="2952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95pt;margin-top:284.65pt;height:23.25pt;width:196.45pt;z-index:251692032;v-text-anchor:middle;mso-width-relative:page;mso-height-relative:page;" fillcolor="#FFFFFF [3212]" filled="t" stroked="f" coordsize="21600,21600" o:gfxdata="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HFICLdsAAAALAQAADwAAAAAAAAABACAAAAAiAAAAZHJzL2Rvd25y&#10;ZXYueG1sUEsBAhQAFAAAAAgAh07iQKWmsdltAgAAzwQAAA4AAAAAAAAAAQAgAAAAKgEAAGRycy9l&#10;Mm9Eb2MueG1sUEsFBgAAAAAGAAYAWQEAAAkGA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3714115</wp:posOffset>
                </wp:positionH>
                <wp:positionV relativeFrom="paragraph">
                  <wp:posOffset>3281680</wp:posOffset>
                </wp:positionV>
                <wp:extent cx="589915" cy="295275"/>
                <wp:effectExtent l="0" t="0" r="635" b="9525"/>
                <wp:wrapNone/>
                <wp:docPr id="168" name="矩形 168"/>
                <wp:cNvGraphicFramePr/>
                <a:graphic xmlns:a="http://schemas.openxmlformats.org/drawingml/2006/main">
                  <a:graphicData uri="http://schemas.microsoft.com/office/word/2010/wordprocessingShape">
                    <wps:wsp>
                      <wps:cNvSpPr/>
                      <wps:spPr>
                        <a:xfrm>
                          <a:off x="0" y="0"/>
                          <a:ext cx="589915" cy="2952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2.45pt;margin-top:258.4pt;height:23.25pt;width:46.45pt;z-index:251691008;v-text-anchor:middle;mso-width-relative:page;mso-height-relative:page;" fillcolor="#FFFFFF [3212]" filled="t" stroked="f" coordsize="21600,21600" o:gfxdata="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nxUmnaAAAACwEAAA8AAAAAAAAAAQAgAAAAIgAAAGRycy9kb3ducmV2&#10;LnhtbFBLAQIUABQAAAAIAIdO4kCIe1QfbAIAAM4EAAAOAAAAAAAAAAEAIAAAACkBAABkcnMvZTJv&#10;RG9jLnhtbFBLBQYAAAAABgAGAFkBAAAH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3647440</wp:posOffset>
                </wp:positionH>
                <wp:positionV relativeFrom="paragraph">
                  <wp:posOffset>6187440</wp:posOffset>
                </wp:positionV>
                <wp:extent cx="1943100" cy="1217295"/>
                <wp:effectExtent l="0" t="0" r="0" b="1905"/>
                <wp:wrapNone/>
                <wp:docPr id="125" name="矩形 125"/>
                <wp:cNvGraphicFramePr/>
                <a:graphic xmlns:a="http://schemas.openxmlformats.org/drawingml/2006/main">
                  <a:graphicData uri="http://schemas.microsoft.com/office/word/2010/wordprocessingShape">
                    <wps:wsp>
                      <wps:cNvSpPr/>
                      <wps:spPr>
                        <a:xfrm>
                          <a:off x="0" y="0"/>
                          <a:ext cx="1943100" cy="121729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7.2pt;margin-top:487.2pt;height:95.85pt;width:153pt;z-index:251671552;v-text-anchor:middle;mso-width-relative:page;mso-height-relative:page;" fillcolor="#FFFFFF [3212]" filled="t" stroked="f" coordsize="21600,21600" o:gfxdata="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LuODP2QAAAAwBAAAPAAAAAAAAAAEAIAAAACIAAABkcnMvZG93bnJldi54&#10;bWxQSwECFAAUAAAACACHTuJAsTwID2sCAADQBAAADgAAAAAAAAABACAAAAAoAQAAZHJzL2Uyb0Rv&#10;Yy54bWxQSwUGAAAAAAYABgBZAQAABQY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351790</wp:posOffset>
                </wp:positionH>
                <wp:positionV relativeFrom="paragraph">
                  <wp:posOffset>1214755</wp:posOffset>
                </wp:positionV>
                <wp:extent cx="1943100" cy="266700"/>
                <wp:effectExtent l="0" t="0" r="0" b="0"/>
                <wp:wrapNone/>
                <wp:docPr id="121" name="矩形 121"/>
                <wp:cNvGraphicFramePr/>
                <a:graphic xmlns:a="http://schemas.openxmlformats.org/drawingml/2006/main">
                  <a:graphicData uri="http://schemas.microsoft.com/office/word/2010/wordprocessingShape">
                    <wps:wsp>
                      <wps:cNvSpPr/>
                      <wps:spPr>
                        <a:xfrm>
                          <a:off x="1137285" y="2212975"/>
                          <a:ext cx="1943100" cy="2667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7pt;margin-top:95.65pt;height:21pt;width:153pt;z-index:251670528;v-text-anchor:middle;mso-width-relative:page;mso-height-relative:page;" fillcolor="#FFFFFF [3212]" filled="t" stroked="f" coordsize="21600,21600" o:gfxdata="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8Eb25NkAAAAKAQAADwAAAAAAAAABACAAAAAiAAAAZHJz&#10;L2Rvd25yZXYueG1sUEsBAhQAFAAAAAgAh07iQPTx22h1AgAA2wQAAA4AAAAAAAAAAQAgAAAAKAEA&#10;AGRycy9lMm9Eb2MueG1sUEsFBgAAAAAGAAYAWQEAAA8GAAAAAA==&#10;">
                <v:fill on="t" focussize="0,0"/>
                <v:stroke on="f" weight="1pt" miterlimit="8" joinstyle="miter"/>
                <v:imagedata o:title=""/>
                <o:lock v:ext="edit" aspectratio="f"/>
              </v:rect>
            </w:pict>
          </mc:Fallback>
        </mc:AlternateContent>
      </w:r>
      <w:r>
        <w:rPr>
          <w:rFonts w:hint="eastAsia"/>
        </w:rPr>
        <w:br w:type="page"/>
      </w:r>
    </w:p>
    <w:p w14:paraId="0F41560D">
      <w:r>
        <w:drawing>
          <wp:anchor distT="0" distB="0" distL="114300" distR="114300" simplePos="0" relativeHeight="251663360" behindDoc="0" locked="0" layoutInCell="1" allowOverlap="1">
            <wp:simplePos x="0" y="0"/>
            <wp:positionH relativeFrom="column">
              <wp:posOffset>-904875</wp:posOffset>
            </wp:positionH>
            <wp:positionV relativeFrom="paragraph">
              <wp:posOffset>-1007110</wp:posOffset>
            </wp:positionV>
            <wp:extent cx="7528560" cy="10719435"/>
            <wp:effectExtent l="0" t="0" r="15240" b="5715"/>
            <wp:wrapNone/>
            <wp:docPr id="1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5"/>
                    <pic:cNvPicPr>
                      <a:picLocks noChangeAspect="1"/>
                    </pic:cNvPicPr>
                  </pic:nvPicPr>
                  <pic:blipFill>
                    <a:blip r:embed="rId12"/>
                    <a:stretch>
                      <a:fillRect/>
                    </a:stretch>
                  </pic:blipFill>
                  <pic:spPr>
                    <a:xfrm>
                      <a:off x="0" y="0"/>
                      <a:ext cx="7528560" cy="10719435"/>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-16123920</wp:posOffset>
            </wp:positionH>
            <wp:positionV relativeFrom="paragraph">
              <wp:posOffset>7520305</wp:posOffset>
            </wp:positionV>
            <wp:extent cx="5514975" cy="7820025"/>
            <wp:effectExtent l="0" t="0" r="9525" b="9525"/>
            <wp:wrapNone/>
            <wp:docPr id="1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6"/>
                    <pic:cNvPicPr>
                      <a:picLocks noChangeAspect="1"/>
                    </pic:cNvPicPr>
                  </pic:nvPicPr>
                  <pic:blipFill>
                    <a:blip r:embed="rId13"/>
                    <a:stretch>
                      <a:fillRect/>
                    </a:stretch>
                  </pic:blipFill>
                  <pic:spPr>
                    <a:xfrm>
                      <a:off x="0" y="0"/>
                      <a:ext cx="5514975" cy="7820025"/>
                    </a:xfrm>
                    <a:prstGeom prst="rect">
                      <a:avLst/>
                    </a:prstGeom>
                    <a:noFill/>
                    <a:ln>
                      <a:noFill/>
                    </a:ln>
                  </pic:spPr>
                </pic:pic>
              </a:graphicData>
            </a:graphic>
          </wp:anchor>
        </w:drawing>
      </w:r>
    </w:p>
    <w:p w14:paraId="3741E93C">
      <w:r>
        <w:rPr>
          <w:sz w:val="21"/>
        </w:rPr>
        <mc:AlternateContent>
          <mc:Choice Requires="wps">
            <w:drawing>
              <wp:anchor distT="0" distB="0" distL="114300" distR="114300" simplePos="0" relativeHeight="251676672" behindDoc="0" locked="0" layoutInCell="1" allowOverlap="1">
                <wp:simplePos x="0" y="0"/>
                <wp:positionH relativeFrom="column">
                  <wp:posOffset>3437890</wp:posOffset>
                </wp:positionH>
                <wp:positionV relativeFrom="paragraph">
                  <wp:posOffset>7213600</wp:posOffset>
                </wp:positionV>
                <wp:extent cx="2390775" cy="789305"/>
                <wp:effectExtent l="0" t="0" r="9525" b="10795"/>
                <wp:wrapNone/>
                <wp:docPr id="142" name="矩形 142"/>
                <wp:cNvGraphicFramePr/>
                <a:graphic xmlns:a="http://schemas.openxmlformats.org/drawingml/2006/main">
                  <a:graphicData uri="http://schemas.microsoft.com/office/word/2010/wordprocessingShape">
                    <wps:wsp>
                      <wps:cNvSpPr/>
                      <wps:spPr>
                        <a:xfrm>
                          <a:off x="0" y="0"/>
                          <a:ext cx="2390775" cy="78930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7pt;margin-top:568pt;height:62.15pt;width:188.25pt;z-index:251676672;v-text-anchor:middle;mso-width-relative:page;mso-height-relative:page;" fillcolor="#FFFFFF [3212]" filled="t" stroked="f" coordsize="21600,21600" o:gfxdata="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hkEh3cAAAADQEAAA8AAAAAAAAAAQAgAAAAIgAAAGRycy9kb3du&#10;cmV2LnhtbFBLAQIUABQAAAAIAIdO4kBR0ZiDbQIAAM8EAAAOAAAAAAAAAAEAIAAAACsBAABkcnMv&#10;ZTJvRG9jLnhtbFBLBQYAAAAABgAGAFkBAAAK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46990</wp:posOffset>
                </wp:positionH>
                <wp:positionV relativeFrom="paragraph">
                  <wp:posOffset>7108825</wp:posOffset>
                </wp:positionV>
                <wp:extent cx="942975" cy="847725"/>
                <wp:effectExtent l="0" t="0" r="9525" b="9525"/>
                <wp:wrapNone/>
                <wp:docPr id="141" name="矩形 141"/>
                <wp:cNvGraphicFramePr/>
                <a:graphic xmlns:a="http://schemas.openxmlformats.org/drawingml/2006/main">
                  <a:graphicData uri="http://schemas.microsoft.com/office/word/2010/wordprocessingShape">
                    <wps:wsp>
                      <wps:cNvSpPr/>
                      <wps:spPr>
                        <a:xfrm>
                          <a:off x="0" y="0"/>
                          <a:ext cx="942975" cy="84772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pt;margin-top:559.75pt;height:66.75pt;width:74.25pt;z-index:251675648;v-text-anchor:middle;mso-width-relative:page;mso-height-relative:page;" fillcolor="#FFFFFF [3212]" filled="t" stroked="f" coordsize="21600,21600" o:gfxdata="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3DWvN2QAAAAsBAAAPAAAAAAAAAAEAIAAAACIAAABkcnMvZG93bnJldi54&#10;bWxQSwECFAAUAAAACACHTuJALcmjy2sCAADOBAAADgAAAAAAAAABACAAAAAoAQAAZHJzL2Uyb0Rv&#10;Yy54bWxQSwUGAAAAAAYABgBZAQAABQY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1142365</wp:posOffset>
                </wp:positionH>
                <wp:positionV relativeFrom="paragraph">
                  <wp:posOffset>6080125</wp:posOffset>
                </wp:positionV>
                <wp:extent cx="4552315" cy="266700"/>
                <wp:effectExtent l="0" t="0" r="635" b="0"/>
                <wp:wrapNone/>
                <wp:docPr id="140" name="矩形 140"/>
                <wp:cNvGraphicFramePr/>
                <a:graphic xmlns:a="http://schemas.openxmlformats.org/drawingml/2006/main">
                  <a:graphicData uri="http://schemas.microsoft.com/office/word/2010/wordprocessingShape">
                    <wps:wsp>
                      <wps:cNvSpPr/>
                      <wps:spPr>
                        <a:xfrm>
                          <a:off x="0" y="0"/>
                          <a:ext cx="4552315" cy="2667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95pt;margin-top:478.75pt;height:21pt;width:358.45pt;z-index:251674624;v-text-anchor:middle;mso-width-relative:page;mso-height-relative:page;" fillcolor="#FFFFFF [3212]" filled="t" stroked="f" coordsize="21600,21600" o:gfxdata="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IBcRB2QAAAAsBAAAPAAAAAAAAAAEAIAAAACIAAABkcnMvZG93bnJldi54&#10;bWxQSwECFAAUAAAACACHTuJABMkZZGsCAADPBAAADgAAAAAAAAABACAAAAAoAQAAZHJzL2Uyb0Rv&#10;Yy54bWxQSwUGAAAAAAYABgBZAQAABQY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2037715</wp:posOffset>
                </wp:positionH>
                <wp:positionV relativeFrom="paragraph">
                  <wp:posOffset>4660900</wp:posOffset>
                </wp:positionV>
                <wp:extent cx="1943100" cy="266700"/>
                <wp:effectExtent l="0" t="0" r="0" b="0"/>
                <wp:wrapNone/>
                <wp:docPr id="139" name="矩形 139"/>
                <wp:cNvGraphicFramePr/>
                <a:graphic xmlns:a="http://schemas.openxmlformats.org/drawingml/2006/main">
                  <a:graphicData uri="http://schemas.microsoft.com/office/word/2010/wordprocessingShape">
                    <wps:wsp>
                      <wps:cNvSpPr/>
                      <wps:spPr>
                        <a:xfrm>
                          <a:off x="0" y="0"/>
                          <a:ext cx="1943100" cy="2667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45pt;margin-top:367pt;height:21pt;width:153pt;z-index:251673600;v-text-anchor:middle;mso-width-relative:page;mso-height-relative:page;" fillcolor="#FFFFFF [3212]" filled="t" stroked="f" coordsize="21600,21600" o:gfxdata="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Sv0Nd2QAAAAsBAAAPAAAAAAAAAAEAIAAAACIAAABkcnMvZG93bnJldi54&#10;bWxQSwECFAAUAAAACACHTuJA/gboYmsCAADPBAAADgAAAAAAAAABACAAAAAoAQAAZHJzL2Uyb0Rv&#10;Yy54bWxQSwUGAAAAAAYABgBZAQAABQY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2066290</wp:posOffset>
                </wp:positionH>
                <wp:positionV relativeFrom="paragraph">
                  <wp:posOffset>2508885</wp:posOffset>
                </wp:positionV>
                <wp:extent cx="1943100" cy="1370965"/>
                <wp:effectExtent l="0" t="0" r="0" b="635"/>
                <wp:wrapNone/>
                <wp:docPr id="137" name="矩形 137"/>
                <wp:cNvGraphicFramePr/>
                <a:graphic xmlns:a="http://schemas.openxmlformats.org/drawingml/2006/main">
                  <a:graphicData uri="http://schemas.microsoft.com/office/word/2010/wordprocessingShape">
                    <wps:wsp>
                      <wps:cNvSpPr/>
                      <wps:spPr>
                        <a:xfrm>
                          <a:off x="0" y="0"/>
                          <a:ext cx="1943100" cy="137096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2.7pt;margin-top:197.55pt;height:107.95pt;width:153pt;z-index:251672576;v-text-anchor:middle;mso-width-relative:page;mso-height-relative:page;" fillcolor="#FFFFFF [3212]" filled="t" stroked="f" coordsize="21600,21600" o:gfxdata="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8mTXE2QAAAAsBAAAPAAAAAAAAAAEAIAAAACIAAABkcnMvZG93bnJldi54&#10;bWxQSwECFAAUAAAACACHTuJA/IHTjmsCAADQBAAADgAAAAAAAAABACAAAAAoAQAAZHJzL2Uyb0Rv&#10;Yy54bWxQSwUGAAAAAAYABgBZAQAABQYAAAAA&#10;">
                <v:fill on="t" focussize="0,0"/>
                <v:stroke on="f" weight="1pt" miterlimit="8" joinstyle="miter"/>
                <v:imagedata o:title=""/>
                <o:lock v:ext="edit" aspectratio="f"/>
              </v:rect>
            </w:pict>
          </mc:Fallback>
        </mc:AlternateContent>
      </w:r>
      <w:r>
        <w:br w:type="page"/>
      </w:r>
    </w:p>
    <w:p w14:paraId="564730C1">
      <w:r>
        <w:drawing>
          <wp:anchor distT="0" distB="0" distL="114300" distR="114300" simplePos="0" relativeHeight="251665408" behindDoc="0" locked="0" layoutInCell="1" allowOverlap="1">
            <wp:simplePos x="0" y="0"/>
            <wp:positionH relativeFrom="column">
              <wp:posOffset>-856615</wp:posOffset>
            </wp:positionH>
            <wp:positionV relativeFrom="paragraph">
              <wp:posOffset>-977265</wp:posOffset>
            </wp:positionV>
            <wp:extent cx="7572375" cy="10718800"/>
            <wp:effectExtent l="0" t="0" r="9525" b="6350"/>
            <wp:wrapNone/>
            <wp:docPr id="1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8"/>
                    <pic:cNvPicPr>
                      <a:picLocks noChangeAspect="1"/>
                    </pic:cNvPicPr>
                  </pic:nvPicPr>
                  <pic:blipFill>
                    <a:blip r:embed="rId14"/>
                    <a:stretch>
                      <a:fillRect/>
                    </a:stretch>
                  </pic:blipFill>
                  <pic:spPr>
                    <a:xfrm>
                      <a:off x="0" y="0"/>
                      <a:ext cx="7572375" cy="10718800"/>
                    </a:xfrm>
                    <a:prstGeom prst="rect">
                      <a:avLst/>
                    </a:prstGeom>
                    <a:noFill/>
                    <a:ln>
                      <a:noFill/>
                    </a:ln>
                  </pic:spPr>
                </pic:pic>
              </a:graphicData>
            </a:graphic>
          </wp:anchor>
        </w:drawing>
      </w:r>
    </w:p>
    <w:p w14:paraId="4347D918">
      <w:r>
        <w:rPr>
          <w:sz w:val="21"/>
        </w:rPr>
        <mc:AlternateContent>
          <mc:Choice Requires="wps">
            <w:drawing>
              <wp:anchor distT="0" distB="0" distL="114300" distR="114300" simplePos="0" relativeHeight="251678720" behindDoc="0" locked="0" layoutInCell="1" allowOverlap="1">
                <wp:simplePos x="0" y="0"/>
                <wp:positionH relativeFrom="column">
                  <wp:posOffset>3285490</wp:posOffset>
                </wp:positionH>
                <wp:positionV relativeFrom="paragraph">
                  <wp:posOffset>6851650</wp:posOffset>
                </wp:positionV>
                <wp:extent cx="2294890" cy="1485900"/>
                <wp:effectExtent l="0" t="0" r="10160" b="0"/>
                <wp:wrapNone/>
                <wp:docPr id="155" name="矩形 155"/>
                <wp:cNvGraphicFramePr/>
                <a:graphic xmlns:a="http://schemas.openxmlformats.org/drawingml/2006/main">
                  <a:graphicData uri="http://schemas.microsoft.com/office/word/2010/wordprocessingShape">
                    <wps:wsp>
                      <wps:cNvSpPr/>
                      <wps:spPr>
                        <a:xfrm>
                          <a:off x="0" y="0"/>
                          <a:ext cx="2294890" cy="14859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8.7pt;margin-top:539.5pt;height:117pt;width:180.7pt;z-index:251678720;v-text-anchor:middle;mso-width-relative:page;mso-height-relative:page;" fillcolor="#FFFFFF [3212]" filled="t" stroked="f" coordsize="21600,21600" o:gfxdata="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3fiwp2wAAAA0BAAAPAAAAAAAAAAEAIAAAACIAAABkcnMvZG93bnJl&#10;di54bWxQSwECFAAUAAAACACHTuJAUZEgfGwCAADQBAAADgAAAAAAAAABACAAAAAqAQAAZHJzL2Uy&#10;b0RvYy54bWxQSwUGAAAAAAYABgBZAQAACAY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1047115</wp:posOffset>
                </wp:positionH>
                <wp:positionV relativeFrom="paragraph">
                  <wp:posOffset>841375</wp:posOffset>
                </wp:positionV>
                <wp:extent cx="1943100" cy="266700"/>
                <wp:effectExtent l="0" t="0" r="0" b="0"/>
                <wp:wrapNone/>
                <wp:docPr id="154" name="矩形 154"/>
                <wp:cNvGraphicFramePr/>
                <a:graphic xmlns:a="http://schemas.openxmlformats.org/drawingml/2006/main">
                  <a:graphicData uri="http://schemas.microsoft.com/office/word/2010/wordprocessingShape">
                    <wps:wsp>
                      <wps:cNvSpPr/>
                      <wps:spPr>
                        <a:xfrm>
                          <a:off x="0" y="0"/>
                          <a:ext cx="1943100" cy="2667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45pt;margin-top:66.25pt;height:21pt;width:153pt;z-index:251677696;v-text-anchor:middle;mso-width-relative:page;mso-height-relative:page;" fillcolor="#FFFFFF [3212]" filled="t" stroked="f" coordsize="21600,21600" o:gfxdata="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LkCL32gAAAAsBAAAPAAAAAAAAAAEAIAAAACIAAABkcnMvZG93bnJldi54&#10;bWxQSwECFAAUAAAACACHTuJAgjfmlmoCAADPBAAADgAAAAAAAAABACAAAAApAQAAZHJzL2Uyb0Rv&#10;Yy54bWxQSwUGAAAAAAYABgBZAQAABQYAAAAA&#10;">
                <v:fill on="t" focussize="0,0"/>
                <v:stroke on="f" weight="1pt" miterlimit="8" joinstyle="miter"/>
                <v:imagedata o:title=""/>
                <o:lock v:ext="edit" aspectratio="f"/>
              </v:rect>
            </w:pict>
          </mc:Fallback>
        </mc:AlternateContent>
      </w:r>
      <w:r>
        <w:br w:type="page"/>
      </w:r>
    </w:p>
    <w:p w14:paraId="66B27709">
      <w:r>
        <w:rPr>
          <w:sz w:val="21"/>
        </w:rPr>
        <mc:AlternateContent>
          <mc:Choice Requires="wps">
            <w:drawing>
              <wp:anchor distT="0" distB="0" distL="114300" distR="114300" simplePos="0" relativeHeight="251680768" behindDoc="0" locked="0" layoutInCell="1" allowOverlap="1">
                <wp:simplePos x="0" y="0"/>
                <wp:positionH relativeFrom="column">
                  <wp:posOffset>4323715</wp:posOffset>
                </wp:positionH>
                <wp:positionV relativeFrom="paragraph">
                  <wp:posOffset>786130</wp:posOffset>
                </wp:positionV>
                <wp:extent cx="1476375" cy="428625"/>
                <wp:effectExtent l="0" t="0" r="9525" b="9525"/>
                <wp:wrapNone/>
                <wp:docPr id="157" name="矩形 157"/>
                <wp:cNvGraphicFramePr/>
                <a:graphic xmlns:a="http://schemas.openxmlformats.org/drawingml/2006/main">
                  <a:graphicData uri="http://schemas.microsoft.com/office/word/2010/wordprocessingShape">
                    <wps:wsp>
                      <wps:cNvSpPr/>
                      <wps:spPr>
                        <a:xfrm>
                          <a:off x="0" y="0"/>
                          <a:ext cx="1476375" cy="42862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0.45pt;margin-top:61.9pt;height:33.75pt;width:116.25pt;z-index:251680768;v-text-anchor:middle;mso-width-relative:page;mso-height-relative:page;" fillcolor="#FFFFFF [3212]" filled="t" stroked="f" coordsize="21600,21600" o:gfxdata="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Vw2tjZAAAACwEAAA8AAAAAAAAAAQAgAAAAIgAAAGRycy9kb3ducmV2&#10;LnhtbFBLAQIUABQAAAAIAIdO4kBUdAhlbQIAAM8EAAAOAAAAAAAAAAEAIAAAACgBAABkcnMvZTJv&#10;RG9jLnhtbFBLBQYAAAAABgAGAFkBAAAH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704215</wp:posOffset>
                </wp:positionH>
                <wp:positionV relativeFrom="paragraph">
                  <wp:posOffset>3348355</wp:posOffset>
                </wp:positionV>
                <wp:extent cx="1943100" cy="428625"/>
                <wp:effectExtent l="0" t="0" r="0" b="9525"/>
                <wp:wrapNone/>
                <wp:docPr id="156" name="矩形 156"/>
                <wp:cNvGraphicFramePr/>
                <a:graphic xmlns:a="http://schemas.openxmlformats.org/drawingml/2006/main">
                  <a:graphicData uri="http://schemas.microsoft.com/office/word/2010/wordprocessingShape">
                    <wps:wsp>
                      <wps:cNvSpPr/>
                      <wps:spPr>
                        <a:xfrm>
                          <a:off x="0" y="0"/>
                          <a:ext cx="1943100" cy="42862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45pt;margin-top:263.65pt;height:33.75pt;width:153pt;z-index:251679744;v-text-anchor:middle;mso-width-relative:page;mso-height-relative:page;" fillcolor="#FFFFFF [3212]" filled="t" stroked="f" coordsize="21600,21600" o:gfxdata="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znjZl2QAAAAsBAAAPAAAAAAAAAAEAIAAAACIAAABkcnMvZG93bnJldi54&#10;bWxQSwECFAAUAAAACACHTuJAyYHLb2sCAADPBAAADgAAAAAAAAABACAAAAAoAQAAZHJzL2Uyb0Rv&#10;Yy54bWxQSwUGAAAAAAYABgBZAQAABQYAAAAA&#10;">
                <v:fill on="t" focussize="0,0"/>
                <v:stroke on="f" weight="1pt" miterlimit="8" joinstyle="miter"/>
                <v:imagedata o:title=""/>
                <o:lock v:ext="edit" aspectratio="f"/>
              </v:rect>
            </w:pict>
          </mc:Fallback>
        </mc:AlternateContent>
      </w:r>
      <w:r>
        <w:drawing>
          <wp:anchor distT="0" distB="0" distL="114300" distR="114300" simplePos="0" relativeHeight="251669504" behindDoc="0" locked="0" layoutInCell="1" allowOverlap="1">
            <wp:simplePos x="0" y="0"/>
            <wp:positionH relativeFrom="column">
              <wp:posOffset>-881380</wp:posOffset>
            </wp:positionH>
            <wp:positionV relativeFrom="paragraph">
              <wp:posOffset>-984885</wp:posOffset>
            </wp:positionV>
            <wp:extent cx="7546975" cy="10706100"/>
            <wp:effectExtent l="0" t="0" r="15875" b="0"/>
            <wp:wrapNone/>
            <wp:docPr id="1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3"/>
                    <pic:cNvPicPr>
                      <a:picLocks noChangeAspect="1"/>
                    </pic:cNvPicPr>
                  </pic:nvPicPr>
                  <pic:blipFill>
                    <a:blip r:embed="rId15"/>
                    <a:stretch>
                      <a:fillRect/>
                    </a:stretch>
                  </pic:blipFill>
                  <pic:spPr>
                    <a:xfrm>
                      <a:off x="0" y="0"/>
                      <a:ext cx="7546975" cy="10706100"/>
                    </a:xfrm>
                    <a:prstGeom prst="rect">
                      <a:avLst/>
                    </a:prstGeom>
                    <a:noFill/>
                    <a:ln>
                      <a:noFill/>
                    </a:ln>
                  </pic:spPr>
                </pic:pic>
              </a:graphicData>
            </a:graphic>
          </wp:anchor>
        </w:drawing>
      </w:r>
      <w:r>
        <w:br w:type="page"/>
      </w:r>
    </w:p>
    <w:p w14:paraId="385B2C08">
      <w:r>
        <w:rPr>
          <w:sz w:val="21"/>
        </w:rPr>
        <mc:AlternateContent>
          <mc:Choice Requires="wps">
            <w:drawing>
              <wp:anchor distT="0" distB="0" distL="114300" distR="114300" simplePos="0" relativeHeight="251681792" behindDoc="0" locked="0" layoutInCell="1" allowOverlap="1">
                <wp:simplePos x="0" y="0"/>
                <wp:positionH relativeFrom="column">
                  <wp:posOffset>761365</wp:posOffset>
                </wp:positionH>
                <wp:positionV relativeFrom="paragraph">
                  <wp:posOffset>7335520</wp:posOffset>
                </wp:positionV>
                <wp:extent cx="1943100" cy="428625"/>
                <wp:effectExtent l="0" t="0" r="9525" b="0"/>
                <wp:wrapNone/>
                <wp:docPr id="158" name="矩形 158"/>
                <wp:cNvGraphicFramePr/>
                <a:graphic xmlns:a="http://schemas.openxmlformats.org/drawingml/2006/main">
                  <a:graphicData uri="http://schemas.microsoft.com/office/word/2010/wordprocessingShape">
                    <wps:wsp>
                      <wps:cNvSpPr/>
                      <wps:spPr>
                        <a:xfrm rot="16200000">
                          <a:off x="0" y="0"/>
                          <a:ext cx="1943100" cy="42862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5pt;margin-top:577.6pt;height:33.75pt;width:153pt;rotation:-5898240f;z-index:251681792;v-text-anchor:middle;mso-width-relative:page;mso-height-relative:page;" fillcolor="#FFFFFF [3212]" filled="t" stroked="f" coordsize="21600,21600" o:gfxdata="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Jc6rK2QAAAA0BAAAPAAAAAAAAAAEAIAAAACIAAABkcnMvZG93&#10;bnJldi54bWxQSwECFAAUAAAACACHTuJAWmZbpnECAADeBAAADgAAAAAAAAABACAAAAAoAQAAZHJz&#10;L2Uyb0RvYy54bWxQSwUGAAAAAAYABgBZAQAACwYAAAAA&#10;">
                <v:fill on="t" focussize="0,0"/>
                <v:stroke on="f" weight="1pt" miterlimit="8" joinstyle="miter"/>
                <v:imagedata o:title=""/>
                <o:lock v:ext="edit" aspectratio="f"/>
              </v:rect>
            </w:pict>
          </mc:Fallback>
        </mc:AlternateContent>
      </w:r>
      <w:r>
        <w:drawing>
          <wp:anchor distT="0" distB="0" distL="114300" distR="114300" simplePos="0" relativeHeight="251666432" behindDoc="0" locked="0" layoutInCell="1" allowOverlap="1">
            <wp:simplePos x="0" y="0"/>
            <wp:positionH relativeFrom="column">
              <wp:posOffset>-930910</wp:posOffset>
            </wp:positionH>
            <wp:positionV relativeFrom="paragraph">
              <wp:posOffset>-996950</wp:posOffset>
            </wp:positionV>
            <wp:extent cx="7491095" cy="10647680"/>
            <wp:effectExtent l="0" t="0" r="14605" b="1270"/>
            <wp:wrapNone/>
            <wp:docPr id="1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7"/>
                    <pic:cNvPicPr>
                      <a:picLocks noChangeAspect="1"/>
                    </pic:cNvPicPr>
                  </pic:nvPicPr>
                  <pic:blipFill>
                    <a:blip r:embed="rId16"/>
                    <a:stretch>
                      <a:fillRect/>
                    </a:stretch>
                  </pic:blipFill>
                  <pic:spPr>
                    <a:xfrm>
                      <a:off x="0" y="0"/>
                      <a:ext cx="7491095" cy="10647680"/>
                    </a:xfrm>
                    <a:prstGeom prst="rect">
                      <a:avLst/>
                    </a:prstGeom>
                    <a:noFill/>
                    <a:ln>
                      <a:noFill/>
                    </a:ln>
                  </pic:spPr>
                </pic:pic>
              </a:graphicData>
            </a:graphic>
          </wp:anchor>
        </w:drawing>
      </w:r>
      <w:r>
        <w:br w:type="page"/>
      </w:r>
    </w:p>
    <w:p w14:paraId="2AEFF177">
      <w:r>
        <w:rPr>
          <w:sz w:val="21"/>
        </w:rPr>
        <mc:AlternateContent>
          <mc:Choice Requires="wps">
            <w:drawing>
              <wp:anchor distT="0" distB="0" distL="114300" distR="114300" simplePos="0" relativeHeight="251685888" behindDoc="0" locked="0" layoutInCell="1" allowOverlap="1">
                <wp:simplePos x="0" y="0"/>
                <wp:positionH relativeFrom="column">
                  <wp:posOffset>4542155</wp:posOffset>
                </wp:positionH>
                <wp:positionV relativeFrom="paragraph">
                  <wp:posOffset>6301105</wp:posOffset>
                </wp:positionV>
                <wp:extent cx="924560" cy="570865"/>
                <wp:effectExtent l="0" t="0" r="8890" b="635"/>
                <wp:wrapNone/>
                <wp:docPr id="162" name="矩形 162"/>
                <wp:cNvGraphicFramePr/>
                <a:graphic xmlns:a="http://schemas.openxmlformats.org/drawingml/2006/main">
                  <a:graphicData uri="http://schemas.microsoft.com/office/word/2010/wordprocessingShape">
                    <wps:wsp>
                      <wps:cNvSpPr/>
                      <wps:spPr>
                        <a:xfrm>
                          <a:off x="0" y="0"/>
                          <a:ext cx="924560" cy="57086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7.65pt;margin-top:496.15pt;height:44.95pt;width:72.8pt;z-index:251685888;v-text-anchor:middle;mso-width-relative:page;mso-height-relative:page;" fillcolor="#FFFFFF [3212]" filled="t" stroked="f" coordsize="21600,21600" o:gfxdata="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vU/dbbAAAADAEAAA8AAAAAAAAAAQAgAAAAIgAAAGRycy9kb3ducmV2&#10;LnhtbFBLAQIUABQAAAAIAIdO4kACGyCoawIAAM4EAAAOAAAAAAAAAAEAIAAAACoBAABkcnMvZTJv&#10;RG9jLnhtbFBLBQYAAAAABgAGAFkBAAAHBgAAAAA=&#10;">
                <v:fill on="t" focussize="0,0"/>
                <v:stroke on="f" weight="1pt" miterlimit="8" joinstyle="miter"/>
                <v:imagedata o:title=""/>
                <o:lock v:ext="edit" aspectratio="f"/>
              </v:rect>
            </w:pict>
          </mc:Fallback>
        </mc:AlternateContent>
      </w:r>
      <w:r>
        <w:drawing>
          <wp:anchor distT="0" distB="0" distL="114300" distR="114300" simplePos="0" relativeHeight="251667456" behindDoc="0" locked="0" layoutInCell="1" allowOverlap="1">
            <wp:simplePos x="0" y="0"/>
            <wp:positionH relativeFrom="column">
              <wp:posOffset>-685800</wp:posOffset>
            </wp:positionH>
            <wp:positionV relativeFrom="paragraph">
              <wp:posOffset>-953770</wp:posOffset>
            </wp:positionV>
            <wp:extent cx="7395210" cy="10486390"/>
            <wp:effectExtent l="0" t="0" r="15240" b="10160"/>
            <wp:wrapNone/>
            <wp:docPr id="1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9"/>
                    <pic:cNvPicPr>
                      <a:picLocks noChangeAspect="1"/>
                    </pic:cNvPicPr>
                  </pic:nvPicPr>
                  <pic:blipFill>
                    <a:blip r:embed="rId17"/>
                    <a:stretch>
                      <a:fillRect/>
                    </a:stretch>
                  </pic:blipFill>
                  <pic:spPr>
                    <a:xfrm>
                      <a:off x="0" y="0"/>
                      <a:ext cx="7395210" cy="10486390"/>
                    </a:xfrm>
                    <a:prstGeom prst="rect">
                      <a:avLst/>
                    </a:prstGeom>
                    <a:noFill/>
                    <a:ln>
                      <a:noFill/>
                    </a:ln>
                  </pic:spPr>
                </pic:pic>
              </a:graphicData>
            </a:graphic>
          </wp:anchor>
        </w:drawing>
      </w:r>
      <w:r>
        <w:rPr>
          <w:sz w:val="21"/>
        </w:rPr>
        <mc:AlternateContent>
          <mc:Choice Requires="wps">
            <w:drawing>
              <wp:anchor distT="0" distB="0" distL="114300" distR="114300" simplePos="0" relativeHeight="251684864" behindDoc="0" locked="0" layoutInCell="1" allowOverlap="1">
                <wp:simplePos x="0" y="0"/>
                <wp:positionH relativeFrom="column">
                  <wp:posOffset>2418715</wp:posOffset>
                </wp:positionH>
                <wp:positionV relativeFrom="paragraph">
                  <wp:posOffset>1490980</wp:posOffset>
                </wp:positionV>
                <wp:extent cx="1781175" cy="247650"/>
                <wp:effectExtent l="0" t="0" r="9525" b="0"/>
                <wp:wrapNone/>
                <wp:docPr id="161" name="矩形 161"/>
                <wp:cNvGraphicFramePr/>
                <a:graphic xmlns:a="http://schemas.openxmlformats.org/drawingml/2006/main">
                  <a:graphicData uri="http://schemas.microsoft.com/office/word/2010/wordprocessingShape">
                    <wps:wsp>
                      <wps:cNvSpPr/>
                      <wps:spPr>
                        <a:xfrm>
                          <a:off x="0" y="0"/>
                          <a:ext cx="1781175" cy="24765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45pt;margin-top:117.4pt;height:19.5pt;width:140.25pt;z-index:251684864;v-text-anchor:middle;mso-width-relative:page;mso-height-relative:page;" fillcolor="#FFFFFF [3212]" filled="t" stroked="f" coordsize="21600,21600" o:gfxdata="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skN9PaAAAACwEAAA8AAAAAAAAAAQAgAAAAIgAAAGRycy9kb3ducmV2&#10;LnhtbFBLAQIUABQAAAAIAIdO4kDZUHOJbAIAAM8EAAAOAAAAAAAAAAEAIAAAACkBAABkcnMvZTJv&#10;RG9jLnhtbFBLBQYAAAAABgAGAFkBAAAH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3323590</wp:posOffset>
                </wp:positionH>
                <wp:positionV relativeFrom="paragraph">
                  <wp:posOffset>595630</wp:posOffset>
                </wp:positionV>
                <wp:extent cx="1752600" cy="428625"/>
                <wp:effectExtent l="0" t="0" r="0" b="9525"/>
                <wp:wrapNone/>
                <wp:docPr id="160" name="矩形 160"/>
                <wp:cNvGraphicFramePr/>
                <a:graphic xmlns:a="http://schemas.openxmlformats.org/drawingml/2006/main">
                  <a:graphicData uri="http://schemas.microsoft.com/office/word/2010/wordprocessingShape">
                    <wps:wsp>
                      <wps:cNvSpPr/>
                      <wps:spPr>
                        <a:xfrm>
                          <a:off x="0" y="0"/>
                          <a:ext cx="1752600" cy="42862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1.7pt;margin-top:46.9pt;height:33.75pt;width:138pt;z-index:251683840;v-text-anchor:middle;mso-width-relative:page;mso-height-relative:page;" fillcolor="#FFFFFF [3212]" filled="t" stroked="f" coordsize="21600,21600" o:gfxdata="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Yxken2QAAAAoBAAAPAAAAAAAAAAEAIAAAACIAAABkcnMvZG93bnJldi54&#10;bWxQSwECFAAUAAAACACHTuJA+Jv6H2sCAADPBAAADgAAAAAAAAABACAAAAAoAQAAZHJzL2Uyb0Rv&#10;Yy54bWxQSwUGAAAAAAYABgBZAQAABQY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1285240</wp:posOffset>
                </wp:positionH>
                <wp:positionV relativeFrom="paragraph">
                  <wp:posOffset>643255</wp:posOffset>
                </wp:positionV>
                <wp:extent cx="733425" cy="428625"/>
                <wp:effectExtent l="0" t="0" r="9525" b="9525"/>
                <wp:wrapNone/>
                <wp:docPr id="159" name="矩形 159"/>
                <wp:cNvGraphicFramePr/>
                <a:graphic xmlns:a="http://schemas.openxmlformats.org/drawingml/2006/main">
                  <a:graphicData uri="http://schemas.microsoft.com/office/word/2010/wordprocessingShape">
                    <wps:wsp>
                      <wps:cNvSpPr/>
                      <wps:spPr>
                        <a:xfrm>
                          <a:off x="0" y="0"/>
                          <a:ext cx="733425" cy="42862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1.2pt;margin-top:50.65pt;height:33.75pt;width:57.75pt;z-index:251682816;v-text-anchor:middle;mso-width-relative:page;mso-height-relative:page;" fillcolor="#FFFFFF [3212]" filled="t" stroked="f" coordsize="21600,21600" o:gfxdata="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AatjdoAAAALAQAADwAAAAAAAAABACAAAAAiAAAAZHJzL2Rvd25yZXYu&#10;eG1sUEsBAhQAFAAAAAgAh07iQC11USNrAgAAzgQAAA4AAAAAAAAAAQAgAAAAKQEAAGRycy9lMm9E&#10;b2MueG1sUEsFBgAAAAAGAAYAWQEAAAYGAAAAAA==&#10;">
                <v:fill on="t" focussize="0,0"/>
                <v:stroke on="f" weight="1pt" miterlimit="8" joinstyle="miter"/>
                <v:imagedata o:title=""/>
                <o:lock v:ext="edit" aspectratio="f"/>
              </v:rect>
            </w:pict>
          </mc:Fallback>
        </mc:AlternateContent>
      </w:r>
      <w:r>
        <w:br w:type="page"/>
      </w:r>
    </w:p>
    <w:p w14:paraId="44E6A98B">
      <w:pPr>
        <w:spacing w:before="0" w:beforeLines="0" w:after="0" w:afterLines="0" w:line="240" w:lineRule="auto"/>
        <w:ind w:left="0" w:leftChars="0" w:right="0" w:rightChars="0" w:firstLine="0" w:firstLineChars="0"/>
        <w:jc w:val="center"/>
        <w:sectPr>
          <w:footerReference r:id="rId3" w:type="default"/>
          <w:pgSz w:w="11906" w:h="16838"/>
          <w:pgMar w:top="1587" w:right="1417" w:bottom="1587" w:left="1417" w:header="851" w:footer="992" w:gutter="0"/>
          <w:pgBorders>
            <w:top w:val="none" w:sz="0" w:space="0"/>
            <w:left w:val="none" w:sz="0" w:space="0"/>
            <w:bottom w:val="none" w:sz="0" w:space="0"/>
            <w:right w:val="none" w:sz="0" w:space="0"/>
          </w:pgBorders>
          <w:pgNumType w:fmt="upperRoman" w:start="1"/>
          <w:cols w:space="0" w:num="1"/>
          <w:rtlGutter w:val="0"/>
          <w:docGrid w:type="lines" w:linePitch="318" w:charSpace="0"/>
        </w:sectPr>
      </w:pPr>
      <w:r>
        <w:rPr>
          <w:sz w:val="21"/>
        </w:rPr>
        <mc:AlternateContent>
          <mc:Choice Requires="wps">
            <w:drawing>
              <wp:anchor distT="0" distB="0" distL="114300" distR="114300" simplePos="0" relativeHeight="251689984" behindDoc="0" locked="0" layoutInCell="1" allowOverlap="1">
                <wp:simplePos x="0" y="0"/>
                <wp:positionH relativeFrom="column">
                  <wp:posOffset>4580890</wp:posOffset>
                </wp:positionH>
                <wp:positionV relativeFrom="paragraph">
                  <wp:posOffset>6386830</wp:posOffset>
                </wp:positionV>
                <wp:extent cx="1456055" cy="619125"/>
                <wp:effectExtent l="0" t="0" r="10795" b="9525"/>
                <wp:wrapNone/>
                <wp:docPr id="167" name="矩形 167"/>
                <wp:cNvGraphicFramePr/>
                <a:graphic xmlns:a="http://schemas.openxmlformats.org/drawingml/2006/main">
                  <a:graphicData uri="http://schemas.microsoft.com/office/word/2010/wordprocessingShape">
                    <wps:wsp>
                      <wps:cNvSpPr/>
                      <wps:spPr>
                        <a:xfrm>
                          <a:off x="0" y="0"/>
                          <a:ext cx="1456055" cy="61912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0.7pt;margin-top:502.9pt;height:48.75pt;width:114.65pt;z-index:251689984;v-text-anchor:middle;mso-width-relative:page;mso-height-relative:page;" fillcolor="#FFFFFF [3212]" filled="t" stroked="f" coordsize="21600,21600" o:gfxdata="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OHni9sAAAANAQAADwAAAAAAAAABACAAAAAiAAAAZHJzL2Rvd25y&#10;ZXYueG1sUEsBAhQAFAAAAAgAh07iQFOrnqptAgAAzwQAAA4AAAAAAAAAAQAgAAAAKgEAAGRycy9l&#10;Mm9Eb2MueG1sUEsFBgAAAAAGAAYAWQEAAAkGA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2390140</wp:posOffset>
                </wp:positionH>
                <wp:positionV relativeFrom="paragraph">
                  <wp:posOffset>1490980</wp:posOffset>
                </wp:positionV>
                <wp:extent cx="1818005" cy="295275"/>
                <wp:effectExtent l="0" t="0" r="10795" b="9525"/>
                <wp:wrapNone/>
                <wp:docPr id="166" name="矩形 166"/>
                <wp:cNvGraphicFramePr/>
                <a:graphic xmlns:a="http://schemas.openxmlformats.org/drawingml/2006/main">
                  <a:graphicData uri="http://schemas.microsoft.com/office/word/2010/wordprocessingShape">
                    <wps:wsp>
                      <wps:cNvSpPr/>
                      <wps:spPr>
                        <a:xfrm>
                          <a:off x="0" y="0"/>
                          <a:ext cx="1818005" cy="2952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8.2pt;margin-top:117.4pt;height:23.25pt;width:143.15pt;z-index:251688960;v-text-anchor:middle;mso-width-relative:page;mso-height-relative:page;" fillcolor="#FFFFFF [3212]" filled="t" stroked="f" coordsize="21600,21600" o:gfxdata="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NJxYdsAAAALAQAADwAAAAAAAAABACAAAAAiAAAAZHJzL2Rvd25y&#10;ZXYueG1sUEsBAhQAFAAAAAgAh07iQNCsG4xtAgAAzwQAAA4AAAAAAAAAAQAgAAAAKgEAAGRycy9l&#10;Mm9Eb2MueG1sUEsFBgAAAAAGAAYAWQEAAAkGA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3285490</wp:posOffset>
                </wp:positionH>
                <wp:positionV relativeFrom="paragraph">
                  <wp:posOffset>767080</wp:posOffset>
                </wp:positionV>
                <wp:extent cx="1771015" cy="295275"/>
                <wp:effectExtent l="0" t="0" r="635" b="9525"/>
                <wp:wrapNone/>
                <wp:docPr id="165" name="矩形 165"/>
                <wp:cNvGraphicFramePr/>
                <a:graphic xmlns:a="http://schemas.openxmlformats.org/drawingml/2006/main">
                  <a:graphicData uri="http://schemas.microsoft.com/office/word/2010/wordprocessingShape">
                    <wps:wsp>
                      <wps:cNvSpPr/>
                      <wps:spPr>
                        <a:xfrm>
                          <a:off x="0" y="0"/>
                          <a:ext cx="1771015" cy="2952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8.7pt;margin-top:60.4pt;height:23.25pt;width:139.45pt;z-index:251687936;v-text-anchor:middle;mso-width-relative:page;mso-height-relative:page;" fillcolor="#FFFFFF [3212]" filled="t" stroked="f" coordsize="21600,21600" o:gfxdata="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fuhZPaAAAACwEAAA8AAAAAAAAAAQAgAAAAIgAAAGRycy9kb3ducmV2&#10;LnhtbFBLAQIUABQAAAAIAIdO4kBCS5FbbAIAAM8EAAAOAAAAAAAAAAEAIAAAACkBAABkcnMvZTJv&#10;RG9jLnhtbFBLBQYAAAAABgAGAFkBAAAH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1218565</wp:posOffset>
                </wp:positionH>
                <wp:positionV relativeFrom="paragraph">
                  <wp:posOffset>786130</wp:posOffset>
                </wp:positionV>
                <wp:extent cx="589915" cy="295275"/>
                <wp:effectExtent l="0" t="0" r="635" b="9525"/>
                <wp:wrapNone/>
                <wp:docPr id="163" name="矩形 163"/>
                <wp:cNvGraphicFramePr/>
                <a:graphic xmlns:a="http://schemas.openxmlformats.org/drawingml/2006/main">
                  <a:graphicData uri="http://schemas.microsoft.com/office/word/2010/wordprocessingShape">
                    <wps:wsp>
                      <wps:cNvSpPr/>
                      <wps:spPr>
                        <a:xfrm>
                          <a:off x="0" y="0"/>
                          <a:ext cx="589915" cy="2952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95pt;margin-top:61.9pt;height:23.25pt;width:46.45pt;z-index:251686912;v-text-anchor:middle;mso-width-relative:page;mso-height-relative:page;" fillcolor="#FFFFFF [3212]" filled="t" stroked="f" coordsize="21600,21600" o:gfxdata="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QvbPudgAAAALAQAADwAAAAAAAAABACAAAAAiAAAAZHJzL2Rvd25yZXYu&#10;eG1sUEsBAhQAFAAAAAgAh07iQC8S3QdtAgAAzgQAAA4AAAAAAAAAAQAgAAAAJwEAAGRycy9lMm9E&#10;b2MueG1sUEsFBgAAAAAGAAYAWQEAAAYGAAAAAA==&#10;">
                <v:fill on="t" focussize="0,0"/>
                <v:stroke on="f" weight="1pt" miterlimit="8" joinstyle="miter"/>
                <v:imagedata o:title=""/>
                <o:lock v:ext="edit" aspectratio="f"/>
              </v:rect>
            </w:pict>
          </mc:Fallback>
        </mc:AlternateContent>
      </w:r>
      <w:r>
        <w:drawing>
          <wp:anchor distT="0" distB="0" distL="114300" distR="114300" simplePos="0" relativeHeight="251668480" behindDoc="0" locked="0" layoutInCell="1" allowOverlap="1">
            <wp:simplePos x="0" y="0"/>
            <wp:positionH relativeFrom="column">
              <wp:posOffset>-833120</wp:posOffset>
            </wp:positionH>
            <wp:positionV relativeFrom="paragraph">
              <wp:posOffset>-976630</wp:posOffset>
            </wp:positionV>
            <wp:extent cx="7459980" cy="10591165"/>
            <wp:effectExtent l="0" t="0" r="7620" b="635"/>
            <wp:wrapNone/>
            <wp:docPr id="1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0"/>
                    <pic:cNvPicPr>
                      <a:picLocks noChangeAspect="1"/>
                    </pic:cNvPicPr>
                  </pic:nvPicPr>
                  <pic:blipFill>
                    <a:blip r:embed="rId18"/>
                    <a:stretch>
                      <a:fillRect/>
                    </a:stretch>
                  </pic:blipFill>
                  <pic:spPr>
                    <a:xfrm>
                      <a:off x="0" y="0"/>
                      <a:ext cx="7459980" cy="10591165"/>
                    </a:xfrm>
                    <a:prstGeom prst="rect">
                      <a:avLst/>
                    </a:prstGeom>
                    <a:noFill/>
                    <a:ln>
                      <a:noFill/>
                    </a:ln>
                  </pic:spPr>
                </pic:pic>
              </a:graphicData>
            </a:graphic>
          </wp:anchor>
        </w:drawing>
      </w:r>
    </w:p>
    <w:p w14:paraId="76B65237">
      <w:pPr>
        <w:spacing w:before="0" w:beforeLines="0" w:after="0" w:afterLines="0" w:line="240" w:lineRule="auto"/>
        <w:ind w:left="0" w:leftChars="0" w:right="0" w:rightChars="0" w:firstLine="0" w:firstLineChars="0"/>
        <w:jc w:val="center"/>
        <w:rPr>
          <w:rFonts w:hint="eastAsia" w:ascii="黑体" w:hAnsi="黑体" w:eastAsia="黑体" w:cs="黑体"/>
          <w:sz w:val="36"/>
          <w:szCs w:val="36"/>
        </w:rPr>
      </w:pPr>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录</w:t>
      </w:r>
    </w:p>
    <w:p w14:paraId="6C7A5E86">
      <w:pPr>
        <w:pStyle w:val="16"/>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TOC \o "1-3" \h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_Toc21014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lang w:val="en-US" w:eastAsia="zh-CN"/>
        </w:rPr>
        <w:t>一、建设项目基本情况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_Toc21014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C3B3248">
      <w:pPr>
        <w:pStyle w:val="16"/>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_Toc11240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lang w:val="en-US" w:eastAsia="zh-CN"/>
        </w:rPr>
        <w:t>二、建设项目工程分析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_Toc11240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5B04C69">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_Toc6960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2.1 项目由来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_Toc6960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AE8DA0F">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_Toc10193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2.2工程概况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_Toc10193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11E3AAA">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_Toc16494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2.2.1 依托企业基本情况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_Toc16494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9FE6FE0">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_Toc4425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2.2.2 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_Toc4425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1F4C606">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_Toc3093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2.2.3 项目工程组成及建设内容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_Toc3093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EAFAE61">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_Toc23368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2.2.4 项目工程组成及建设内容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_Toc23368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012D89D">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_Toc22495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2.2.5 主要生产设备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_Toc22495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9F653B6">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_Toc26811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2.2.6 项目主要原辅材料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_Toc26811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7F819C9">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_Toc4787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2.2.7项目水平衡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_Toc4787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FBFCA12">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_Toc28119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2.2.8项目平面布置合理性分析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_Toc28119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9114BF4">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_Toc17717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2.3项目生产工艺流程及产污环节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_Toc17717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592A768">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_Toc26856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2.3.1项目工艺流程及工艺介绍</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_Toc26856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E13BF76">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_Toc5078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2.3.2产污环节分析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5BC91E5">
      <w:pPr>
        <w:pStyle w:val="16"/>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_Toc22187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lang w:val="en-US" w:eastAsia="zh-CN"/>
        </w:rPr>
        <w:t>三、区域环境质量现状、环境保护目标及评价标准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_Toc22187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2FA168C">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_Toc29247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3.1大气环境质量现状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_Toc29247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7BB5525">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_Toc9849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3.1.1环境空气质量功能区划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_Toc9849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AD20E9E">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_Toc6998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3.1.2环境空气质量现状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_Toc6998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142BEA3">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_Toc21710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3.2水环境质量现状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_Toc21710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86FB87A">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_Toc14894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3.2.1地表水功能区划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_Toc14894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B5D1C3D">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_Toc1767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3.2.2地表水环境质量现状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_Toc1767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E27E273">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_Toc21402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3.3声环境质量现状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_Toc21402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1966066">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_Toc6299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3.3.1声环境质量标准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_Toc6299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A9439F4">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_Toc15679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3.3.2声环境质量现状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_Toc15679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A37A9E6">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_Toc21902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3.4生态环境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_Toc21902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5B9A14D">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_Toc5723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3.5土壤、地下水环境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_Toc5723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4749F06">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sectPr>
          <w:footerReference r:id="rId4" w:type="default"/>
          <w:pgSz w:w="11906" w:h="16838"/>
          <w:pgMar w:top="1587" w:right="1417" w:bottom="1587" w:left="1417" w:header="851" w:footer="992" w:gutter="0"/>
          <w:pgBorders>
            <w:top w:val="none" w:sz="0" w:space="0"/>
            <w:left w:val="none" w:sz="0" w:space="0"/>
            <w:bottom w:val="none" w:sz="0" w:space="0"/>
            <w:right w:val="none" w:sz="0" w:space="0"/>
          </w:pgBorders>
          <w:pgNumType w:fmt="upperRoman" w:start="1"/>
          <w:cols w:space="0" w:num="1"/>
          <w:rtlGutter w:val="0"/>
          <w:docGrid w:type="lines" w:linePitch="318" w:charSpace="0"/>
        </w:sectPr>
      </w:pPr>
    </w:p>
    <w:p w14:paraId="2A05E1E6">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_Toc8565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主要环境保护目标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_Toc8565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F90ECB9">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_Toc6042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3.7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_Toc6042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363D27B">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_Toc12036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3.7.1 废水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_Toc12036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987689C">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_Toc31402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3.7.2 废气</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_Toc31402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AAFDF3A">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_Toc9144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3.7.3</w:t>
      </w:r>
      <w:r>
        <w:rPr>
          <w:rFonts w:hint="eastAsia" w:ascii="Times New Roman" w:hAnsi="Times New Roman" w:eastAsia="宋体" w:cs="Times New Roman"/>
          <w:bCs/>
          <w:sz w:val="24"/>
          <w:szCs w:val="24"/>
          <w:lang w:val="en-US" w:eastAsia="zh-CN"/>
        </w:rPr>
        <w:t xml:space="preserve"> </w:t>
      </w:r>
      <w:r>
        <w:rPr>
          <w:rFonts w:hint="default" w:ascii="Times New Roman" w:hAnsi="Times New Roman" w:eastAsia="宋体" w:cs="Times New Roman"/>
          <w:bCs/>
          <w:sz w:val="24"/>
          <w:szCs w:val="24"/>
          <w:lang w:val="en-US" w:eastAsia="zh-CN"/>
        </w:rPr>
        <w:t>噪声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_Toc9144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66EAB59">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_Toc32633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3.7.4</w:t>
      </w:r>
      <w:r>
        <w:rPr>
          <w:rFonts w:hint="eastAsia" w:ascii="Times New Roman" w:hAnsi="Times New Roman" w:eastAsia="宋体" w:cs="Times New Roman"/>
          <w:bCs/>
          <w:sz w:val="24"/>
          <w:szCs w:val="24"/>
          <w:lang w:val="en-US" w:eastAsia="zh-CN"/>
        </w:rPr>
        <w:t xml:space="preserve"> </w:t>
      </w:r>
      <w:r>
        <w:rPr>
          <w:rFonts w:hint="default" w:ascii="Times New Roman" w:hAnsi="Times New Roman" w:eastAsia="宋体" w:cs="Times New Roman"/>
          <w:bCs/>
          <w:sz w:val="24"/>
          <w:szCs w:val="24"/>
          <w:lang w:val="en-US" w:eastAsia="zh-CN"/>
        </w:rPr>
        <w:t>固废</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_Toc32633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584C6B5">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_Toc13992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3.8总量控制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_Toc13992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BBCD41E">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3.8.1废水总量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_Toc1077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EBEE99F">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3.8.2废气总量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FD81E8E">
      <w:pPr>
        <w:pStyle w:val="16"/>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_Toc3724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lang w:val="en-US" w:eastAsia="zh-CN"/>
        </w:rPr>
        <w:t>四、主要环境影响和保护措施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_Toc3724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D7795FC">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_Toc19070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.1大气环境影响分析和污染防治措施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_Toc19070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1C3F5C1">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_Toc22470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rPr>
        <w:t>4.1.1 运营期废气源强核算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_Toc22470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F273C0D">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_Toc27721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4.1.2 废气产排情况一览表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_Toc27721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601D3EC">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_Toc15005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4.1.3运营期大气污染防治措施合理性分析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_Toc15005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DF85205">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_Toc10554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4.1.4非正常工况排放量核算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_Toc10554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C8873F2">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_Toc6412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4.2水环境影响分析和污染防治措施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_Toc6412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5B01458">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_Toc32071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4.2.1运营期废水源强分析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_Toc32071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A7D41CB">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_Toc16752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4.2.2运营期水环境影响及污染防治措施可行性分析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_Toc16752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97FD4E0">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_Toc16026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4.3噪声环境影响分析和污染防治措施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_Toc16026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6C62558">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_Toc21918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4.3.1噪声源强分析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_Toc21918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DF63611">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_Toc25271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4.3.2声环境影响分析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_Toc25271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50A4E98">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_Toc3053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4.3.3</w:t>
      </w:r>
      <w:r>
        <w:rPr>
          <w:rFonts w:hint="default" w:ascii="Times New Roman" w:hAnsi="Times New Roman" w:eastAsia="宋体" w:cs="Times New Roman"/>
          <w:kern w:val="0"/>
          <w:sz w:val="24"/>
          <w:szCs w:val="24"/>
          <w:lang w:val="zh-CN" w:eastAsia="zh-CN"/>
        </w:rPr>
        <w:t>噪声污染控制措施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_Toc3053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9CA39EA">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_Toc2553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4.4固体废物环境影响分析和污染防治措施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_Toc2553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4C3DEE6">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_Toc8509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4.4.1 固体废物</w:t>
      </w:r>
      <w:r>
        <w:rPr>
          <w:rFonts w:hint="default" w:ascii="Times New Roman" w:hAnsi="Times New Roman" w:eastAsia="宋体" w:cs="Times New Roman"/>
          <w:kern w:val="0"/>
          <w:sz w:val="24"/>
          <w:szCs w:val="24"/>
          <w:lang w:val="en-US" w:eastAsia="zh-CN"/>
        </w:rPr>
        <w:t>污染源</w:t>
      </w:r>
      <w:r>
        <w:rPr>
          <w:rFonts w:hint="default" w:ascii="Times New Roman" w:hAnsi="Times New Roman" w:eastAsia="宋体" w:cs="Times New Roman"/>
          <w:kern w:val="0"/>
          <w:sz w:val="24"/>
          <w:szCs w:val="24"/>
          <w:lang w:val="zh-CN" w:eastAsia="zh-CN"/>
        </w:rPr>
        <w:t>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_Toc8509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809F156">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_Toc27622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4.4.2固废管理要求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_Toc27622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C3C83F0">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_Toc19584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4.4.3危险废物管理要求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_Toc19584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1F10696">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_Toc21282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4.5地下水、土壤环境影响和保护措施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_Toc21282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8A926BA">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_Toc18265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4.5.1 地下水、土壤环境影响分析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_Toc18265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31C85F5">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_Toc3600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4.5.2 地下水、土壤环境防控措施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_Toc3600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F61EB1E">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_Toc23745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kern w:val="0"/>
          <w:sz w:val="24"/>
          <w:szCs w:val="24"/>
        </w:rPr>
        <w:t>4.6环境风险分析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_Toc23745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E41446C">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_Toc8546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4.6.1项目危险物质调查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_Toc8546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BE2402C">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_Toc13783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4.6.2 环境风险识别</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_Toc13783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DD97FB5">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_Toc13339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4.6.3 环境风险防范措施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DC2F268">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_Toc7760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4.7自行监测计划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_Toc7760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8D42B3E">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_Toc10465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4.8环保投资估算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_Toc10465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7C1C9F9">
      <w:pPr>
        <w:pStyle w:val="16"/>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rPr>
        <w:t>五、环境保护措施监督检查清单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_Toc1298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D32C816">
      <w:pPr>
        <w:pStyle w:val="16"/>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_Toc13957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六、结论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_Toc13957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A26942A">
      <w:pPr>
        <w:pStyle w:val="16"/>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_Toc25347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napToGrid w:val="0"/>
          <w:sz w:val="24"/>
          <w:szCs w:val="24"/>
        </w:rPr>
        <w:t>附表</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_Toc8753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建设项目污染物排放量汇总表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_Toc8753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2895B8C">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_Toc21567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附件十：关于环评文件公开文本删除的涉及国家秘密、商业秘密等内容的说明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_Toc21567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5B5EF52">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p>
    <w:p w14:paraId="02E71DA7">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pPr>
    </w:p>
    <w:p w14:paraId="17E2B0A5">
      <w:pPr>
        <w:keepNext w:val="0"/>
        <w:keepLines w:val="0"/>
        <w:pageBreakBefore w:val="0"/>
        <w:kinsoku/>
        <w:wordWrap/>
        <w:overflowPunct/>
        <w:topLinePunct w:val="0"/>
        <w:autoSpaceDE/>
        <w:autoSpaceDN/>
        <w:bidi w:val="0"/>
        <w:adjustRightInd/>
        <w:snapToGrid/>
        <w:spacing w:line="360" w:lineRule="auto"/>
        <w:textAlignment w:val="auto"/>
      </w:pPr>
      <w:r>
        <w:rPr>
          <w:rFonts w:hint="default" w:ascii="Times New Roman" w:hAnsi="Times New Roman" w:eastAsia="宋体" w:cs="Times New Roman"/>
          <w:szCs w:val="24"/>
        </w:rPr>
        <w:fldChar w:fldCharType="end"/>
      </w:r>
    </w:p>
    <w:p w14:paraId="7EF429C7"/>
    <w:p w14:paraId="0B5806CE">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sectPr>
          <w:footerReference r:id="rId5" w:type="default"/>
          <w:pgSz w:w="11906" w:h="16838"/>
          <w:pgMar w:top="1587" w:right="1417" w:bottom="1587" w:left="1417" w:header="851" w:footer="992" w:gutter="0"/>
          <w:pgBorders>
            <w:top w:val="none" w:sz="0" w:space="0"/>
            <w:left w:val="none" w:sz="0" w:space="0"/>
            <w:bottom w:val="none" w:sz="0" w:space="0"/>
            <w:right w:val="none" w:sz="0" w:space="0"/>
          </w:pgBorders>
          <w:pgNumType w:fmt="upperRoman"/>
          <w:cols w:space="0" w:num="1"/>
          <w:rtlGutter w:val="0"/>
          <w:docGrid w:type="lines" w:linePitch="318" w:charSpace="0"/>
        </w:sectPr>
      </w:pPr>
      <w:bookmarkStart w:id="9" w:name="_Toc9208"/>
      <w:bookmarkStart w:id="10" w:name="_Toc29265"/>
    </w:p>
    <w:p w14:paraId="1D124986">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11" w:name="_Toc21014"/>
      <w:r>
        <w:rPr>
          <w:rFonts w:hint="default" w:ascii="Times New Roman" w:hAnsi="Times New Roman" w:eastAsia="黑体" w:cs="Times New Roman"/>
          <w:snapToGrid w:val="0"/>
          <w:color w:val="auto"/>
          <w:sz w:val="30"/>
          <w:szCs w:val="30"/>
          <w:u w:val="none"/>
          <w:lang w:val="en-US" w:eastAsia="zh-CN"/>
        </w:rPr>
        <w:t>一、建设项目基本情况</w:t>
      </w:r>
      <w:bookmarkEnd w:id="9"/>
      <w:bookmarkEnd w:id="10"/>
      <w:bookmarkEnd w:id="11"/>
    </w:p>
    <w:tbl>
      <w:tblPr>
        <w:tblStyle w:val="2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90"/>
        <w:gridCol w:w="1121"/>
        <w:gridCol w:w="2398"/>
        <w:gridCol w:w="1414"/>
        <w:gridCol w:w="480"/>
        <w:gridCol w:w="2893"/>
      </w:tblGrid>
      <w:tr w14:paraId="1F148E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1" w:hRule="atLeast"/>
          <w:jc w:val="center"/>
        </w:trPr>
        <w:tc>
          <w:tcPr>
            <w:tcW w:w="1050" w:type="pct"/>
            <w:gridSpan w:val="2"/>
            <w:noWrap w:val="0"/>
            <w:tcMar>
              <w:top w:w="16" w:type="dxa"/>
              <w:left w:w="16" w:type="dxa"/>
              <w:right w:w="16" w:type="dxa"/>
            </w:tcMar>
            <w:vAlign w:val="center"/>
          </w:tcPr>
          <w:p w14:paraId="3C9BCD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建设项目名称</w:t>
            </w:r>
          </w:p>
        </w:tc>
        <w:tc>
          <w:tcPr>
            <w:tcW w:w="3949" w:type="pct"/>
            <w:gridSpan w:val="4"/>
            <w:noWrap w:val="0"/>
            <w:vAlign w:val="center"/>
          </w:tcPr>
          <w:p w14:paraId="61FBCC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福清大松模具有限公司年加工汽车塑料配件</w:t>
            </w:r>
            <w:r>
              <w:rPr>
                <w:rFonts w:hint="default" w:ascii="Times New Roman" w:hAnsi="Times New Roman" w:eastAsia="宋体" w:cs="Times New Roman"/>
                <w:color w:val="auto"/>
                <w:sz w:val="24"/>
                <w:szCs w:val="24"/>
                <w:u w:val="none"/>
                <w:lang w:val="en-US" w:eastAsia="zh-CN"/>
              </w:rPr>
              <w:t>83万套项目</w:t>
            </w:r>
          </w:p>
        </w:tc>
      </w:tr>
      <w:tr w14:paraId="0870D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1050" w:type="pct"/>
            <w:gridSpan w:val="2"/>
            <w:noWrap w:val="0"/>
            <w:tcMar>
              <w:top w:w="16" w:type="dxa"/>
              <w:left w:w="16" w:type="dxa"/>
              <w:right w:w="16" w:type="dxa"/>
            </w:tcMar>
            <w:vAlign w:val="center"/>
          </w:tcPr>
          <w:p w14:paraId="3D21222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项目代码</w:t>
            </w:r>
          </w:p>
        </w:tc>
        <w:tc>
          <w:tcPr>
            <w:tcW w:w="3949" w:type="pct"/>
            <w:gridSpan w:val="4"/>
            <w:noWrap w:val="0"/>
            <w:vAlign w:val="center"/>
          </w:tcPr>
          <w:p w14:paraId="33ED6F2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2509-350181-04-01-746706</w:t>
            </w:r>
          </w:p>
        </w:tc>
      </w:tr>
      <w:tr w14:paraId="1A6BD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1050" w:type="pct"/>
            <w:gridSpan w:val="2"/>
            <w:noWrap w:val="0"/>
            <w:tcMar>
              <w:top w:w="16" w:type="dxa"/>
              <w:left w:w="16" w:type="dxa"/>
              <w:right w:w="16" w:type="dxa"/>
            </w:tcMar>
            <w:vAlign w:val="center"/>
          </w:tcPr>
          <w:p w14:paraId="6F1F388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建设单位联系人</w:t>
            </w:r>
          </w:p>
        </w:tc>
        <w:tc>
          <w:tcPr>
            <w:tcW w:w="1318" w:type="pct"/>
            <w:noWrap w:val="0"/>
            <w:vAlign w:val="center"/>
          </w:tcPr>
          <w:p w14:paraId="1265F98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w:t>
            </w:r>
          </w:p>
        </w:tc>
        <w:tc>
          <w:tcPr>
            <w:tcW w:w="1041" w:type="pct"/>
            <w:gridSpan w:val="2"/>
            <w:noWrap w:val="0"/>
            <w:vAlign w:val="center"/>
          </w:tcPr>
          <w:p w14:paraId="261D581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联系方式</w:t>
            </w:r>
          </w:p>
        </w:tc>
        <w:tc>
          <w:tcPr>
            <w:tcW w:w="1589" w:type="pct"/>
            <w:noWrap w:val="0"/>
            <w:vAlign w:val="center"/>
          </w:tcPr>
          <w:p w14:paraId="1CFE886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w:t>
            </w:r>
          </w:p>
        </w:tc>
      </w:tr>
      <w:tr w14:paraId="36CCBF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1050" w:type="pct"/>
            <w:gridSpan w:val="2"/>
            <w:noWrap w:val="0"/>
            <w:tcMar>
              <w:top w:w="16" w:type="dxa"/>
              <w:left w:w="16" w:type="dxa"/>
              <w:right w:w="16" w:type="dxa"/>
            </w:tcMar>
            <w:vAlign w:val="center"/>
          </w:tcPr>
          <w:p w14:paraId="7CF2E4F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建设地点</w:t>
            </w:r>
          </w:p>
        </w:tc>
        <w:tc>
          <w:tcPr>
            <w:tcW w:w="3949" w:type="pct"/>
            <w:gridSpan w:val="4"/>
            <w:noWrap w:val="0"/>
            <w:vAlign w:val="center"/>
          </w:tcPr>
          <w:p w14:paraId="455C8C4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福建省福州市福清市阳下街道上亭村</w:t>
            </w:r>
          </w:p>
          <w:p w14:paraId="51479F0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rPr>
            </w:pPr>
            <w:r>
              <w:rPr>
                <w:rFonts w:hint="default"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均和云谷</w:t>
            </w:r>
            <w:r>
              <w:rPr>
                <w:rFonts w:hint="eastAsia" w:ascii="宋体" w:hAnsi="宋体" w:eastAsia="宋体" w:cs="宋体"/>
                <w:color w:val="auto"/>
                <w:sz w:val="24"/>
                <w:szCs w:val="24"/>
                <w:u w:val="none"/>
                <w:lang w:val="en-US" w:eastAsia="zh-CN"/>
              </w:rPr>
              <w:t>·福清科技港31栋厂房</w:t>
            </w:r>
            <w:r>
              <w:rPr>
                <w:rFonts w:hint="eastAsia" w:ascii="宋体" w:hAnsi="宋体" w:cs="宋体"/>
                <w:color w:val="auto"/>
                <w:sz w:val="24"/>
                <w:szCs w:val="24"/>
                <w:u w:val="none"/>
                <w:lang w:val="en-US" w:eastAsia="zh-CN"/>
              </w:rPr>
              <w:t>1-4层）</w:t>
            </w:r>
          </w:p>
        </w:tc>
      </w:tr>
      <w:tr w14:paraId="6E8086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50" w:type="pct"/>
            <w:gridSpan w:val="2"/>
            <w:noWrap w:val="0"/>
            <w:tcMar>
              <w:top w:w="16" w:type="dxa"/>
              <w:left w:w="16" w:type="dxa"/>
              <w:right w:w="16" w:type="dxa"/>
            </w:tcMar>
            <w:vAlign w:val="center"/>
          </w:tcPr>
          <w:p w14:paraId="5E7A2C6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地理坐标</w:t>
            </w:r>
          </w:p>
        </w:tc>
        <w:tc>
          <w:tcPr>
            <w:tcW w:w="3949" w:type="pct"/>
            <w:gridSpan w:val="4"/>
            <w:noWrap w:val="0"/>
            <w:vAlign w:val="center"/>
          </w:tcPr>
          <w:p w14:paraId="1E8622DB">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eastAsia="zh-CN"/>
              </w:rPr>
            </w:pPr>
            <w:r>
              <w:rPr>
                <w:sz w:val="24"/>
              </w:rPr>
              <w:t>（</w:t>
            </w:r>
            <w:r>
              <w:rPr>
                <w:sz w:val="24"/>
                <w:u w:val="single"/>
              </w:rPr>
              <w:t xml:space="preserve">  119  </w:t>
            </w:r>
            <w:r>
              <w:rPr>
                <w:sz w:val="24"/>
              </w:rPr>
              <w:t>度</w:t>
            </w:r>
            <w:r>
              <w:rPr>
                <w:sz w:val="24"/>
                <w:u w:val="single"/>
              </w:rPr>
              <w:t xml:space="preserve"> </w:t>
            </w:r>
            <w:r>
              <w:rPr>
                <w:rFonts w:hint="eastAsia"/>
                <w:sz w:val="24"/>
                <w:u w:val="single"/>
                <w:lang w:val="en-US" w:eastAsia="zh-CN"/>
              </w:rPr>
              <w:t>26</w:t>
            </w:r>
            <w:r>
              <w:rPr>
                <w:sz w:val="24"/>
                <w:u w:val="single"/>
              </w:rPr>
              <w:t xml:space="preserve"> </w:t>
            </w:r>
            <w:r>
              <w:rPr>
                <w:sz w:val="24"/>
              </w:rPr>
              <w:t>分</w:t>
            </w:r>
            <w:r>
              <w:rPr>
                <w:sz w:val="24"/>
                <w:u w:val="single"/>
              </w:rPr>
              <w:t xml:space="preserve"> </w:t>
            </w:r>
            <w:r>
              <w:rPr>
                <w:rFonts w:hint="eastAsia"/>
                <w:sz w:val="24"/>
                <w:u w:val="single"/>
                <w:lang w:val="en-US" w:eastAsia="zh-CN"/>
              </w:rPr>
              <w:t>4.338</w:t>
            </w:r>
            <w:r>
              <w:rPr>
                <w:sz w:val="24"/>
                <w:u w:val="single"/>
              </w:rPr>
              <w:t xml:space="preserve"> </w:t>
            </w:r>
            <w:r>
              <w:rPr>
                <w:sz w:val="24"/>
              </w:rPr>
              <w:t>秒，</w:t>
            </w:r>
            <w:r>
              <w:rPr>
                <w:sz w:val="24"/>
                <w:u w:val="single"/>
              </w:rPr>
              <w:t xml:space="preserve"> 2</w:t>
            </w:r>
            <w:r>
              <w:rPr>
                <w:rFonts w:hint="eastAsia"/>
                <w:sz w:val="24"/>
                <w:u w:val="single"/>
              </w:rPr>
              <w:t>5</w:t>
            </w:r>
            <w:r>
              <w:rPr>
                <w:sz w:val="24"/>
                <w:u w:val="single"/>
              </w:rPr>
              <w:t xml:space="preserve"> </w:t>
            </w:r>
            <w:r>
              <w:rPr>
                <w:sz w:val="24"/>
              </w:rPr>
              <w:t>度</w:t>
            </w:r>
            <w:r>
              <w:rPr>
                <w:sz w:val="24"/>
                <w:u w:val="single"/>
              </w:rPr>
              <w:t xml:space="preserve"> </w:t>
            </w:r>
            <w:r>
              <w:rPr>
                <w:rFonts w:hint="eastAsia"/>
                <w:sz w:val="24"/>
                <w:u w:val="single"/>
                <w:lang w:val="en-US" w:eastAsia="zh-CN"/>
              </w:rPr>
              <w:t>45</w:t>
            </w:r>
            <w:r>
              <w:rPr>
                <w:sz w:val="24"/>
                <w:u w:val="single"/>
              </w:rPr>
              <w:t xml:space="preserve"> </w:t>
            </w:r>
            <w:r>
              <w:rPr>
                <w:sz w:val="24"/>
              </w:rPr>
              <w:t>分</w:t>
            </w:r>
            <w:r>
              <w:rPr>
                <w:sz w:val="24"/>
                <w:u w:val="single"/>
              </w:rPr>
              <w:t xml:space="preserve">  </w:t>
            </w:r>
            <w:r>
              <w:rPr>
                <w:rFonts w:hint="eastAsia"/>
                <w:sz w:val="24"/>
                <w:u w:val="single"/>
                <w:lang w:val="en-US" w:eastAsia="zh-CN"/>
              </w:rPr>
              <w:t>58.139</w:t>
            </w:r>
            <w:r>
              <w:rPr>
                <w:sz w:val="24"/>
                <w:u w:val="single"/>
              </w:rPr>
              <w:t xml:space="preserve"> </w:t>
            </w:r>
            <w:r>
              <w:rPr>
                <w:sz w:val="24"/>
              </w:rPr>
              <w:t>秒）</w:t>
            </w:r>
          </w:p>
          <w:p w14:paraId="10CE87D1">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highlight w:val="none"/>
                <w:u w:val="none"/>
                <w:lang w:eastAsia="zh-CN"/>
              </w:rPr>
              <w:t>地理位置图详见</w:t>
            </w:r>
            <w:r>
              <w:rPr>
                <w:rFonts w:hint="default" w:ascii="Times New Roman" w:hAnsi="Times New Roman" w:eastAsia="宋体" w:cs="Times New Roman"/>
                <w:b/>
                <w:bCs/>
                <w:color w:val="auto"/>
                <w:sz w:val="24"/>
                <w:szCs w:val="24"/>
                <w:highlight w:val="none"/>
                <w:u w:val="none"/>
                <w:lang w:eastAsia="zh-CN"/>
              </w:rPr>
              <w:t>附图</w:t>
            </w:r>
            <w:r>
              <w:rPr>
                <w:rFonts w:hint="eastAsia" w:cs="Times New Roman"/>
                <w:b/>
                <w:bCs/>
                <w:color w:val="auto"/>
                <w:sz w:val="24"/>
                <w:szCs w:val="24"/>
                <w:highlight w:val="none"/>
                <w:u w:val="none"/>
                <w:lang w:val="en-US" w:eastAsia="zh-CN"/>
              </w:rPr>
              <w:t>一</w:t>
            </w:r>
          </w:p>
        </w:tc>
      </w:tr>
      <w:tr w14:paraId="1F9B1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50" w:type="pct"/>
            <w:gridSpan w:val="2"/>
            <w:noWrap w:val="0"/>
            <w:tcMar>
              <w:top w:w="16" w:type="dxa"/>
              <w:left w:w="16" w:type="dxa"/>
              <w:right w:w="16" w:type="dxa"/>
            </w:tcMar>
            <w:vAlign w:val="center"/>
          </w:tcPr>
          <w:p w14:paraId="7442398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国民经济</w:t>
            </w:r>
          </w:p>
          <w:p w14:paraId="501073D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行业类别</w:t>
            </w:r>
          </w:p>
        </w:tc>
        <w:tc>
          <w:tcPr>
            <w:tcW w:w="1318" w:type="pct"/>
            <w:noWrap w:val="0"/>
            <w:vAlign w:val="center"/>
          </w:tcPr>
          <w:p w14:paraId="5BFD1D9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rPr>
            </w:pPr>
            <w:r>
              <w:rPr>
                <w:rFonts w:hint="default" w:ascii="Times New Roman" w:hAnsi="Times New Roman" w:eastAsia="宋体" w:cs="Times New Roman"/>
                <w:b w:val="0"/>
                <w:bCs w:val="0"/>
                <w:color w:val="auto"/>
                <w:sz w:val="24"/>
                <w:szCs w:val="24"/>
                <w:highlight w:val="none"/>
                <w:u w:val="none"/>
                <w:lang w:val="en-US" w:eastAsia="zh-CN"/>
              </w:rPr>
              <w:t>C2929塑料零件及其他</w:t>
            </w:r>
            <w:r>
              <w:rPr>
                <w:rFonts w:hint="eastAsia" w:cs="Times New Roman"/>
                <w:b w:val="0"/>
                <w:bCs w:val="0"/>
                <w:color w:val="auto"/>
                <w:sz w:val="24"/>
                <w:szCs w:val="24"/>
                <w:highlight w:val="none"/>
                <w:u w:val="none"/>
                <w:lang w:val="en-US" w:eastAsia="zh-CN"/>
              </w:rPr>
              <w:t>塑料制品业</w:t>
            </w:r>
            <w:r>
              <w:rPr>
                <w:rFonts w:hint="default" w:ascii="Times New Roman" w:hAnsi="Times New Roman" w:eastAsia="宋体" w:cs="Times New Roman"/>
                <w:b w:val="0"/>
                <w:bCs w:val="0"/>
                <w:color w:val="auto"/>
                <w:sz w:val="24"/>
                <w:szCs w:val="24"/>
                <w:highlight w:val="none"/>
                <w:u w:val="none"/>
                <w:lang w:val="en-US" w:eastAsia="zh-CN"/>
              </w:rPr>
              <w:t>；</w:t>
            </w:r>
            <w:r>
              <w:rPr>
                <w:rFonts w:hint="default" w:ascii="Times New Roman" w:hAnsi="Times New Roman" w:eastAsia="宋体" w:cs="Times New Roman"/>
                <w:color w:val="auto"/>
                <w:sz w:val="24"/>
                <w:szCs w:val="24"/>
                <w:u w:val="none"/>
                <w:lang w:val="en-US" w:eastAsia="zh-CN"/>
              </w:rPr>
              <w:t>C3670汽车零部件及配件制造</w:t>
            </w:r>
            <w:r>
              <w:rPr>
                <w:rFonts w:hint="eastAsia" w:cs="Times New Roman"/>
                <w:color w:val="auto"/>
                <w:sz w:val="24"/>
                <w:szCs w:val="24"/>
                <w:u w:val="none"/>
                <w:lang w:val="en-US" w:eastAsia="zh-CN"/>
              </w:rPr>
              <w:t>；</w:t>
            </w:r>
          </w:p>
        </w:tc>
        <w:tc>
          <w:tcPr>
            <w:tcW w:w="777" w:type="pct"/>
            <w:noWrap w:val="0"/>
            <w:vAlign w:val="center"/>
          </w:tcPr>
          <w:p w14:paraId="5AC88FA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建设项目</w:t>
            </w:r>
          </w:p>
          <w:p w14:paraId="02030D2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行业类别</w:t>
            </w:r>
          </w:p>
        </w:tc>
        <w:tc>
          <w:tcPr>
            <w:tcW w:w="1852" w:type="pct"/>
            <w:gridSpan w:val="2"/>
            <w:noWrap w:val="0"/>
            <w:vAlign w:val="center"/>
          </w:tcPr>
          <w:p w14:paraId="23C5EFA0">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rPr>
              <w:t>二十六、橡胶和塑料制品业 2</w:t>
            </w:r>
            <w:r>
              <w:rPr>
                <w:rFonts w:hint="default" w:ascii="Times New Roman" w:hAnsi="Times New Roman" w:eastAsia="宋体" w:cs="Times New Roman"/>
                <w:color w:val="auto"/>
                <w:sz w:val="24"/>
                <w:szCs w:val="24"/>
                <w:u w:val="none"/>
                <w:lang w:val="en-US" w:eastAsia="zh-CN"/>
              </w:rPr>
              <w:t>9-53 塑料制品业 292-其他；三十三、汽车制造业 36-71 汽车零部件及配件制造 367</w:t>
            </w:r>
            <w:r>
              <w:rPr>
                <w:rFonts w:hint="eastAsia" w:cs="Times New Roman"/>
                <w:color w:val="auto"/>
                <w:sz w:val="24"/>
                <w:szCs w:val="24"/>
                <w:u w:val="none"/>
                <w:lang w:val="en-US" w:eastAsia="zh-CN"/>
              </w:rPr>
              <w:t>-其他</w:t>
            </w:r>
          </w:p>
        </w:tc>
      </w:tr>
      <w:tr w14:paraId="7316F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50" w:type="pct"/>
            <w:gridSpan w:val="2"/>
            <w:noWrap w:val="0"/>
            <w:tcMar>
              <w:top w:w="16" w:type="dxa"/>
              <w:left w:w="16" w:type="dxa"/>
              <w:right w:w="16" w:type="dxa"/>
            </w:tcMar>
            <w:vAlign w:val="center"/>
          </w:tcPr>
          <w:p w14:paraId="41C878E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建设性质</w:t>
            </w:r>
          </w:p>
        </w:tc>
        <w:tc>
          <w:tcPr>
            <w:tcW w:w="1318" w:type="pct"/>
            <w:noWrap w:val="0"/>
            <w:vAlign w:val="center"/>
          </w:tcPr>
          <w:p w14:paraId="4278FA5E">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新建（迁建）</w:t>
            </w:r>
          </w:p>
          <w:p w14:paraId="338D697E">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改建</w:t>
            </w:r>
          </w:p>
          <w:p w14:paraId="141C4600">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扩建</w:t>
            </w:r>
          </w:p>
          <w:p w14:paraId="6C3EA831">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技术改造</w:t>
            </w:r>
          </w:p>
        </w:tc>
        <w:tc>
          <w:tcPr>
            <w:tcW w:w="777" w:type="pct"/>
            <w:noWrap w:val="0"/>
            <w:vAlign w:val="center"/>
          </w:tcPr>
          <w:p w14:paraId="07AE88F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建设项目</w:t>
            </w:r>
          </w:p>
          <w:p w14:paraId="293636A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申报情形</w:t>
            </w:r>
          </w:p>
        </w:tc>
        <w:tc>
          <w:tcPr>
            <w:tcW w:w="1852" w:type="pct"/>
            <w:gridSpan w:val="2"/>
            <w:noWrap w:val="0"/>
            <w:vAlign w:val="center"/>
          </w:tcPr>
          <w:p w14:paraId="60A67602">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首次申报项目</w:t>
            </w:r>
          </w:p>
          <w:p w14:paraId="370D3266">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不予批准后再次申报项目</w:t>
            </w:r>
          </w:p>
          <w:p w14:paraId="5572487B">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超五年重新审核项目</w:t>
            </w:r>
          </w:p>
          <w:p w14:paraId="420A8C54">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重大变动重新报批项目</w:t>
            </w:r>
          </w:p>
        </w:tc>
      </w:tr>
      <w:tr w14:paraId="5E0C05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50" w:type="pct"/>
            <w:gridSpan w:val="2"/>
            <w:noWrap w:val="0"/>
            <w:tcMar>
              <w:top w:w="16" w:type="dxa"/>
              <w:left w:w="16" w:type="dxa"/>
              <w:right w:w="16" w:type="dxa"/>
            </w:tcMar>
            <w:vAlign w:val="center"/>
          </w:tcPr>
          <w:p w14:paraId="0931B066">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项目审批（核准/</w:t>
            </w:r>
          </w:p>
          <w:p w14:paraId="64E82B5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备案）部门（选填）</w:t>
            </w:r>
          </w:p>
        </w:tc>
        <w:tc>
          <w:tcPr>
            <w:tcW w:w="1318" w:type="pct"/>
            <w:noWrap w:val="0"/>
            <w:vAlign w:val="center"/>
          </w:tcPr>
          <w:p w14:paraId="489BB6B4">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eastAsia="zh-CN"/>
              </w:rPr>
              <w:t>福州市发展和改革局</w:t>
            </w:r>
          </w:p>
        </w:tc>
        <w:tc>
          <w:tcPr>
            <w:tcW w:w="1041" w:type="pct"/>
            <w:gridSpan w:val="2"/>
            <w:noWrap w:val="0"/>
            <w:vAlign w:val="center"/>
          </w:tcPr>
          <w:p w14:paraId="244C5D4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项目审批（核准/</w:t>
            </w:r>
          </w:p>
          <w:p w14:paraId="1FDC1F6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备案）文号（选填）</w:t>
            </w:r>
          </w:p>
        </w:tc>
        <w:tc>
          <w:tcPr>
            <w:tcW w:w="1589" w:type="pct"/>
            <w:noWrap w:val="0"/>
            <w:vAlign w:val="center"/>
          </w:tcPr>
          <w:p w14:paraId="4EF277B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eastAsia="zh-CN"/>
              </w:rPr>
              <w:t>闽发改备</w:t>
            </w:r>
            <w:r>
              <w:rPr>
                <w:rFonts w:hint="eastAsia" w:cs="Times New Roman"/>
                <w:color w:val="auto"/>
                <w:sz w:val="24"/>
                <w:szCs w:val="24"/>
                <w:u w:val="none"/>
                <w:lang w:eastAsia="zh-CN"/>
              </w:rPr>
              <w:t>〔2025〕</w:t>
            </w:r>
            <w:r>
              <w:rPr>
                <w:rFonts w:hint="default" w:ascii="Times New Roman" w:hAnsi="Times New Roman" w:eastAsia="宋体" w:cs="Times New Roman"/>
                <w:color w:val="auto"/>
                <w:sz w:val="24"/>
                <w:szCs w:val="24"/>
                <w:u w:val="none"/>
                <w:lang w:eastAsia="zh-CN"/>
              </w:rPr>
              <w:t>A060</w:t>
            </w:r>
            <w:r>
              <w:rPr>
                <w:rFonts w:hint="eastAsia" w:ascii="Times New Roman" w:hAnsi="Times New Roman" w:eastAsia="宋体" w:cs="Times New Roman"/>
                <w:color w:val="auto"/>
                <w:sz w:val="24"/>
                <w:szCs w:val="24"/>
                <w:u w:val="none"/>
                <w:lang w:val="en-US" w:eastAsia="zh-CN"/>
              </w:rPr>
              <w:t>346</w:t>
            </w:r>
            <w:r>
              <w:rPr>
                <w:rFonts w:hint="default" w:ascii="Times New Roman" w:hAnsi="Times New Roman" w:eastAsia="宋体" w:cs="Times New Roman"/>
                <w:color w:val="auto"/>
                <w:sz w:val="24"/>
                <w:szCs w:val="24"/>
                <w:u w:val="none"/>
                <w:lang w:eastAsia="zh-CN"/>
              </w:rPr>
              <w:t>号</w:t>
            </w:r>
          </w:p>
        </w:tc>
      </w:tr>
      <w:tr w14:paraId="4D736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50" w:type="pct"/>
            <w:gridSpan w:val="2"/>
            <w:noWrap w:val="0"/>
            <w:tcMar>
              <w:top w:w="16" w:type="dxa"/>
              <w:left w:w="16" w:type="dxa"/>
              <w:right w:w="16" w:type="dxa"/>
            </w:tcMar>
            <w:vAlign w:val="center"/>
          </w:tcPr>
          <w:p w14:paraId="6AF3ECB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总投资（万元）</w:t>
            </w:r>
          </w:p>
        </w:tc>
        <w:tc>
          <w:tcPr>
            <w:tcW w:w="1318" w:type="pct"/>
            <w:noWrap w:val="0"/>
            <w:vAlign w:val="center"/>
          </w:tcPr>
          <w:p w14:paraId="0B05A392">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1600</w:t>
            </w:r>
          </w:p>
        </w:tc>
        <w:tc>
          <w:tcPr>
            <w:tcW w:w="1041" w:type="pct"/>
            <w:gridSpan w:val="2"/>
            <w:noWrap w:val="0"/>
            <w:tcMar>
              <w:top w:w="16" w:type="dxa"/>
              <w:left w:w="16" w:type="dxa"/>
              <w:right w:w="16" w:type="dxa"/>
            </w:tcMar>
            <w:vAlign w:val="center"/>
          </w:tcPr>
          <w:p w14:paraId="6323C6F8">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环保投资（万元）</w:t>
            </w:r>
          </w:p>
        </w:tc>
        <w:tc>
          <w:tcPr>
            <w:tcW w:w="1589" w:type="pct"/>
            <w:noWrap w:val="0"/>
            <w:vAlign w:val="center"/>
          </w:tcPr>
          <w:p w14:paraId="147D9DB1">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w:t>
            </w:r>
            <w:r>
              <w:rPr>
                <w:rFonts w:hint="eastAsia" w:cs="Times New Roman"/>
                <w:color w:val="auto"/>
                <w:sz w:val="24"/>
                <w:szCs w:val="24"/>
                <w:u w:val="none"/>
                <w:lang w:val="en-US" w:eastAsia="zh-CN"/>
              </w:rPr>
              <w:t>5</w:t>
            </w:r>
          </w:p>
        </w:tc>
      </w:tr>
      <w:tr w14:paraId="4B64D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50" w:type="pct"/>
            <w:gridSpan w:val="2"/>
            <w:noWrap w:val="0"/>
            <w:tcMar>
              <w:top w:w="16" w:type="dxa"/>
              <w:left w:w="16" w:type="dxa"/>
              <w:right w:w="16" w:type="dxa"/>
            </w:tcMar>
            <w:vAlign w:val="center"/>
          </w:tcPr>
          <w:p w14:paraId="66BB277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环保投资占比（%）</w:t>
            </w:r>
          </w:p>
        </w:tc>
        <w:tc>
          <w:tcPr>
            <w:tcW w:w="1318" w:type="pct"/>
            <w:noWrap w:val="0"/>
            <w:vAlign w:val="center"/>
          </w:tcPr>
          <w:p w14:paraId="199D8CF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highlight w:val="none"/>
                <w:u w:val="none"/>
                <w:lang w:val="en-US" w:eastAsia="zh-CN"/>
              </w:rPr>
              <w:t>1</w:t>
            </w:r>
            <w:r>
              <w:rPr>
                <w:rFonts w:hint="eastAsia" w:ascii="Times New Roman" w:hAnsi="Times New Roman" w:eastAsia="宋体" w:cs="Times New Roman"/>
                <w:color w:val="auto"/>
                <w:sz w:val="24"/>
                <w:szCs w:val="24"/>
                <w:highlight w:val="none"/>
                <w:u w:val="none"/>
                <w:lang w:val="en-US" w:eastAsia="zh-CN"/>
              </w:rPr>
              <w:t>%</w:t>
            </w:r>
          </w:p>
        </w:tc>
        <w:tc>
          <w:tcPr>
            <w:tcW w:w="1041" w:type="pct"/>
            <w:gridSpan w:val="2"/>
            <w:noWrap w:val="0"/>
            <w:tcMar>
              <w:top w:w="16" w:type="dxa"/>
              <w:left w:w="16" w:type="dxa"/>
              <w:right w:w="16" w:type="dxa"/>
            </w:tcMar>
            <w:vAlign w:val="center"/>
          </w:tcPr>
          <w:p w14:paraId="7DBCE58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施工工期</w:t>
            </w:r>
          </w:p>
        </w:tc>
        <w:tc>
          <w:tcPr>
            <w:tcW w:w="1589" w:type="pct"/>
            <w:noWrap w:val="0"/>
            <w:vAlign w:val="center"/>
          </w:tcPr>
          <w:p w14:paraId="1EF963AC">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2025年</w:t>
            </w:r>
            <w:r>
              <w:rPr>
                <w:rFonts w:hint="eastAsia" w:ascii="Times New Roman" w:hAnsi="Times New Roman" w:eastAsia="宋体" w:cs="Times New Roman"/>
                <w:color w:val="auto"/>
                <w:sz w:val="24"/>
                <w:szCs w:val="24"/>
                <w:u w:val="none"/>
                <w:lang w:val="en-US" w:eastAsia="zh-CN"/>
              </w:rPr>
              <w:t>9</w:t>
            </w:r>
            <w:r>
              <w:rPr>
                <w:rFonts w:hint="default" w:ascii="Times New Roman" w:hAnsi="Times New Roman" w:eastAsia="宋体" w:cs="Times New Roman"/>
                <w:color w:val="auto"/>
                <w:sz w:val="24"/>
                <w:szCs w:val="24"/>
                <w:u w:val="none"/>
                <w:lang w:val="en-US" w:eastAsia="zh-CN"/>
              </w:rPr>
              <w:t>月</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202</w:t>
            </w:r>
            <w:r>
              <w:rPr>
                <w:rFonts w:hint="eastAsia" w:ascii="Times New Roman" w:hAnsi="Times New Roman" w:eastAsia="宋体" w:cs="Times New Roman"/>
                <w:color w:val="auto"/>
                <w:sz w:val="24"/>
                <w:szCs w:val="24"/>
                <w:u w:val="none"/>
                <w:lang w:val="en-US" w:eastAsia="zh-CN"/>
              </w:rPr>
              <w:t>6</w:t>
            </w:r>
            <w:r>
              <w:rPr>
                <w:rFonts w:hint="default" w:ascii="Times New Roman" w:hAnsi="Times New Roman" w:eastAsia="宋体" w:cs="Times New Roman"/>
                <w:color w:val="auto"/>
                <w:sz w:val="24"/>
                <w:szCs w:val="24"/>
                <w:u w:val="none"/>
                <w:lang w:val="en-US" w:eastAsia="zh-CN"/>
              </w:rPr>
              <w:t>年</w:t>
            </w:r>
            <w:r>
              <w:rPr>
                <w:rFonts w:hint="eastAsia" w:ascii="Times New Roman" w:hAnsi="Times New Roman" w:eastAsia="宋体" w:cs="Times New Roman"/>
                <w:color w:val="auto"/>
                <w:sz w:val="24"/>
                <w:szCs w:val="24"/>
                <w:u w:val="none"/>
                <w:lang w:val="en-US" w:eastAsia="zh-CN"/>
              </w:rPr>
              <w:t>9</w:t>
            </w:r>
            <w:r>
              <w:rPr>
                <w:rFonts w:hint="default" w:ascii="Times New Roman" w:hAnsi="Times New Roman" w:eastAsia="宋体" w:cs="Times New Roman"/>
                <w:color w:val="auto"/>
                <w:sz w:val="24"/>
                <w:szCs w:val="24"/>
                <w:u w:val="none"/>
                <w:lang w:val="en-US" w:eastAsia="zh-CN"/>
              </w:rPr>
              <w:t>月</w:t>
            </w:r>
          </w:p>
        </w:tc>
      </w:tr>
      <w:tr w14:paraId="06481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50" w:type="pct"/>
            <w:gridSpan w:val="2"/>
            <w:noWrap w:val="0"/>
            <w:tcMar>
              <w:top w:w="16" w:type="dxa"/>
              <w:left w:w="16" w:type="dxa"/>
              <w:right w:w="16" w:type="dxa"/>
            </w:tcMar>
            <w:vAlign w:val="center"/>
          </w:tcPr>
          <w:p w14:paraId="33E1D85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是否开工建设</w:t>
            </w:r>
          </w:p>
        </w:tc>
        <w:tc>
          <w:tcPr>
            <w:tcW w:w="1318" w:type="pct"/>
            <w:noWrap w:val="0"/>
            <w:vAlign w:val="center"/>
          </w:tcPr>
          <w:p w14:paraId="7E248348">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否</w:t>
            </w:r>
          </w:p>
          <w:p w14:paraId="231C131E">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是：</w:t>
            </w:r>
          </w:p>
        </w:tc>
        <w:tc>
          <w:tcPr>
            <w:tcW w:w="1041" w:type="pct"/>
            <w:gridSpan w:val="2"/>
            <w:noWrap w:val="0"/>
            <w:tcMar>
              <w:top w:w="16" w:type="dxa"/>
              <w:left w:w="16" w:type="dxa"/>
              <w:right w:w="16" w:type="dxa"/>
            </w:tcMar>
            <w:vAlign w:val="center"/>
          </w:tcPr>
          <w:p w14:paraId="1B3B2D3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6"/>
                <w:sz w:val="24"/>
                <w:szCs w:val="24"/>
                <w:u w:val="none"/>
              </w:rPr>
            </w:pPr>
            <w:r>
              <w:rPr>
                <w:rFonts w:hint="default" w:ascii="Times New Roman" w:hAnsi="Times New Roman" w:eastAsia="宋体" w:cs="Times New Roman"/>
                <w:color w:val="auto"/>
                <w:spacing w:val="-6"/>
                <w:sz w:val="24"/>
                <w:szCs w:val="24"/>
                <w:u w:val="none"/>
              </w:rPr>
              <w:t>用地（用海）</w:t>
            </w:r>
          </w:p>
          <w:p w14:paraId="45DDF8E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pacing w:val="-6"/>
                <w:sz w:val="24"/>
                <w:szCs w:val="24"/>
                <w:u w:val="none"/>
              </w:rPr>
              <w:t>面积（m</w:t>
            </w:r>
            <w:r>
              <w:rPr>
                <w:rFonts w:hint="default" w:ascii="Times New Roman" w:hAnsi="Times New Roman" w:eastAsia="宋体" w:cs="Times New Roman"/>
                <w:color w:val="auto"/>
                <w:spacing w:val="-6"/>
                <w:sz w:val="24"/>
                <w:szCs w:val="24"/>
                <w:u w:val="none"/>
                <w:vertAlign w:val="superscript"/>
              </w:rPr>
              <w:t>2</w:t>
            </w:r>
            <w:r>
              <w:rPr>
                <w:rFonts w:hint="default" w:ascii="Times New Roman" w:hAnsi="Times New Roman" w:eastAsia="宋体" w:cs="Times New Roman"/>
                <w:color w:val="auto"/>
                <w:spacing w:val="-6"/>
                <w:sz w:val="24"/>
                <w:szCs w:val="24"/>
                <w:u w:val="none"/>
              </w:rPr>
              <w:t>）</w:t>
            </w:r>
          </w:p>
        </w:tc>
        <w:tc>
          <w:tcPr>
            <w:tcW w:w="1589" w:type="pct"/>
            <w:noWrap w:val="0"/>
            <w:vAlign w:val="center"/>
          </w:tcPr>
          <w:p w14:paraId="35DC9386">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highlight w:val="none"/>
                <w:u w:val="none"/>
                <w:lang w:eastAsia="zh-CN"/>
              </w:rPr>
              <w:t>面积</w:t>
            </w:r>
            <w:r>
              <w:rPr>
                <w:rFonts w:hint="eastAsia" w:ascii="Times New Roman" w:hAnsi="Times New Roman" w:eastAsia="宋体" w:cs="Times New Roman"/>
                <w:color w:val="auto"/>
                <w:sz w:val="24"/>
                <w:szCs w:val="24"/>
                <w:highlight w:val="none"/>
                <w:u w:val="none"/>
                <w:lang w:val="en-US" w:eastAsia="zh-CN"/>
              </w:rPr>
              <w:t>3515.66</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2</w:t>
            </w:r>
          </w:p>
        </w:tc>
      </w:tr>
      <w:tr w14:paraId="7C156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34" w:type="pct"/>
            <w:noWrap w:val="0"/>
            <w:vAlign w:val="center"/>
          </w:tcPr>
          <w:p w14:paraId="48C83AA9">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专项评价设置情况</w:t>
            </w:r>
          </w:p>
        </w:tc>
        <w:tc>
          <w:tcPr>
            <w:tcW w:w="4565" w:type="pct"/>
            <w:gridSpan w:val="5"/>
            <w:noWrap w:val="0"/>
            <w:vAlign w:val="center"/>
          </w:tcPr>
          <w:p w14:paraId="4C0E67C6">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0" w:firstLineChars="0"/>
              <w:jc w:val="left"/>
              <w:textAlignment w:val="auto"/>
              <w:rPr>
                <w:rFonts w:hint="default" w:ascii="Times New Roman" w:hAnsi="Times New Roman" w:eastAsia="宋体" w:cs="Times New Roman"/>
                <w:color w:val="auto"/>
                <w:kern w:val="0"/>
                <w:sz w:val="24"/>
                <w:szCs w:val="24"/>
                <w:u w:val="none"/>
                <w:lang w:bidi="ar"/>
              </w:rPr>
            </w:pPr>
            <w:r>
              <w:rPr>
                <w:rFonts w:hint="default" w:ascii="Times New Roman" w:hAnsi="Times New Roman" w:eastAsia="宋体" w:cs="Times New Roman"/>
                <w:color w:val="auto"/>
                <w:kern w:val="0"/>
                <w:sz w:val="24"/>
                <w:szCs w:val="24"/>
                <w:u w:val="none"/>
                <w:lang w:eastAsia="zh-CN" w:bidi="ar"/>
              </w:rPr>
              <w:t>根据《</w:t>
            </w:r>
            <w:r>
              <w:rPr>
                <w:rFonts w:hint="default" w:ascii="Times New Roman" w:hAnsi="Times New Roman" w:eastAsia="宋体" w:cs="Times New Roman"/>
                <w:color w:val="auto"/>
                <w:kern w:val="0"/>
                <w:sz w:val="24"/>
                <w:szCs w:val="24"/>
                <w:u w:val="none"/>
                <w:lang w:val="en-US" w:eastAsia="zh-CN" w:bidi="ar"/>
              </w:rPr>
              <w:t>建设项目环境影响报告表编制技术指南（污染影响类）（试行）</w:t>
            </w:r>
            <w:r>
              <w:rPr>
                <w:rFonts w:hint="default" w:ascii="Times New Roman" w:hAnsi="Times New Roman" w:eastAsia="宋体" w:cs="Times New Roman"/>
                <w:color w:val="auto"/>
                <w:kern w:val="0"/>
                <w:sz w:val="24"/>
                <w:szCs w:val="24"/>
                <w:u w:val="none"/>
                <w:lang w:eastAsia="zh-CN" w:bidi="ar"/>
              </w:rPr>
              <w:t>》</w:t>
            </w:r>
            <w:r>
              <w:rPr>
                <w:rFonts w:hint="default" w:ascii="Times New Roman" w:hAnsi="Times New Roman" w:eastAsia="宋体" w:cs="Times New Roman"/>
                <w:color w:val="auto"/>
                <w:kern w:val="0"/>
                <w:sz w:val="24"/>
                <w:szCs w:val="24"/>
                <w:u w:val="none"/>
                <w:lang w:val="en-US" w:eastAsia="zh-CN" w:bidi="ar"/>
              </w:rPr>
              <w:t>项目工程专项设置情况参照表1专项评价设置原则表，具体详见下表：</w:t>
            </w:r>
          </w:p>
          <w:p w14:paraId="5BE81C94">
            <w:pPr>
              <w:keepNext w:val="0"/>
              <w:keepLines w:val="0"/>
              <w:pageBreakBefore w:val="0"/>
              <w:widowControl w:val="0"/>
              <w:kinsoku/>
              <w:wordWrap/>
              <w:overflowPunct/>
              <w:topLinePunct w:val="0"/>
              <w:autoSpaceDE w:val="0"/>
              <w:autoSpaceDN w:val="0"/>
              <w:bidi w:val="0"/>
              <w:adjustRightInd w:val="0"/>
              <w:snapToGrid w:val="0"/>
              <w:spacing w:before="160" w:beforeLines="5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lang w:eastAsia="zh-CN" w:bidi="ar"/>
              </w:rPr>
            </w:pPr>
            <w:r>
              <w:rPr>
                <w:rFonts w:hint="default" w:ascii="Times New Roman" w:hAnsi="Times New Roman" w:eastAsia="宋体" w:cs="Times New Roman"/>
                <w:b/>
                <w:bCs/>
                <w:color w:val="auto"/>
                <w:kern w:val="0"/>
                <w:sz w:val="24"/>
                <w:szCs w:val="24"/>
                <w:u w:val="none"/>
                <w:lang w:eastAsia="zh-CN" w:bidi="ar"/>
              </w:rPr>
              <w:t>表1.1  项目专项评价设置表</w:t>
            </w:r>
          </w:p>
          <w:tbl>
            <w:tblPr>
              <w:tblStyle w:val="23"/>
              <w:tblW w:w="49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3491"/>
              <w:gridCol w:w="2381"/>
              <w:gridCol w:w="908"/>
            </w:tblGrid>
            <w:tr w14:paraId="5998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tcBorders>
                    <w:top w:val="single" w:color="auto" w:sz="12" w:space="0"/>
                    <w:left w:val="nil"/>
                  </w:tcBorders>
                  <w:noWrap w:val="0"/>
                  <w:vAlign w:val="center"/>
                </w:tcPr>
                <w:p w14:paraId="24C28D83">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lang w:val="en-US" w:eastAsia="zh-CN" w:bidi="ar"/>
                    </w:rPr>
                    <w:t>专项评价的类别</w:t>
                  </w:r>
                </w:p>
              </w:tc>
              <w:tc>
                <w:tcPr>
                  <w:tcW w:w="2191" w:type="pct"/>
                  <w:tcBorders>
                    <w:top w:val="single" w:color="auto" w:sz="12" w:space="0"/>
                  </w:tcBorders>
                  <w:noWrap w:val="0"/>
                  <w:vAlign w:val="center"/>
                </w:tcPr>
                <w:p w14:paraId="7F021FDE">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lang w:val="en-US" w:eastAsia="zh-CN" w:bidi="ar"/>
                    </w:rPr>
                    <w:t>设置原则</w:t>
                  </w:r>
                </w:p>
              </w:tc>
              <w:tc>
                <w:tcPr>
                  <w:tcW w:w="1494" w:type="pct"/>
                  <w:tcBorders>
                    <w:top w:val="single" w:color="auto" w:sz="12" w:space="0"/>
                  </w:tcBorders>
                  <w:noWrap w:val="0"/>
                  <w:vAlign w:val="center"/>
                </w:tcPr>
                <w:p w14:paraId="1A320106">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sz w:val="21"/>
                      <w:szCs w:val="21"/>
                      <w:u w:val="none"/>
                      <w:vertAlign w:val="baseline"/>
                      <w:lang w:eastAsia="zh-CN"/>
                    </w:rPr>
                    <w:t>本项目情况</w:t>
                  </w:r>
                </w:p>
              </w:tc>
              <w:tc>
                <w:tcPr>
                  <w:tcW w:w="570" w:type="pct"/>
                  <w:tcBorders>
                    <w:top w:val="single" w:color="auto" w:sz="12" w:space="0"/>
                    <w:right w:val="nil"/>
                  </w:tcBorders>
                  <w:noWrap w:val="0"/>
                  <w:vAlign w:val="center"/>
                </w:tcPr>
                <w:p w14:paraId="618A1CF6">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sz w:val="21"/>
                      <w:szCs w:val="21"/>
                      <w:u w:val="none"/>
                      <w:vertAlign w:val="baseline"/>
                      <w:lang w:eastAsia="zh-CN"/>
                    </w:rPr>
                    <w:t>是否设置专项</w:t>
                  </w:r>
                </w:p>
              </w:tc>
            </w:tr>
            <w:tr w14:paraId="2DCA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743" w:type="pct"/>
                  <w:tcBorders>
                    <w:left w:val="nil"/>
                  </w:tcBorders>
                  <w:noWrap w:val="0"/>
                  <w:vAlign w:val="center"/>
                </w:tcPr>
                <w:p w14:paraId="4EFCD1A8">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大气</w:t>
                  </w:r>
                </w:p>
              </w:tc>
              <w:tc>
                <w:tcPr>
                  <w:tcW w:w="2191" w:type="pct"/>
                  <w:noWrap w:val="0"/>
                  <w:vAlign w:val="center"/>
                </w:tcPr>
                <w:p w14:paraId="2774AC2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lang w:val="en-US" w:eastAsia="zh-CN"/>
                    </w:rPr>
                    <w:t>排放废气含有毒有害污染物、二噁英、苯并[a]芘、氰化物、氯气且厂界外500米范围内有环境空气保护目标的建设项目。</w:t>
                  </w:r>
                </w:p>
              </w:tc>
              <w:tc>
                <w:tcPr>
                  <w:tcW w:w="1494" w:type="pct"/>
                  <w:noWrap w:val="0"/>
                  <w:vAlign w:val="center"/>
                </w:tcPr>
                <w:p w14:paraId="30C22DBA">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lang w:val="en-US" w:eastAsia="zh-CN"/>
                    </w:rPr>
                    <w:t>本项目排放的废气污染物不涉及左列大气污染物。</w:t>
                  </w:r>
                </w:p>
              </w:tc>
              <w:tc>
                <w:tcPr>
                  <w:tcW w:w="570" w:type="pct"/>
                  <w:tcBorders>
                    <w:right w:val="nil"/>
                  </w:tcBorders>
                  <w:noWrap w:val="0"/>
                  <w:vAlign w:val="center"/>
                </w:tcPr>
                <w:p w14:paraId="3EF05855">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eastAsia" w:ascii="Times New Roman" w:hAnsi="Times New Roman" w:eastAsia="宋体" w:cs="Times New Roman"/>
                      <w:color w:val="auto"/>
                      <w:sz w:val="21"/>
                      <w:szCs w:val="21"/>
                      <w:u w:val="none"/>
                      <w:vertAlign w:val="baseline"/>
                      <w:lang w:eastAsia="zh-CN"/>
                    </w:rPr>
                    <w:t>否</w:t>
                  </w:r>
                </w:p>
              </w:tc>
            </w:tr>
            <w:tr w14:paraId="1BCC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3" w:type="pct"/>
                  <w:tcBorders>
                    <w:left w:val="nil"/>
                  </w:tcBorders>
                  <w:noWrap w:val="0"/>
                  <w:vAlign w:val="center"/>
                </w:tcPr>
                <w:p w14:paraId="15E76BDF">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地表水</w:t>
                  </w:r>
                </w:p>
              </w:tc>
              <w:tc>
                <w:tcPr>
                  <w:tcW w:w="2191" w:type="pct"/>
                  <w:noWrap w:val="0"/>
                  <w:vAlign w:val="center"/>
                </w:tcPr>
                <w:p w14:paraId="763C5D85">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新增工业废水直排建设项目（槽罐车外送污水处理厂的除外）；新增废水直排的污水集中处理厂</w:t>
                  </w:r>
                </w:p>
              </w:tc>
              <w:tc>
                <w:tcPr>
                  <w:tcW w:w="1494" w:type="pct"/>
                  <w:noWrap w:val="0"/>
                  <w:vAlign w:val="center"/>
                </w:tcPr>
                <w:p w14:paraId="5FA19B8F">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eastAsia="zh-CN"/>
                    </w:rPr>
                    <w:t>运营期</w:t>
                  </w:r>
                  <w:r>
                    <w:rPr>
                      <w:rFonts w:hint="eastAsia" w:cs="Times New Roman"/>
                      <w:color w:val="auto"/>
                      <w:sz w:val="21"/>
                      <w:szCs w:val="21"/>
                      <w:u w:val="none"/>
                      <w:vertAlign w:val="baseline"/>
                      <w:lang w:val="en-US" w:eastAsia="zh-CN"/>
                    </w:rPr>
                    <w:t>生产废水为冷却水循环使用不外排</w:t>
                  </w:r>
                  <w:r>
                    <w:rPr>
                      <w:rFonts w:hint="default" w:ascii="Times New Roman" w:hAnsi="Times New Roman" w:eastAsia="宋体" w:cs="Times New Roman"/>
                      <w:color w:val="auto"/>
                      <w:sz w:val="21"/>
                      <w:szCs w:val="21"/>
                      <w:u w:val="none"/>
                      <w:vertAlign w:val="baseline"/>
                      <w:lang w:eastAsia="zh-CN"/>
                    </w:rPr>
                    <w:t>，生活污水经化粪池预处理后，排入</w:t>
                  </w:r>
                  <w:r>
                    <w:rPr>
                      <w:rFonts w:hint="default" w:ascii="Times New Roman" w:hAnsi="Times New Roman" w:eastAsia="宋体" w:cs="Times New Roman"/>
                      <w:color w:val="auto"/>
                      <w:sz w:val="21"/>
                      <w:szCs w:val="21"/>
                      <w:highlight w:val="none"/>
                      <w:u w:val="none"/>
                      <w:vertAlign w:val="baseline"/>
                      <w:lang w:eastAsia="zh-CN"/>
                    </w:rPr>
                    <w:t>市政污水管网纳入福清市</w:t>
                  </w:r>
                  <w:r>
                    <w:rPr>
                      <w:rFonts w:hint="eastAsia" w:cs="Times New Roman"/>
                      <w:color w:val="auto"/>
                      <w:sz w:val="21"/>
                      <w:szCs w:val="21"/>
                      <w:highlight w:val="none"/>
                      <w:u w:val="none"/>
                      <w:vertAlign w:val="baseline"/>
                      <w:lang w:val="en-US" w:eastAsia="zh-CN"/>
                    </w:rPr>
                    <w:t>融元</w:t>
                  </w:r>
                  <w:r>
                    <w:rPr>
                      <w:rFonts w:hint="default" w:ascii="Times New Roman" w:hAnsi="Times New Roman" w:eastAsia="宋体" w:cs="Times New Roman"/>
                      <w:color w:val="auto"/>
                      <w:sz w:val="21"/>
                      <w:szCs w:val="21"/>
                      <w:highlight w:val="none"/>
                      <w:u w:val="none"/>
                      <w:vertAlign w:val="baseline"/>
                      <w:lang w:eastAsia="zh-CN"/>
                    </w:rPr>
                    <w:t>污水处理厂</w:t>
                  </w:r>
                </w:p>
              </w:tc>
              <w:tc>
                <w:tcPr>
                  <w:tcW w:w="570" w:type="pct"/>
                  <w:tcBorders>
                    <w:right w:val="nil"/>
                  </w:tcBorders>
                  <w:noWrap w:val="0"/>
                  <w:vAlign w:val="center"/>
                </w:tcPr>
                <w:p w14:paraId="3A491ECE">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r w14:paraId="6D75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743" w:type="pct"/>
                  <w:tcBorders>
                    <w:left w:val="nil"/>
                  </w:tcBorders>
                  <w:noWrap w:val="0"/>
                  <w:vAlign w:val="center"/>
                </w:tcPr>
                <w:p w14:paraId="6E7BD2BC">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环境风险</w:t>
                  </w:r>
                </w:p>
              </w:tc>
              <w:tc>
                <w:tcPr>
                  <w:tcW w:w="2191" w:type="pct"/>
                  <w:noWrap w:val="0"/>
                  <w:vAlign w:val="center"/>
                </w:tcPr>
                <w:p w14:paraId="79E2036C">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有毒有害和易燃易爆危险物质存储量超过临界量的建设项目</w:t>
                  </w:r>
                </w:p>
              </w:tc>
              <w:tc>
                <w:tcPr>
                  <w:tcW w:w="1494" w:type="pct"/>
                  <w:noWrap w:val="0"/>
                  <w:vAlign w:val="center"/>
                </w:tcPr>
                <w:p w14:paraId="378C31C3">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本项目</w:t>
                  </w:r>
                  <w:r>
                    <w:rPr>
                      <w:rFonts w:hint="eastAsia" w:cs="Times New Roman"/>
                      <w:color w:val="auto"/>
                      <w:sz w:val="21"/>
                      <w:szCs w:val="21"/>
                      <w:u w:val="none"/>
                      <w:vertAlign w:val="baseline"/>
                      <w:lang w:eastAsia="zh-CN"/>
                    </w:rPr>
                    <w:t>涉及</w:t>
                  </w:r>
                  <w:r>
                    <w:rPr>
                      <w:rFonts w:hint="default" w:ascii="Times New Roman" w:hAnsi="Times New Roman" w:eastAsia="宋体" w:cs="Times New Roman"/>
                      <w:color w:val="auto"/>
                      <w:sz w:val="21"/>
                      <w:szCs w:val="21"/>
                      <w:u w:val="none"/>
                      <w:vertAlign w:val="baseline"/>
                      <w:lang w:eastAsia="zh-CN"/>
                    </w:rPr>
                    <w:t>危险物质为</w:t>
                  </w:r>
                  <w:r>
                    <w:rPr>
                      <w:rFonts w:hint="eastAsia" w:ascii="Times New Roman" w:hAnsi="Times New Roman" w:eastAsia="宋体" w:cs="Times New Roman"/>
                      <w:color w:val="auto"/>
                      <w:sz w:val="21"/>
                      <w:szCs w:val="21"/>
                      <w:u w:val="none"/>
                      <w:vertAlign w:val="baseline"/>
                      <w:lang w:eastAsia="zh-CN"/>
                    </w:rPr>
                    <w:t>油类物质</w:t>
                  </w:r>
                  <w:r>
                    <w:rPr>
                      <w:rFonts w:hint="default" w:ascii="Times New Roman" w:hAnsi="Times New Roman" w:eastAsia="宋体" w:cs="Times New Roman"/>
                      <w:color w:val="auto"/>
                      <w:sz w:val="21"/>
                      <w:szCs w:val="21"/>
                      <w:u w:val="none"/>
                      <w:vertAlign w:val="baseline"/>
                      <w:lang w:eastAsia="zh-CN"/>
                    </w:rPr>
                    <w:t>，储量未超过临界量</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lang w:val="en-US" w:eastAsia="zh-CN"/>
                    </w:rPr>
                    <w:t>Q＜1。</w:t>
                  </w:r>
                </w:p>
              </w:tc>
              <w:tc>
                <w:tcPr>
                  <w:tcW w:w="570" w:type="pct"/>
                  <w:tcBorders>
                    <w:right w:val="nil"/>
                  </w:tcBorders>
                  <w:noWrap w:val="0"/>
                  <w:vAlign w:val="center"/>
                </w:tcPr>
                <w:p w14:paraId="4563453E">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r w14:paraId="20AD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tcBorders>
                    <w:left w:val="nil"/>
                  </w:tcBorders>
                  <w:noWrap w:val="0"/>
                  <w:vAlign w:val="center"/>
                </w:tcPr>
                <w:p w14:paraId="2263208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生态</w:t>
                  </w:r>
                </w:p>
              </w:tc>
              <w:tc>
                <w:tcPr>
                  <w:tcW w:w="2191" w:type="pct"/>
                  <w:noWrap w:val="0"/>
                  <w:vAlign w:val="center"/>
                </w:tcPr>
                <w:p w14:paraId="41FA77A0">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取水口下游500米范围内有重要水生生物的自然产卵场、索饵场、越冬场和洄游通道的新增河道取水的污染类建设项目</w:t>
                  </w:r>
                </w:p>
              </w:tc>
              <w:tc>
                <w:tcPr>
                  <w:tcW w:w="1494" w:type="pct"/>
                  <w:noWrap w:val="0"/>
                  <w:vAlign w:val="center"/>
                </w:tcPr>
                <w:p w14:paraId="146EEB24">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本项目不涉及</w:t>
                  </w:r>
                </w:p>
              </w:tc>
              <w:tc>
                <w:tcPr>
                  <w:tcW w:w="570" w:type="pct"/>
                  <w:tcBorders>
                    <w:right w:val="nil"/>
                  </w:tcBorders>
                  <w:noWrap w:val="0"/>
                  <w:vAlign w:val="center"/>
                </w:tcPr>
                <w:p w14:paraId="16A6114A">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r w14:paraId="5E6C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tcBorders>
                    <w:left w:val="nil"/>
                    <w:bottom w:val="single" w:color="auto" w:sz="12" w:space="0"/>
                  </w:tcBorders>
                  <w:noWrap w:val="0"/>
                  <w:vAlign w:val="center"/>
                </w:tcPr>
                <w:p w14:paraId="7DE1E70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海洋</w:t>
                  </w:r>
                </w:p>
              </w:tc>
              <w:tc>
                <w:tcPr>
                  <w:tcW w:w="2191" w:type="pct"/>
                  <w:tcBorders>
                    <w:bottom w:val="single" w:color="auto" w:sz="12" w:space="0"/>
                  </w:tcBorders>
                  <w:noWrap w:val="0"/>
                  <w:vAlign w:val="center"/>
                </w:tcPr>
                <w:p w14:paraId="409958A2">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直接向海排放污染物的海洋工程建设项目</w:t>
                  </w:r>
                </w:p>
              </w:tc>
              <w:tc>
                <w:tcPr>
                  <w:tcW w:w="1494" w:type="pct"/>
                  <w:tcBorders>
                    <w:bottom w:val="single" w:color="auto" w:sz="12" w:space="0"/>
                  </w:tcBorders>
                  <w:noWrap w:val="0"/>
                  <w:vAlign w:val="center"/>
                </w:tcPr>
                <w:p w14:paraId="66AEBB73">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本项目不涉及</w:t>
                  </w:r>
                </w:p>
              </w:tc>
              <w:tc>
                <w:tcPr>
                  <w:tcW w:w="570" w:type="pct"/>
                  <w:tcBorders>
                    <w:bottom w:val="single" w:color="auto" w:sz="12" w:space="0"/>
                    <w:right w:val="nil"/>
                  </w:tcBorders>
                  <w:noWrap w:val="0"/>
                  <w:vAlign w:val="center"/>
                </w:tcPr>
                <w:p w14:paraId="0C31697B">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bl>
          <w:p w14:paraId="70628EC3">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lang w:eastAsia="zh-CN"/>
              </w:rPr>
            </w:pPr>
            <w:r>
              <w:rPr>
                <w:rFonts w:hint="default" w:ascii="Times New Roman" w:hAnsi="Times New Roman" w:eastAsia="宋体" w:cs="Times New Roman"/>
                <w:color w:val="auto"/>
                <w:sz w:val="24"/>
                <w:szCs w:val="24"/>
              </w:rPr>
              <w:t>经判定，本项目</w:t>
            </w:r>
            <w:r>
              <w:rPr>
                <w:rFonts w:hint="eastAsia" w:cs="Times New Roman"/>
                <w:color w:val="auto"/>
                <w:sz w:val="24"/>
                <w:szCs w:val="24"/>
                <w:lang w:eastAsia="zh-CN"/>
              </w:rPr>
              <w:t>无须设置</w:t>
            </w:r>
            <w:r>
              <w:rPr>
                <w:rFonts w:hint="default" w:ascii="Times New Roman" w:hAnsi="Times New Roman" w:eastAsia="宋体" w:cs="Times New Roman"/>
                <w:color w:val="auto"/>
                <w:sz w:val="24"/>
                <w:szCs w:val="24"/>
              </w:rPr>
              <w:t>专项评价。</w:t>
            </w:r>
          </w:p>
        </w:tc>
      </w:tr>
      <w:tr w14:paraId="37341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34" w:type="pct"/>
            <w:noWrap w:val="0"/>
            <w:vAlign w:val="center"/>
          </w:tcPr>
          <w:p w14:paraId="5D08C3D3">
            <w:pPr>
              <w:keepLines w:val="0"/>
              <w:pageBreakBefore w:val="0"/>
              <w:wordWrap/>
              <w:topLinePunct w:val="0"/>
              <w:autoSpaceDE w:val="0"/>
              <w:autoSpaceDN w:val="0"/>
              <w:bidi w:val="0"/>
              <w:adjustRightInd w:val="0"/>
              <w:snapToGrid w:val="0"/>
              <w:spacing w:line="360" w:lineRule="auto"/>
              <w:ind w:left="0" w:right="0" w:firstLine="0" w:firstLineChars="0"/>
              <w:jc w:val="left"/>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sz w:val="24"/>
                <w:szCs w:val="24"/>
                <w:u w:val="none"/>
              </w:rPr>
              <w:t>规划情况</w:t>
            </w:r>
          </w:p>
        </w:tc>
        <w:tc>
          <w:tcPr>
            <w:tcW w:w="4565" w:type="pct"/>
            <w:gridSpan w:val="5"/>
            <w:noWrap w:val="0"/>
            <w:vAlign w:val="center"/>
          </w:tcPr>
          <w:p w14:paraId="6E7D7B42">
            <w:pPr>
              <w:keepLines w:val="0"/>
              <w:pageBreakBefore w:val="0"/>
              <w:widowControl/>
              <w:wordWrap/>
              <w:topLinePunct w:val="0"/>
              <w:autoSpaceDE/>
              <w:autoSpaceDN/>
              <w:bidi w:val="0"/>
              <w:adjustRightInd/>
              <w:snapToGrid/>
              <w:spacing w:line="360" w:lineRule="auto"/>
              <w:ind w:left="0" w:right="0" w:firstLine="0" w:firstLineChars="0"/>
              <w:jc w:val="left"/>
              <w:rPr>
                <w:rFonts w:hint="eastAsia" w:ascii="Times New Roman" w:hAnsi="Times New Roman" w:eastAsia="宋体" w:cs="Times New Roman"/>
                <w:b/>
                <w:bCs/>
                <w:color w:val="auto"/>
                <w:kern w:val="0"/>
                <w:sz w:val="24"/>
                <w:szCs w:val="24"/>
                <w:u w:val="none"/>
                <w:lang w:eastAsia="zh-CN"/>
              </w:rPr>
            </w:pPr>
            <w:r>
              <w:rPr>
                <w:rFonts w:hint="eastAsia" w:cs="Times New Roman"/>
                <w:b/>
                <w:bCs/>
                <w:color w:val="auto"/>
                <w:kern w:val="0"/>
                <w:sz w:val="24"/>
                <w:szCs w:val="24"/>
                <w:u w:val="none"/>
                <w:lang w:eastAsia="zh-CN"/>
              </w:rPr>
              <w:t>一、</w:t>
            </w:r>
            <w:r>
              <w:rPr>
                <w:rFonts w:hint="default" w:ascii="Times New Roman" w:hAnsi="Times New Roman" w:eastAsia="宋体" w:cs="Times New Roman"/>
                <w:b/>
                <w:bCs/>
                <w:color w:val="auto"/>
                <w:kern w:val="0"/>
                <w:sz w:val="24"/>
                <w:szCs w:val="24"/>
                <w:u w:val="none"/>
                <w:lang w:val="en-US" w:eastAsia="zh-CN" w:bidi="ar"/>
              </w:rPr>
              <w:t>《福清融侨经济技术开发区总体规划</w:t>
            </w:r>
            <w:r>
              <w:rPr>
                <w:rFonts w:hint="eastAsia" w:cs="Times New Roman"/>
                <w:b/>
                <w:bCs/>
                <w:color w:val="auto"/>
                <w:kern w:val="0"/>
                <w:sz w:val="24"/>
                <w:szCs w:val="24"/>
                <w:u w:val="none"/>
                <w:lang w:val="en-US" w:eastAsia="zh-CN" w:bidi="ar"/>
              </w:rPr>
              <w:t>（</w:t>
            </w:r>
            <w:r>
              <w:rPr>
                <w:rFonts w:hint="default" w:ascii="Times New Roman" w:hAnsi="Times New Roman" w:eastAsia="宋体" w:cs="Times New Roman"/>
                <w:b/>
                <w:bCs/>
                <w:color w:val="auto"/>
                <w:kern w:val="0"/>
                <w:sz w:val="24"/>
                <w:szCs w:val="24"/>
                <w:u w:val="none"/>
                <w:lang w:val="en-US" w:eastAsia="zh-CN" w:bidi="ar"/>
              </w:rPr>
              <w:t>2018-2035年</w:t>
            </w:r>
            <w:r>
              <w:rPr>
                <w:rFonts w:hint="eastAsia" w:cs="Times New Roman"/>
                <w:b/>
                <w:bCs/>
                <w:color w:val="auto"/>
                <w:kern w:val="0"/>
                <w:sz w:val="24"/>
                <w:szCs w:val="24"/>
                <w:u w:val="none"/>
                <w:lang w:val="en-US" w:eastAsia="zh-CN" w:bidi="ar"/>
              </w:rPr>
              <w:t>）</w:t>
            </w:r>
            <w:r>
              <w:rPr>
                <w:rFonts w:hint="default" w:ascii="Times New Roman" w:hAnsi="Times New Roman" w:eastAsia="宋体" w:cs="Times New Roman"/>
                <w:b/>
                <w:bCs/>
                <w:color w:val="auto"/>
                <w:kern w:val="0"/>
                <w:sz w:val="24"/>
                <w:szCs w:val="24"/>
                <w:u w:val="none"/>
                <w:lang w:val="en-US" w:eastAsia="zh-CN" w:bidi="ar"/>
              </w:rPr>
              <w:t>》</w:t>
            </w:r>
          </w:p>
          <w:p w14:paraId="70DBC43D">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bCs w:val="0"/>
                <w:color w:val="auto"/>
                <w:kern w:val="0"/>
                <w:sz w:val="24"/>
                <w:szCs w:val="24"/>
                <w:u w:val="none"/>
              </w:rPr>
              <w:t>①</w:t>
            </w:r>
            <w:r>
              <w:rPr>
                <w:rFonts w:hint="default" w:ascii="Times New Roman" w:hAnsi="Times New Roman" w:eastAsia="宋体" w:cs="Times New Roman"/>
                <w:b w:val="0"/>
                <w:color w:val="auto"/>
                <w:kern w:val="0"/>
                <w:sz w:val="24"/>
                <w:szCs w:val="24"/>
                <w:u w:val="none"/>
                <w:lang w:val="en-US" w:eastAsia="zh-CN" w:bidi="ar"/>
              </w:rPr>
              <w:t>规划名称：《福清融侨经济技术开发区总体规划</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2018-2035年</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w:t>
            </w:r>
          </w:p>
          <w:p w14:paraId="0322A3FA">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②审批机关：福清市人民政府</w:t>
            </w:r>
          </w:p>
          <w:p w14:paraId="75459391">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③审批文件名称及文号：《福清市人民政府关于同意融侨经济技术开发区总体规划</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2018-2035年</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编制范围的批复》</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融政综〔2019〕189号</w:t>
            </w:r>
            <w:r>
              <w:rPr>
                <w:rFonts w:hint="eastAsia" w:cs="Times New Roman"/>
                <w:b w:val="0"/>
                <w:color w:val="auto"/>
                <w:kern w:val="0"/>
                <w:sz w:val="24"/>
                <w:szCs w:val="24"/>
                <w:u w:val="none"/>
                <w:lang w:val="en-US" w:eastAsia="zh-CN" w:bidi="ar"/>
              </w:rPr>
              <w:t>）</w:t>
            </w:r>
          </w:p>
          <w:p w14:paraId="1DF796F5">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bCs/>
                <w:color w:val="auto"/>
                <w:kern w:val="0"/>
                <w:sz w:val="24"/>
                <w:szCs w:val="24"/>
                <w:u w:val="none"/>
                <w:lang w:val="en-US" w:eastAsia="zh-CN" w:bidi="ar"/>
              </w:rPr>
            </w:pPr>
            <w:r>
              <w:rPr>
                <w:rFonts w:hint="eastAsia" w:ascii="Times New Roman" w:hAnsi="Times New Roman" w:eastAsia="宋体" w:cs="Times New Roman"/>
                <w:b/>
                <w:bCs/>
                <w:color w:val="auto"/>
                <w:kern w:val="0"/>
                <w:sz w:val="24"/>
                <w:szCs w:val="24"/>
                <w:u w:val="none"/>
                <w:lang w:val="en-US" w:eastAsia="zh-CN" w:bidi="ar"/>
              </w:rPr>
              <w:t>二、</w:t>
            </w:r>
            <w:r>
              <w:rPr>
                <w:rFonts w:hint="default" w:ascii="Times New Roman" w:hAnsi="Times New Roman" w:eastAsia="宋体" w:cs="Times New Roman"/>
                <w:b/>
                <w:bCs/>
                <w:color w:val="auto"/>
                <w:kern w:val="0"/>
                <w:sz w:val="24"/>
                <w:szCs w:val="24"/>
                <w:u w:val="none"/>
                <w:lang w:val="en-US" w:eastAsia="zh-CN" w:bidi="ar"/>
              </w:rPr>
              <w:t>《福清市国土空间总体规划（2021—2035年）》</w:t>
            </w:r>
          </w:p>
          <w:p w14:paraId="5F65746C">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eastAsia" w:ascii="Times New Roman" w:hAnsi="Times New Roman" w:eastAsia="宋体" w:cs="Times New Roman"/>
                <w:b w:val="0"/>
                <w:color w:val="auto"/>
                <w:kern w:val="0"/>
                <w:sz w:val="24"/>
                <w:szCs w:val="24"/>
                <w:u w:val="none"/>
                <w:lang w:val="en-US" w:eastAsia="zh-CN" w:bidi="ar"/>
              </w:rPr>
              <w:t>①规划名称：</w:t>
            </w:r>
            <w:r>
              <w:rPr>
                <w:rFonts w:hint="default" w:ascii="Times New Roman" w:hAnsi="Times New Roman" w:eastAsia="宋体" w:cs="Times New Roman"/>
                <w:b w:val="0"/>
                <w:color w:val="auto"/>
                <w:kern w:val="0"/>
                <w:sz w:val="24"/>
                <w:szCs w:val="24"/>
                <w:u w:val="none"/>
                <w:lang w:val="en-US" w:eastAsia="zh-CN" w:bidi="ar"/>
              </w:rPr>
              <w:t>《福清市国土空间总体规划（2021—2035年）》</w:t>
            </w:r>
            <w:r>
              <w:rPr>
                <w:rFonts w:hint="eastAsia" w:ascii="Times New Roman" w:hAnsi="Times New Roman" w:eastAsia="宋体" w:cs="Times New Roman"/>
                <w:b w:val="0"/>
                <w:color w:val="auto"/>
                <w:kern w:val="0"/>
                <w:sz w:val="24"/>
                <w:szCs w:val="24"/>
                <w:u w:val="none"/>
                <w:lang w:val="en-US" w:eastAsia="zh-CN" w:bidi="ar"/>
              </w:rPr>
              <w:t>；</w:t>
            </w:r>
          </w:p>
          <w:p w14:paraId="6FDE4DC7">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eastAsia" w:ascii="Times New Roman" w:hAnsi="Times New Roman" w:eastAsia="宋体" w:cs="Times New Roman"/>
                <w:b w:val="0"/>
                <w:color w:val="auto"/>
                <w:kern w:val="0"/>
                <w:sz w:val="24"/>
                <w:szCs w:val="24"/>
                <w:u w:val="none"/>
                <w:lang w:val="en-US" w:eastAsia="zh-CN" w:bidi="ar"/>
              </w:rPr>
              <w:t>②</w:t>
            </w:r>
            <w:r>
              <w:rPr>
                <w:rFonts w:hint="default" w:ascii="Times New Roman" w:hAnsi="Times New Roman" w:eastAsia="宋体" w:cs="Times New Roman"/>
                <w:b w:val="0"/>
                <w:color w:val="auto"/>
                <w:kern w:val="0"/>
                <w:sz w:val="24"/>
                <w:szCs w:val="24"/>
                <w:u w:val="none"/>
                <w:lang w:val="en-US" w:eastAsia="zh-CN" w:bidi="ar"/>
              </w:rPr>
              <w:t>审批机关：福建省人民政府</w:t>
            </w:r>
            <w:r>
              <w:rPr>
                <w:rFonts w:hint="eastAsia" w:ascii="Times New Roman" w:hAnsi="Times New Roman" w:eastAsia="宋体" w:cs="Times New Roman"/>
                <w:b w:val="0"/>
                <w:color w:val="auto"/>
                <w:kern w:val="0"/>
                <w:sz w:val="24"/>
                <w:szCs w:val="24"/>
                <w:u w:val="none"/>
                <w:lang w:val="en-US" w:eastAsia="zh-CN" w:bidi="ar"/>
              </w:rPr>
              <w:t>；</w:t>
            </w:r>
          </w:p>
          <w:p w14:paraId="01431FF7">
            <w:pPr>
              <w:keepLines w:val="0"/>
              <w:pageBreakBefore w:val="0"/>
              <w:widowControl/>
              <w:wordWrap/>
              <w:topLinePunct w:val="0"/>
              <w:autoSpaceDE/>
              <w:autoSpaceDN/>
              <w:bidi w:val="0"/>
              <w:adjustRightInd/>
              <w:snapToGrid/>
              <w:spacing w:line="360" w:lineRule="auto"/>
              <w:ind w:left="0" w:right="0" w:firstLine="0" w:firstLineChars="0"/>
              <w:jc w:val="left"/>
              <w:rPr>
                <w:rFonts w:hint="default"/>
              </w:rPr>
            </w:pPr>
            <w:r>
              <w:rPr>
                <w:rFonts w:hint="eastAsia" w:ascii="Times New Roman" w:hAnsi="Times New Roman" w:eastAsia="宋体" w:cs="Times New Roman"/>
                <w:b w:val="0"/>
                <w:color w:val="auto"/>
                <w:kern w:val="0"/>
                <w:sz w:val="24"/>
                <w:szCs w:val="24"/>
                <w:u w:val="none"/>
                <w:lang w:val="en-US" w:eastAsia="zh-CN" w:bidi="ar"/>
              </w:rPr>
              <w:t>③</w:t>
            </w:r>
            <w:r>
              <w:rPr>
                <w:rFonts w:hint="default" w:ascii="Times New Roman" w:hAnsi="Times New Roman" w:eastAsia="宋体" w:cs="Times New Roman"/>
                <w:b w:val="0"/>
                <w:color w:val="auto"/>
                <w:kern w:val="0"/>
                <w:sz w:val="24"/>
                <w:szCs w:val="24"/>
                <w:u w:val="none"/>
                <w:lang w:val="en-US" w:eastAsia="zh-CN" w:bidi="ar"/>
              </w:rPr>
              <w:t>审批文件名称及文号：福建省人民政府关于福州市所辖6个县（市）国土空间总体规划（2021—2035年）的批复</w:t>
            </w:r>
            <w:r>
              <w:rPr>
                <w:rFonts w:hint="eastAsia" w:ascii="Times New Roman" w:hAnsi="Times New Roman" w:eastAsia="宋体"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闽政文〔2024〕420号</w:t>
            </w:r>
            <w:r>
              <w:rPr>
                <w:rFonts w:hint="eastAsia" w:ascii="Times New Roman" w:hAnsi="Times New Roman" w:eastAsia="宋体" w:cs="Times New Roman"/>
                <w:b w:val="0"/>
                <w:color w:val="auto"/>
                <w:kern w:val="0"/>
                <w:sz w:val="24"/>
                <w:szCs w:val="24"/>
                <w:u w:val="none"/>
                <w:lang w:val="en-US" w:eastAsia="zh-CN" w:bidi="ar"/>
              </w:rPr>
              <w:t>）</w:t>
            </w:r>
          </w:p>
        </w:tc>
      </w:tr>
      <w:tr w14:paraId="29E314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 w:type="pct"/>
            <w:noWrap w:val="0"/>
            <w:vAlign w:val="center"/>
          </w:tcPr>
          <w:p w14:paraId="262C458F">
            <w:pPr>
              <w:keepLines w:val="0"/>
              <w:pageBreakBefore w:val="0"/>
              <w:wordWrap/>
              <w:topLinePunct w:val="0"/>
              <w:bidi w:val="0"/>
              <w:adjustRightInd w:val="0"/>
              <w:snapToGrid w:val="0"/>
              <w:spacing w:line="360" w:lineRule="auto"/>
              <w:ind w:left="0" w:right="0" w:firstLine="0" w:firstLineChars="0"/>
              <w:jc w:val="left"/>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规划环境影响</w:t>
            </w:r>
          </w:p>
          <w:p w14:paraId="3A1D439D">
            <w:pPr>
              <w:keepLines w:val="0"/>
              <w:pageBreakBefore w:val="0"/>
              <w:wordWrap/>
              <w:topLinePunct w:val="0"/>
              <w:bidi w:val="0"/>
              <w:adjustRightInd w:val="0"/>
              <w:snapToGrid w:val="0"/>
              <w:spacing w:line="360" w:lineRule="auto"/>
              <w:ind w:left="0" w:right="0" w:firstLine="0" w:firstLineChars="0"/>
              <w:jc w:val="left"/>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sz w:val="24"/>
                <w:szCs w:val="24"/>
                <w:u w:val="none"/>
              </w:rPr>
              <w:t>评价情况</w:t>
            </w:r>
          </w:p>
        </w:tc>
        <w:tc>
          <w:tcPr>
            <w:tcW w:w="4565" w:type="pct"/>
            <w:gridSpan w:val="5"/>
            <w:noWrap w:val="0"/>
            <w:vAlign w:val="center"/>
          </w:tcPr>
          <w:p w14:paraId="2CE72AC8">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bCs w:val="0"/>
                <w:color w:val="auto"/>
                <w:kern w:val="0"/>
                <w:sz w:val="24"/>
                <w:szCs w:val="24"/>
                <w:u w:val="none"/>
              </w:rPr>
              <w:t>①</w:t>
            </w:r>
            <w:r>
              <w:rPr>
                <w:rFonts w:hint="default" w:ascii="Times New Roman" w:hAnsi="Times New Roman" w:eastAsia="宋体" w:cs="Times New Roman"/>
                <w:b w:val="0"/>
                <w:color w:val="auto"/>
                <w:kern w:val="0"/>
                <w:sz w:val="24"/>
                <w:szCs w:val="24"/>
                <w:u w:val="none"/>
                <w:lang w:val="en-US" w:eastAsia="zh-CN" w:bidi="ar"/>
              </w:rPr>
              <w:t>文件名称：福清融侨经济技术开发区总体规划（2018-2035年）环境影响报告书</w:t>
            </w:r>
          </w:p>
          <w:p w14:paraId="642994F9">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②审查机关：</w:t>
            </w:r>
            <w:r>
              <w:rPr>
                <w:rFonts w:hint="eastAsia" w:cs="Times New Roman"/>
                <w:b w:val="0"/>
                <w:color w:val="auto"/>
                <w:kern w:val="0"/>
                <w:sz w:val="24"/>
                <w:szCs w:val="24"/>
                <w:u w:val="none"/>
                <w:lang w:val="en-US" w:eastAsia="zh-CN" w:bidi="ar"/>
              </w:rPr>
              <w:t>中华人民共和国</w:t>
            </w:r>
            <w:r>
              <w:rPr>
                <w:rFonts w:hint="default" w:ascii="Times New Roman" w:hAnsi="Times New Roman" w:eastAsia="宋体" w:cs="Times New Roman"/>
                <w:b w:val="0"/>
                <w:color w:val="auto"/>
                <w:kern w:val="0"/>
                <w:sz w:val="24"/>
                <w:szCs w:val="24"/>
                <w:u w:val="none"/>
                <w:lang w:val="en-US" w:eastAsia="zh-CN" w:bidi="ar"/>
              </w:rPr>
              <w:t>生态环境部</w:t>
            </w:r>
          </w:p>
          <w:p w14:paraId="00BB9773">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color w:val="auto"/>
                <w:kern w:val="0"/>
                <w:sz w:val="24"/>
                <w:szCs w:val="24"/>
                <w:u w:val="none"/>
                <w:lang w:eastAsia="zh-CN"/>
              </w:rPr>
            </w:pPr>
            <w:r>
              <w:rPr>
                <w:rFonts w:hint="default" w:ascii="Times New Roman" w:hAnsi="Times New Roman" w:eastAsia="宋体" w:cs="Times New Roman"/>
                <w:b w:val="0"/>
                <w:color w:val="auto"/>
                <w:kern w:val="0"/>
                <w:sz w:val="24"/>
                <w:szCs w:val="24"/>
                <w:u w:val="none"/>
                <w:lang w:val="en-US" w:eastAsia="zh-CN" w:bidi="ar"/>
              </w:rPr>
              <w:t>③</w:t>
            </w:r>
            <w:r>
              <w:rPr>
                <w:rFonts w:hint="default" w:ascii="Times New Roman" w:hAnsi="Times New Roman" w:eastAsia="宋体" w:cs="Times New Roman"/>
                <w:color w:val="auto"/>
                <w:kern w:val="0"/>
                <w:sz w:val="24"/>
                <w:szCs w:val="24"/>
                <w:u w:val="none"/>
                <w:lang w:val="en-US" w:eastAsia="zh-CN" w:bidi="ar"/>
              </w:rPr>
              <w:t>审批文件名称及文号：关于《</w:t>
            </w:r>
            <w:r>
              <w:rPr>
                <w:rFonts w:hint="default" w:ascii="Times New Roman" w:hAnsi="Times New Roman" w:eastAsia="宋体" w:cs="Times New Roman"/>
                <w:b w:val="0"/>
                <w:color w:val="auto"/>
                <w:kern w:val="0"/>
                <w:sz w:val="24"/>
                <w:szCs w:val="24"/>
                <w:u w:val="none"/>
                <w:lang w:val="en-US" w:eastAsia="zh-CN" w:bidi="ar"/>
              </w:rPr>
              <w:t>福清融侨经济技术开发区总体规划（2018-2035 年）环境影响报告书</w:t>
            </w:r>
            <w:r>
              <w:rPr>
                <w:rFonts w:hint="default" w:ascii="Times New Roman" w:hAnsi="Times New Roman" w:eastAsia="宋体" w:cs="Times New Roman"/>
                <w:color w:val="auto"/>
                <w:kern w:val="0"/>
                <w:sz w:val="24"/>
                <w:szCs w:val="24"/>
                <w:u w:val="none"/>
                <w:lang w:val="en-US" w:eastAsia="zh-CN" w:bidi="ar"/>
              </w:rPr>
              <w:t>》的审查意见</w:t>
            </w:r>
            <w:r>
              <w:rPr>
                <w:rFonts w:hint="eastAsia" w:cs="Times New Roman"/>
                <w:color w:val="auto"/>
                <w:kern w:val="0"/>
                <w:sz w:val="24"/>
                <w:szCs w:val="24"/>
                <w:u w:val="none"/>
                <w:lang w:val="en-US" w:eastAsia="zh-CN" w:bidi="ar"/>
              </w:rPr>
              <w:t>（</w:t>
            </w:r>
            <w:r>
              <w:rPr>
                <w:rFonts w:hint="default" w:ascii="Times New Roman" w:hAnsi="Times New Roman" w:eastAsia="宋体" w:cs="Times New Roman"/>
                <w:color w:val="auto"/>
                <w:kern w:val="0"/>
                <w:sz w:val="24"/>
                <w:szCs w:val="24"/>
                <w:u w:val="none"/>
                <w:lang w:val="en-US" w:eastAsia="zh-CN" w:bidi="ar"/>
              </w:rPr>
              <w:t>环审</w:t>
            </w:r>
            <w:r>
              <w:rPr>
                <w:rFonts w:hint="eastAsia" w:cs="Times New Roman"/>
                <w:color w:val="auto"/>
                <w:kern w:val="0"/>
                <w:sz w:val="24"/>
                <w:szCs w:val="24"/>
                <w:u w:val="none"/>
                <w:lang w:val="en-US" w:eastAsia="zh-CN" w:bidi="ar"/>
              </w:rPr>
              <w:t>〔2020〕80号）</w:t>
            </w:r>
          </w:p>
        </w:tc>
      </w:tr>
      <w:tr w14:paraId="67918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 w:type="pct"/>
            <w:noWrap w:val="0"/>
            <w:vAlign w:val="center"/>
          </w:tcPr>
          <w:p w14:paraId="537EFE01">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规划及规划环境影响评价符合性分析</w:t>
            </w:r>
          </w:p>
        </w:tc>
        <w:tc>
          <w:tcPr>
            <w:tcW w:w="4565" w:type="pct"/>
            <w:gridSpan w:val="5"/>
            <w:noWrap w:val="0"/>
            <w:vAlign w:val="center"/>
          </w:tcPr>
          <w:p w14:paraId="65622624">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rPr>
                <w:rFonts w:hint="default" w:ascii="Times New Roman" w:hAnsi="Times New Roman" w:eastAsia="宋体" w:cs="Times New Roman"/>
                <w:b/>
                <w:bCs/>
                <w:color w:val="auto"/>
                <w:sz w:val="24"/>
                <w:szCs w:val="24"/>
                <w:u w:val="none"/>
                <w:lang w:val="en-US" w:eastAsia="zh-CN"/>
              </w:rPr>
            </w:pPr>
            <w:r>
              <w:rPr>
                <w:rFonts w:hint="eastAsia" w:cs="Times New Roman"/>
                <w:color w:val="auto"/>
                <w:sz w:val="24"/>
                <w:szCs w:val="24"/>
                <w:highlight w:val="none"/>
                <w:u w:val="none"/>
                <w:lang w:val="en-US" w:eastAsia="zh-CN"/>
              </w:rPr>
              <w:t>一</w:t>
            </w:r>
            <w:r>
              <w:rPr>
                <w:rFonts w:hint="default" w:ascii="Times New Roman" w:hAnsi="Times New Roman" w:eastAsia="宋体" w:cs="Times New Roman"/>
                <w:color w:val="auto"/>
                <w:sz w:val="24"/>
                <w:szCs w:val="24"/>
                <w:highlight w:val="none"/>
                <w:u w:val="none"/>
                <w:lang w:val="en-US" w:eastAsia="zh-CN"/>
              </w:rPr>
              <w:t>、</w:t>
            </w:r>
            <w:r>
              <w:rPr>
                <w:rFonts w:hint="default" w:ascii="Times New Roman" w:hAnsi="Times New Roman" w:eastAsia="宋体" w:cs="Times New Roman"/>
                <w:b/>
                <w:bCs/>
                <w:color w:val="auto"/>
                <w:sz w:val="24"/>
                <w:szCs w:val="24"/>
                <w:u w:val="none"/>
                <w:lang w:val="en-US" w:eastAsia="zh-CN"/>
              </w:rPr>
              <w:t>与《福清融侨经济技术开发区总体规划</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2018-2035年</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》符合性分析</w:t>
            </w:r>
          </w:p>
          <w:p w14:paraId="7A5EBA12">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b w:val="0"/>
                <w:bCs w:val="0"/>
                <w:i w:val="0"/>
                <w:iCs w:val="0"/>
                <w:color w:val="auto"/>
                <w:sz w:val="24"/>
                <w:szCs w:val="24"/>
                <w:u w:val="none"/>
                <w:lang w:val="en-US" w:eastAsia="zh-CN"/>
              </w:rPr>
            </w:pPr>
            <w:r>
              <w:rPr>
                <w:rFonts w:hint="default" w:ascii="Times New Roman" w:hAnsi="Times New Roman" w:eastAsia="宋体" w:cs="Times New Roman"/>
                <w:color w:val="auto"/>
                <w:sz w:val="24"/>
                <w:szCs w:val="24"/>
                <w:highlight w:val="none"/>
                <w:u w:val="none"/>
                <w:lang w:val="en-US" w:eastAsia="zh-CN"/>
              </w:rPr>
              <w:t>根据总体规划内容可知，开发区</w:t>
            </w:r>
            <w:r>
              <w:rPr>
                <w:rFonts w:hint="default" w:ascii="Times New Roman" w:hAnsi="Times New Roman" w:eastAsia="宋体" w:cs="Times New Roman"/>
                <w:color w:val="auto"/>
                <w:sz w:val="24"/>
                <w:szCs w:val="24"/>
                <w:u w:val="none"/>
                <w:lang w:val="en-US" w:eastAsia="zh-CN"/>
              </w:rPr>
              <w:t>为理顺与中心城区的发展关系，建立健全</w:t>
            </w:r>
            <w:r>
              <w:rPr>
                <w:rFonts w:hint="eastAsia"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多规合一</w:t>
            </w:r>
            <w:r>
              <w:rPr>
                <w:rFonts w:hint="eastAsia"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体制机制，突出开发区核心产业优势，强调龙头企业引领，通过</w:t>
            </w:r>
            <w:r>
              <w:rPr>
                <w:rFonts w:hint="eastAsia"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组团式</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布局，着力营造融侨经济技术开发区</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现代生态开发区</w:t>
            </w:r>
            <w:r>
              <w:rPr>
                <w:rFonts w:hint="default" w:ascii="宋体" w:hAnsi="宋体" w:eastAsia="宋体" w:cs="宋体"/>
                <w:color w:val="auto"/>
                <w:sz w:val="24"/>
                <w:szCs w:val="24"/>
                <w:u w:val="none"/>
                <w:lang w:val="en-US" w:eastAsia="zh-CN"/>
              </w:rPr>
              <w:t>”的</w:t>
            </w:r>
            <w:r>
              <w:rPr>
                <w:rFonts w:hint="default" w:ascii="Times New Roman" w:hAnsi="Times New Roman" w:eastAsia="宋体" w:cs="Times New Roman"/>
                <w:color w:val="auto"/>
                <w:sz w:val="24"/>
                <w:szCs w:val="24"/>
                <w:u w:val="none"/>
                <w:lang w:val="en-US" w:eastAsia="zh-CN"/>
              </w:rPr>
              <w:t>空间特色，规划整体形成</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一区三园多组团</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的空间结构。</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一区</w:t>
            </w:r>
            <w:r>
              <w:rPr>
                <w:rFonts w:hint="default" w:ascii="宋体" w:hAnsi="宋体" w:eastAsia="宋体" w:cs="宋体"/>
                <w:color w:val="auto"/>
                <w:sz w:val="24"/>
                <w:szCs w:val="24"/>
                <w:u w:val="none"/>
                <w:lang w:val="en-US" w:eastAsia="zh-CN"/>
              </w:rPr>
              <w:t>”</w:t>
            </w:r>
            <w:r>
              <w:rPr>
                <w:rFonts w:hint="eastAsia" w:cs="Times New Roman"/>
                <w:color w:val="auto"/>
                <w:sz w:val="24"/>
                <w:szCs w:val="24"/>
                <w:u w:val="none"/>
                <w:lang w:val="en-US" w:eastAsia="zh-CN"/>
              </w:rPr>
              <w:t>即</w:t>
            </w:r>
            <w:r>
              <w:rPr>
                <w:rFonts w:hint="default" w:ascii="Times New Roman" w:hAnsi="Times New Roman" w:eastAsia="宋体" w:cs="Times New Roman"/>
                <w:color w:val="auto"/>
                <w:sz w:val="24"/>
                <w:szCs w:val="24"/>
                <w:u w:val="none"/>
                <w:lang w:val="en-US" w:eastAsia="zh-CN"/>
              </w:rPr>
              <w:t>融侨经济技术开发区。利用国家级开发区品牌，充分释放</w:t>
            </w:r>
            <w:r>
              <w:rPr>
                <w:rFonts w:hint="default" w:ascii="宋体" w:hAnsi="宋体" w:eastAsia="宋体" w:cs="宋体"/>
                <w:color w:val="auto"/>
                <w:sz w:val="24"/>
                <w:szCs w:val="24"/>
                <w:u w:val="none"/>
                <w:lang w:val="en-US" w:eastAsia="zh-CN"/>
              </w:rPr>
              <w:t>“五区叠加、一区毗邻”政</w:t>
            </w:r>
            <w:r>
              <w:rPr>
                <w:rFonts w:hint="default" w:ascii="Times New Roman" w:hAnsi="Times New Roman" w:eastAsia="宋体" w:cs="Times New Roman"/>
                <w:color w:val="auto"/>
                <w:sz w:val="24"/>
                <w:szCs w:val="24"/>
                <w:u w:val="none"/>
                <w:lang w:val="en-US" w:eastAsia="zh-CN"/>
              </w:rPr>
              <w:t>策优势，以空间转型引领开发区的新一轮跨越发展。</w:t>
            </w:r>
            <w:r>
              <w:rPr>
                <w:rFonts w:hint="default" w:ascii="宋体" w:hAnsi="宋体" w:eastAsia="宋体" w:cs="宋体"/>
                <w:color w:val="auto"/>
                <w:sz w:val="24"/>
                <w:szCs w:val="24"/>
                <w:u w:val="none"/>
                <w:lang w:val="en-US" w:eastAsia="zh-CN"/>
              </w:rPr>
              <w:t>“三园”</w:t>
            </w:r>
            <w:r>
              <w:rPr>
                <w:rFonts w:hint="eastAsia" w:ascii="宋体" w:hAnsi="宋体" w:cs="宋体"/>
                <w:color w:val="auto"/>
                <w:sz w:val="24"/>
                <w:szCs w:val="24"/>
                <w:u w:val="none"/>
                <w:lang w:val="en-US" w:eastAsia="zh-CN"/>
              </w:rPr>
              <w:t>即</w:t>
            </w:r>
            <w:r>
              <w:rPr>
                <w:rFonts w:hint="default" w:ascii="Times New Roman" w:hAnsi="Times New Roman" w:eastAsia="宋体" w:cs="Times New Roman"/>
                <w:color w:val="auto"/>
                <w:sz w:val="24"/>
                <w:szCs w:val="24"/>
                <w:u w:val="none"/>
                <w:lang w:val="en-US" w:eastAsia="zh-CN"/>
              </w:rPr>
              <w:t>中心产业园、城北产业园和南部产业园。其中中心产业园：重点发展电子信息、精密汽车部件等产业，配套创新研发、文化会展、商务金融、经贸交流等具有高附加值的现代服务业功能，打造成为开发区内电子信息、先进制造业核心产业基地，</w:t>
            </w:r>
            <w:r>
              <w:rPr>
                <w:rFonts w:hint="default" w:ascii="宋体" w:hAnsi="宋体" w:eastAsia="宋体" w:cs="宋体"/>
                <w:color w:val="auto"/>
                <w:sz w:val="24"/>
                <w:szCs w:val="24"/>
                <w:u w:val="none"/>
                <w:lang w:val="en-US" w:eastAsia="zh-CN"/>
              </w:rPr>
              <w:t>“双创”平</w:t>
            </w:r>
            <w:r>
              <w:rPr>
                <w:rFonts w:hint="default" w:ascii="Times New Roman" w:hAnsi="Times New Roman" w:eastAsia="宋体" w:cs="Times New Roman"/>
                <w:color w:val="auto"/>
                <w:sz w:val="24"/>
                <w:szCs w:val="24"/>
                <w:u w:val="none"/>
                <w:lang w:val="en-US" w:eastAsia="zh-CN"/>
              </w:rPr>
              <w:t>台、现代服务业建设核心区，形成福清市极具影响力、辐射力和竞争力的大福</w:t>
            </w:r>
            <w:r>
              <w:rPr>
                <w:rFonts w:hint="default" w:ascii="宋体" w:hAnsi="宋体" w:eastAsia="宋体" w:cs="宋体"/>
                <w:color w:val="auto"/>
                <w:sz w:val="24"/>
                <w:szCs w:val="24"/>
                <w:u w:val="none"/>
                <w:lang w:val="en-US" w:eastAsia="zh-CN"/>
              </w:rPr>
              <w:t>清“副中心”。</w:t>
            </w:r>
            <w:r>
              <w:rPr>
                <w:rFonts w:hint="default" w:ascii="Times New Roman" w:hAnsi="Times New Roman" w:eastAsia="宋体" w:cs="Times New Roman"/>
                <w:b w:val="0"/>
                <w:bCs w:val="0"/>
                <w:i w:val="0"/>
                <w:iCs w:val="0"/>
                <w:color w:val="auto"/>
                <w:sz w:val="24"/>
                <w:szCs w:val="24"/>
                <w:u w:val="none"/>
                <w:lang w:val="en-US" w:eastAsia="zh-CN"/>
              </w:rPr>
              <w:t>城北产业园：依托京东方等电子信息龙头企业优势，以电子信息、光学、机械电气为主导</w:t>
            </w:r>
            <w:r>
              <w:rPr>
                <w:rFonts w:hint="eastAsia" w:cs="Times New Roman"/>
                <w:b w:val="0"/>
                <w:bCs w:val="0"/>
                <w:i w:val="0"/>
                <w:iCs w:val="0"/>
                <w:color w:val="auto"/>
                <w:sz w:val="24"/>
                <w:szCs w:val="24"/>
                <w:u w:val="none"/>
                <w:lang w:val="en-US" w:eastAsia="zh-CN"/>
              </w:rPr>
              <w:t>，以</w:t>
            </w:r>
            <w:r>
              <w:rPr>
                <w:rFonts w:hint="default" w:ascii="Times New Roman" w:hAnsi="Times New Roman" w:eastAsia="宋体" w:cs="Times New Roman"/>
                <w:b w:val="0"/>
                <w:bCs w:val="0"/>
                <w:i w:val="0"/>
                <w:iCs w:val="0"/>
                <w:color w:val="auto"/>
                <w:sz w:val="24"/>
                <w:szCs w:val="24"/>
                <w:u w:val="none"/>
                <w:lang w:val="en-US" w:eastAsia="zh-CN"/>
              </w:rPr>
              <w:t>科技研发为支撑，突出转型升级、创新驱动、品牌带动和对台合作，建成高聚集效应、高技术水平、高带动力的高端科技创新产业园。南部产业园：依托龙头企业的强劲动力，以及沈海高速、324国道的交通区位，重点发展与电子信息、精密汽车部件、光学相关配套上下游产业，通过校企联合、企业自主创新等方式推动园区内产业转型升级。</w:t>
            </w:r>
          </w:p>
          <w:p w14:paraId="7B4B7DF7">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本规划分为核心区和协调区2个层次。其中：</w:t>
            </w:r>
          </w:p>
          <w:p w14:paraId="15B76371">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en-US" w:eastAsia="zh-CN"/>
              </w:rPr>
              <w:t>核心区</w:t>
            </w:r>
            <w:r>
              <w:rPr>
                <w:rFonts w:hint="eastAsia" w:cs="Times New Roman"/>
                <w:color w:val="auto"/>
                <w:sz w:val="24"/>
                <w:szCs w:val="24"/>
                <w:highlight w:val="none"/>
                <w:u w:val="none"/>
                <w:lang w:val="en-US" w:eastAsia="zh-CN"/>
              </w:rPr>
              <w:t>即</w:t>
            </w:r>
            <w:r>
              <w:rPr>
                <w:rFonts w:hint="default" w:ascii="Times New Roman" w:hAnsi="Times New Roman" w:eastAsia="宋体" w:cs="Times New Roman"/>
                <w:color w:val="auto"/>
                <w:sz w:val="24"/>
                <w:szCs w:val="24"/>
                <w:highlight w:val="none"/>
                <w:u w:val="none"/>
                <w:lang w:val="en-US" w:eastAsia="zh-CN"/>
              </w:rPr>
              <w:t>国家批复的融侨经济技术开发区范围。土地面积9.19平方公里，其中宏路中心区6.4平方公里，洪宽工业村2.79平方公里。</w:t>
            </w:r>
          </w:p>
          <w:p w14:paraId="6D23D746">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协调区：考虑到开发区与福清城区一体化发展，结合开发区委托代管范围</w:t>
            </w:r>
            <w:r>
              <w:rPr>
                <w:rFonts w:hint="eastAsia" w:cs="Times New Roman"/>
                <w:color w:val="auto"/>
                <w:sz w:val="24"/>
                <w:szCs w:val="24"/>
                <w:highlight w:val="none"/>
                <w:u w:val="none"/>
                <w:lang w:val="en-US" w:eastAsia="zh-CN"/>
              </w:rPr>
              <w:t>，以</w:t>
            </w:r>
            <w:r>
              <w:rPr>
                <w:rFonts w:hint="default" w:ascii="Times New Roman" w:hAnsi="Times New Roman" w:eastAsia="宋体" w:cs="Times New Roman"/>
                <w:color w:val="auto"/>
                <w:sz w:val="24"/>
                <w:szCs w:val="24"/>
                <w:highlight w:val="none"/>
                <w:u w:val="none"/>
                <w:lang w:val="en-US" w:eastAsia="zh-CN"/>
              </w:rPr>
              <w:t>规划《福清市城市总体规划（2017-2035）》为依据，进一步将规划范围向外围扩展。协调区西至福厦高速，东依福长高速，北邻作坊村，南靠纵一路环线，土地面积53.2平方公里。本规划深度按协调区进行控制。</w:t>
            </w:r>
          </w:p>
          <w:p w14:paraId="1AB30ABB">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根据《福清融侨经济技术开发区总体规划</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2018-2035年</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》的</w:t>
            </w:r>
            <w:r>
              <w:rPr>
                <w:rFonts w:hint="eastAsia" w:ascii="宋体" w:hAnsi="宋体" w:eastAsia="宋体" w:cs="宋体"/>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产业发展-第二十二条构建</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3+1</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的产业体系：</w:t>
            </w:r>
          </w:p>
          <w:p w14:paraId="2F619DF4">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en-US" w:eastAsia="zh-CN"/>
              </w:rPr>
              <w:t>三大支柱产业</w:t>
            </w:r>
          </w:p>
          <w:p w14:paraId="65912A7A">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电子信息产业：显示科技、云计算、电子元器件、光电科技、计算机与智能终端设备等。</w:t>
            </w:r>
          </w:p>
          <w:p w14:paraId="4717DADF">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精密汽车部件产业：汽车电气电子装置、动力传动装置、汽车轴承、新能源动力电池等。</w:t>
            </w:r>
          </w:p>
          <w:p w14:paraId="51564D5E">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光学产业：光学部件、光通讯技术、电子光学、虚拟现实装置等。</w:t>
            </w:r>
          </w:p>
          <w:p w14:paraId="5F349741">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在三大支柱产业基础之上，完善与其相关的配套产业。</w:t>
            </w:r>
          </w:p>
          <w:p w14:paraId="16C01BF3">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一项新兴产业</w:t>
            </w:r>
          </w:p>
          <w:p w14:paraId="5EDCA27A">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现代服务业：金融商务、总部经济、科技研发、文化创意、物流展销都市型产业与服务型制造业。</w:t>
            </w:r>
          </w:p>
          <w:p w14:paraId="2E921780">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本项目位于</w:t>
            </w:r>
            <w:r>
              <w:rPr>
                <w:rFonts w:hint="eastAsia" w:ascii="Times New Roman" w:hAnsi="Times New Roman" w:eastAsia="宋体" w:cs="Times New Roman"/>
                <w:color w:val="auto"/>
                <w:sz w:val="24"/>
                <w:szCs w:val="24"/>
                <w:highlight w:val="none"/>
                <w:u w:val="none"/>
                <w:lang w:val="en-US" w:eastAsia="zh-CN"/>
              </w:rPr>
              <w:t>福建省福州市福清市阳下街道上亭村</w:t>
            </w:r>
            <w:r>
              <w:rPr>
                <w:rFonts w:hint="default" w:ascii="Times New Roman" w:hAnsi="Times New Roman" w:eastAsia="宋体" w:cs="Times New Roman"/>
                <w:color w:val="auto"/>
                <w:sz w:val="24"/>
                <w:szCs w:val="24"/>
                <w:highlight w:val="none"/>
                <w:u w:val="none"/>
                <w:lang w:val="en-US" w:eastAsia="zh-CN"/>
              </w:rPr>
              <w:t>（</w:t>
            </w:r>
            <w:r>
              <w:rPr>
                <w:rFonts w:hint="eastAsia" w:cs="Times New Roman"/>
                <w:color w:val="auto"/>
                <w:sz w:val="24"/>
                <w:szCs w:val="24"/>
                <w:highlight w:val="none"/>
                <w:u w:val="none"/>
                <w:lang w:val="en-US" w:eastAsia="zh-CN"/>
              </w:rPr>
              <w:t>购置均和云谷·福清科技港31栋厂房1-4层）</w:t>
            </w:r>
            <w:r>
              <w:rPr>
                <w:rFonts w:hint="default" w:ascii="Times New Roman" w:hAnsi="Times New Roman" w:eastAsia="宋体" w:cs="Times New Roman"/>
                <w:color w:val="auto"/>
                <w:sz w:val="24"/>
                <w:szCs w:val="24"/>
                <w:highlight w:val="none"/>
                <w:u w:val="none"/>
                <w:lang w:val="en-US" w:eastAsia="zh-CN"/>
              </w:rPr>
              <w:t>，《关于</w:t>
            </w:r>
            <w:r>
              <w:rPr>
                <w:rFonts w:hint="eastAsia" w:ascii="Times New Roman" w:hAnsi="Times New Roman" w:cs="Times New Roman"/>
                <w:color w:val="auto"/>
                <w:sz w:val="24"/>
                <w:szCs w:val="24"/>
                <w:highlight w:val="none"/>
                <w:u w:val="none"/>
                <w:lang w:val="en-US" w:eastAsia="zh-CN"/>
              </w:rPr>
              <w:t>均和云谷</w:t>
            </w:r>
            <w:r>
              <w:rPr>
                <w:rFonts w:hint="eastAsia" w:ascii="Times New Roman" w:hAnsi="Times New Roman" w:eastAsia="宋体" w:cs="Times New Roman"/>
                <w:color w:val="auto"/>
                <w:sz w:val="24"/>
                <w:szCs w:val="24"/>
                <w:highlight w:val="none"/>
                <w:u w:val="none"/>
                <w:lang w:val="en-US" w:eastAsia="zh-CN"/>
              </w:rPr>
              <w:t>·福清科技港</w:t>
            </w:r>
            <w:r>
              <w:rPr>
                <w:rFonts w:hint="eastAsia" w:ascii="Times New Roman" w:hAnsi="Times New Roman" w:cs="Times New Roman"/>
                <w:color w:val="auto"/>
                <w:sz w:val="24"/>
                <w:szCs w:val="24"/>
                <w:highlight w:val="none"/>
                <w:u w:val="none"/>
                <w:lang w:val="en-US" w:eastAsia="zh-CN"/>
              </w:rPr>
              <w:t>入园企业申请办理环评手续的函</w:t>
            </w:r>
            <w:r>
              <w:rPr>
                <w:rFonts w:hint="default" w:ascii="Times New Roman" w:hAnsi="Times New Roman" w:eastAsia="宋体" w:cs="Times New Roman"/>
                <w:color w:val="auto"/>
                <w:sz w:val="24"/>
                <w:szCs w:val="24"/>
                <w:highlight w:val="none"/>
                <w:u w:val="none"/>
                <w:lang w:val="en-US" w:eastAsia="zh-CN"/>
              </w:rPr>
              <w:t>》：</w:t>
            </w:r>
            <w:r>
              <w:rPr>
                <w:rFonts w:hint="eastAsia" w:ascii="Times New Roman" w:hAnsi="Times New Roman" w:cs="Times New Roman"/>
                <w:color w:val="auto"/>
                <w:sz w:val="24"/>
                <w:szCs w:val="24"/>
                <w:highlight w:val="none"/>
                <w:u w:val="none"/>
                <w:lang w:val="en-US" w:eastAsia="zh-CN"/>
              </w:rPr>
              <w:t>“均和云谷</w:t>
            </w:r>
            <w:r>
              <w:rPr>
                <w:rFonts w:hint="eastAsia" w:ascii="Times New Roman" w:hAnsi="Times New Roman" w:eastAsia="宋体" w:cs="Times New Roman"/>
                <w:color w:val="auto"/>
                <w:sz w:val="24"/>
                <w:szCs w:val="24"/>
                <w:highlight w:val="none"/>
                <w:u w:val="none"/>
                <w:lang w:val="en-US" w:eastAsia="zh-CN"/>
              </w:rPr>
              <w:t>·福清科技港</w:t>
            </w:r>
            <w:r>
              <w:rPr>
                <w:rFonts w:hint="eastAsia" w:ascii="Times New Roman" w:hAnsi="Times New Roman" w:cs="Times New Roman"/>
                <w:color w:val="auto"/>
                <w:sz w:val="24"/>
                <w:szCs w:val="24"/>
                <w:highlight w:val="none"/>
                <w:u w:val="none"/>
                <w:lang w:val="en-US" w:eastAsia="zh-CN"/>
              </w:rPr>
              <w:t>项目占地面积143.9亩，总建筑面积157370.99m</w:t>
            </w:r>
            <w:r>
              <w:rPr>
                <w:rFonts w:hint="eastAsia" w:ascii="Times New Roman" w:hAnsi="Times New Roman" w:cs="Times New Roman"/>
                <w:color w:val="auto"/>
                <w:sz w:val="24"/>
                <w:szCs w:val="24"/>
                <w:highlight w:val="none"/>
                <w:u w:val="none"/>
                <w:vertAlign w:val="superscript"/>
                <w:lang w:val="en-US" w:eastAsia="zh-CN"/>
              </w:rPr>
              <w:t>2</w:t>
            </w:r>
            <w:r>
              <w:rPr>
                <w:rFonts w:hint="eastAsia" w:ascii="Times New Roman" w:hAnsi="Times New Roman" w:cs="Times New Roman"/>
                <w:color w:val="auto"/>
                <w:sz w:val="24"/>
                <w:szCs w:val="24"/>
                <w:highlight w:val="none"/>
                <w:u w:val="none"/>
                <w:lang w:val="en-US" w:eastAsia="zh-CN"/>
              </w:rPr>
              <w:t>，共建设40栋标准厂房及1栋综合配套。目前，福州创文贸易有限公司、福州创文五金制品有限公司、福建亚中欧贸易有限公司、福建融永拓新材料有限公司、福州大火牛新材料科技有限公司、</w:t>
            </w:r>
            <w:r>
              <w:rPr>
                <w:rFonts w:hint="eastAsia" w:ascii="Times New Roman" w:hAnsi="Times New Roman" w:cs="Times New Roman"/>
                <w:b/>
                <w:bCs/>
                <w:color w:val="auto"/>
                <w:sz w:val="24"/>
                <w:szCs w:val="24"/>
                <w:highlight w:val="none"/>
                <w:u w:val="none"/>
                <w:lang w:val="en-US" w:eastAsia="zh-CN"/>
              </w:rPr>
              <w:t>福清大松模具有限公司</w:t>
            </w:r>
            <w:r>
              <w:rPr>
                <w:rFonts w:hint="eastAsia" w:ascii="Times New Roman" w:hAnsi="Times New Roman" w:cs="Times New Roman"/>
                <w:color w:val="auto"/>
                <w:sz w:val="24"/>
                <w:szCs w:val="24"/>
                <w:highlight w:val="none"/>
                <w:u w:val="none"/>
                <w:lang w:val="en-US" w:eastAsia="zh-CN"/>
              </w:rPr>
              <w:t>、福建多盈新材料科技有限公司等7家企业已经我委审核把关同意入园，并签订投资合同”。（详见</w:t>
            </w:r>
            <w:r>
              <w:rPr>
                <w:rFonts w:hint="eastAsia" w:ascii="Times New Roman" w:hAnsi="Times New Roman" w:cs="Times New Roman"/>
                <w:b/>
                <w:bCs/>
                <w:color w:val="auto"/>
                <w:sz w:val="24"/>
                <w:szCs w:val="24"/>
                <w:highlight w:val="none"/>
                <w:u w:val="none"/>
                <w:lang w:val="en-US" w:eastAsia="zh-CN"/>
              </w:rPr>
              <w:t>附件</w:t>
            </w:r>
            <w:r>
              <w:rPr>
                <w:rFonts w:hint="eastAsia" w:cs="Times New Roman"/>
                <w:b/>
                <w:bCs/>
                <w:color w:val="auto"/>
                <w:sz w:val="24"/>
                <w:szCs w:val="24"/>
                <w:highlight w:val="none"/>
                <w:u w:val="none"/>
                <w:lang w:val="en-US" w:eastAsia="zh-CN"/>
              </w:rPr>
              <w:t>六</w:t>
            </w:r>
            <w:r>
              <w:rPr>
                <w:rFonts w:hint="eastAsia" w:ascii="Times New Roman" w:hAnsi="Times New Roman" w:cs="Times New Roman"/>
                <w:color w:val="auto"/>
                <w:sz w:val="24"/>
                <w:szCs w:val="24"/>
                <w:highlight w:val="none"/>
                <w:u w:val="none"/>
                <w:lang w:val="en-US" w:eastAsia="zh-CN"/>
              </w:rPr>
              <w:t>：</w:t>
            </w:r>
            <w:r>
              <w:rPr>
                <w:rFonts w:hint="eastAsia" w:cs="Times New Roman"/>
                <w:color w:val="auto"/>
                <w:sz w:val="24"/>
                <w:szCs w:val="24"/>
                <w:highlight w:val="none"/>
                <w:u w:val="none"/>
                <w:lang w:val="en-US" w:eastAsia="zh-CN"/>
              </w:rPr>
              <w:t>入园</w:t>
            </w:r>
            <w:r>
              <w:rPr>
                <w:rFonts w:hint="eastAsia" w:ascii="Times New Roman" w:hAnsi="Times New Roman" w:cs="Times New Roman"/>
                <w:color w:val="auto"/>
                <w:sz w:val="24"/>
                <w:szCs w:val="24"/>
                <w:highlight w:val="none"/>
                <w:u w:val="none"/>
                <w:lang w:val="en-US" w:eastAsia="zh-CN"/>
              </w:rPr>
              <w:t>申请办理环评手续函）“</w:t>
            </w:r>
            <w:r>
              <w:rPr>
                <w:rFonts w:hint="default" w:ascii="Times New Roman" w:hAnsi="Times New Roman" w:eastAsia="宋体" w:cs="Times New Roman"/>
                <w:color w:val="auto"/>
                <w:sz w:val="24"/>
                <w:szCs w:val="24"/>
                <w:highlight w:val="none"/>
                <w:u w:val="none"/>
                <w:lang w:val="en-US" w:eastAsia="zh-CN"/>
              </w:rPr>
              <w:t>工业企业准入产业为电子信息、精密汽车部件、光学三大产业</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。本项目产品为汽车塑料配件加工制</w:t>
            </w:r>
            <w:r>
              <w:rPr>
                <w:rFonts w:hint="default" w:ascii="Times New Roman" w:hAnsi="Times New Roman" w:eastAsia="宋体" w:cs="Times New Roman"/>
                <w:b w:val="0"/>
                <w:bCs w:val="0"/>
                <w:color w:val="auto"/>
                <w:sz w:val="24"/>
                <w:szCs w:val="24"/>
                <w:highlight w:val="none"/>
                <w:u w:val="none"/>
                <w:lang w:val="en-US" w:eastAsia="zh-CN"/>
              </w:rPr>
              <w:t>造，主要为福清融侨经济技术开发区内的各大企业提供汽车配件加工供应服务，国民经济代码为C2929塑料零件及其他</w:t>
            </w:r>
            <w:r>
              <w:rPr>
                <w:rFonts w:hint="eastAsia" w:cs="Times New Roman"/>
                <w:b w:val="0"/>
                <w:bCs w:val="0"/>
                <w:color w:val="auto"/>
                <w:sz w:val="24"/>
                <w:szCs w:val="24"/>
                <w:highlight w:val="none"/>
                <w:u w:val="none"/>
                <w:lang w:val="en-US" w:eastAsia="zh-CN"/>
              </w:rPr>
              <w:t>塑料制品业</w:t>
            </w:r>
            <w:r>
              <w:rPr>
                <w:rFonts w:hint="default" w:ascii="Times New Roman" w:hAnsi="Times New Roman" w:eastAsia="宋体" w:cs="Times New Roman"/>
                <w:b w:val="0"/>
                <w:bCs w:val="0"/>
                <w:color w:val="auto"/>
                <w:sz w:val="24"/>
                <w:szCs w:val="24"/>
                <w:highlight w:val="none"/>
                <w:u w:val="none"/>
                <w:lang w:val="en-US" w:eastAsia="zh-CN"/>
              </w:rPr>
              <w:t>、</w:t>
            </w:r>
            <w:r>
              <w:rPr>
                <w:rFonts w:hint="default" w:ascii="Times New Roman" w:hAnsi="Times New Roman" w:eastAsia="宋体" w:cs="Times New Roman"/>
                <w:color w:val="auto"/>
                <w:sz w:val="24"/>
                <w:szCs w:val="24"/>
                <w:u w:val="none"/>
                <w:lang w:val="en-US" w:eastAsia="zh-CN"/>
              </w:rPr>
              <w:t>C3670汽车零部件及配件制造</w:t>
            </w:r>
            <w:r>
              <w:rPr>
                <w:rFonts w:hint="default" w:ascii="Times New Roman" w:hAnsi="Times New Roman" w:eastAsia="宋体" w:cs="Times New Roman"/>
                <w:b w:val="0"/>
                <w:bCs w:val="0"/>
                <w:color w:val="auto"/>
                <w:sz w:val="24"/>
                <w:szCs w:val="24"/>
                <w:highlight w:val="none"/>
                <w:u w:val="none"/>
                <w:lang w:val="en-US" w:eastAsia="zh-CN"/>
              </w:rPr>
              <w:t>，项目涉及的行业（汽车配件、塑料配件）均属于规划区主导行业</w:t>
            </w:r>
            <w:r>
              <w:rPr>
                <w:rFonts w:hint="eastAsia"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C29和C36</w:t>
            </w:r>
            <w:r>
              <w:rPr>
                <w:rFonts w:hint="eastAsia"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。因此，项目建设符合</w:t>
            </w:r>
            <w:r>
              <w:rPr>
                <w:rFonts w:hint="default" w:ascii="Times New Roman" w:hAnsi="Times New Roman" w:eastAsia="宋体" w:cs="Times New Roman"/>
                <w:b w:val="0"/>
                <w:bCs w:val="0"/>
                <w:color w:val="auto"/>
                <w:sz w:val="24"/>
                <w:szCs w:val="24"/>
                <w:highlight w:val="none"/>
                <w:u w:val="none"/>
                <w:lang w:val="en-GB" w:eastAsia="zh-CN"/>
              </w:rPr>
              <w:t>该园区规划政策。</w:t>
            </w:r>
            <w:r>
              <w:rPr>
                <w:rFonts w:hint="default" w:ascii="Times New Roman" w:hAnsi="Times New Roman" w:eastAsia="宋体" w:cs="Times New Roman"/>
                <w:b w:val="0"/>
                <w:bCs w:val="0"/>
                <w:color w:val="auto"/>
                <w:sz w:val="24"/>
                <w:szCs w:val="24"/>
                <w:highlight w:val="none"/>
                <w:u w:val="none"/>
                <w:lang w:val="en-US" w:eastAsia="zh-CN"/>
              </w:rPr>
              <w:t>因此项目的建设符合《福清融侨经济技术开发区总体规划</w:t>
            </w:r>
            <w:r>
              <w:rPr>
                <w:rFonts w:hint="eastAsia"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2018-2035年</w:t>
            </w:r>
            <w:r>
              <w:rPr>
                <w:rFonts w:hint="eastAsia"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》有关要求。</w:t>
            </w:r>
          </w:p>
          <w:p w14:paraId="37713105">
            <w:pPr>
              <w:pStyle w:val="29"/>
              <w:keepNext w:val="0"/>
              <w:keepLines w:val="0"/>
              <w:pageBreakBefore w:val="0"/>
              <w:numPr>
                <w:ilvl w:val="0"/>
                <w:numId w:val="2"/>
              </w:numPr>
              <w:kinsoku/>
              <w:wordWrap/>
              <w:overflowPunct/>
              <w:topLinePunct w:val="0"/>
              <w:autoSpaceDE/>
              <w:autoSpaceDN/>
              <w:bidi w:val="0"/>
              <w:spacing w:line="360" w:lineRule="auto"/>
              <w:ind w:left="0" w:leftChars="0" w:right="0" w:firstLine="0" w:firstLineChars="0"/>
              <w:jc w:val="left"/>
              <w:textAlignment w:val="auto"/>
              <w:rPr>
                <w:rFonts w:hint="default" w:ascii="Times New Roman" w:hAnsi="Times New Roman" w:eastAsia="宋体" w:cs="Times New Roman"/>
                <w:b/>
                <w:bCs/>
                <w:color w:val="auto"/>
                <w:sz w:val="24"/>
                <w:szCs w:val="24"/>
                <w:u w:val="none"/>
                <w:lang w:val="en-US" w:eastAsia="zh-CN"/>
              </w:rPr>
            </w:pPr>
            <w:r>
              <w:rPr>
                <w:rFonts w:hint="eastAsia" w:cs="Times New Roman"/>
                <w:b/>
                <w:bCs/>
                <w:color w:val="auto"/>
                <w:sz w:val="24"/>
                <w:szCs w:val="24"/>
                <w:highlight w:val="none"/>
                <w:u w:val="none"/>
                <w:lang w:val="en-US" w:eastAsia="zh-CN"/>
              </w:rPr>
              <w:t>与</w:t>
            </w:r>
            <w:r>
              <w:rPr>
                <w:rFonts w:hint="default" w:ascii="Times New Roman" w:hAnsi="Times New Roman" w:eastAsia="宋体" w:cs="Times New Roman"/>
                <w:b/>
                <w:bCs/>
                <w:color w:val="auto"/>
                <w:sz w:val="24"/>
                <w:szCs w:val="24"/>
                <w:highlight w:val="none"/>
                <w:u w:val="none"/>
                <w:lang w:val="en-US" w:eastAsia="zh-CN"/>
              </w:rPr>
              <w:t>《福清市国土空间总体规划（2021—2035年）》</w:t>
            </w:r>
            <w:r>
              <w:rPr>
                <w:rFonts w:hint="eastAsia" w:cs="Times New Roman"/>
                <w:b/>
                <w:bCs/>
                <w:color w:val="auto"/>
                <w:sz w:val="24"/>
                <w:szCs w:val="24"/>
                <w:highlight w:val="none"/>
                <w:u w:val="none"/>
                <w:lang w:val="en-US" w:eastAsia="zh-CN"/>
              </w:rPr>
              <w:t>符合性分析</w:t>
            </w:r>
          </w:p>
          <w:p w14:paraId="76A290CA">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eastAsia"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根据总体规划内容可知，</w:t>
            </w:r>
            <w:r>
              <w:rPr>
                <w:rFonts w:hint="eastAsia" w:cs="Times New Roman"/>
                <w:color w:val="auto"/>
                <w:sz w:val="24"/>
                <w:szCs w:val="24"/>
                <w:highlight w:val="none"/>
                <w:u w:val="none"/>
                <w:lang w:val="en-US" w:eastAsia="zh-CN"/>
              </w:rPr>
              <w:t>规划“一轴两湾五组团”的国土空间格局，一轴“龙江城市综合发展轴”、两湾“福清湾生态宜居湾、江阴湾临港产业湾”、五组团“中心城区组团、元洪港组团、江阴港城组团、龙高半岛城镇组团、西北部特色生态组团”。坚持底线思维，以国土空间规划为依据，将“三区三线”作为调整经济结构、规划产业发展、推进城镇化不可逾越的红线。严格保护永久基本农田“按照一定时期人口和经济社会发展对农产品的需求，依据国土空间规划确定的不得擅自占用或改变用途的耕地”。科学划定生态保护红线“生态空间范围内具有特殊重要生态功能，必须强制性严格保护的陆域、水域、海域等区域”。合理划定城镇开发边界“一定时期内因城镇发展需要，可以集中进行城镇开发建设完善城镇功能、提升空间品质的区域边界”。五组团“城西组团、城北组团、城中组团、城关组团、东部新城组团”的中心城区空间结构，延续“沿江向海、环湾发展”的城市方向，以龙江为带动，推动沿江、向海、环湾有序建设、集约发展，打造具有滨江滨海特色的现代化城区。构建现代产业体系，壮大四大优势产业“电子信息、食品、化工新材料、精密汽车部件”、培养四大新兴产业“氢能源和新能源、高端装备制造、海洋生物医药、互联网与大数据产业”、提升两大传统产业“塑胶产业、纺织产业”、发展两大特色产业“现代服务业、现代农业”、培育千百亿产业集群“三大千亿产业集群+N个百亿项目集群”。</w:t>
            </w:r>
          </w:p>
          <w:p w14:paraId="0B388B1B">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eastAsia"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构建现代化产业体系“一带两湾四区”的产业发展格局，形成“四个重点产业园区、多个工业集中区”的产业园区空间布局，加快推进重点产业园区标准化建设，统筹划定工业用地控制线。四区主要为融城现代产业综合区“以电子信息、食品、总部经济、电子商务、文化创意为主”、西部生态产业区“以特色种植、文化旅游为主”、高龙特色产业区“以现代农业、休闲农业、滨海旅游为主”、江阴临港产业区“以化工新材料、现代物流、智能制造、海洋经济为主”。</w:t>
            </w:r>
          </w:p>
          <w:p w14:paraId="67F3F841">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本项目位于</w:t>
            </w:r>
            <w:r>
              <w:rPr>
                <w:rFonts w:hint="eastAsia" w:ascii="Times New Roman" w:hAnsi="Times New Roman" w:eastAsia="宋体" w:cs="Times New Roman"/>
                <w:color w:val="auto"/>
                <w:sz w:val="24"/>
                <w:szCs w:val="24"/>
                <w:highlight w:val="none"/>
                <w:u w:val="none"/>
                <w:lang w:val="en-US" w:eastAsia="zh-CN"/>
              </w:rPr>
              <w:t>福建省福州市福清市阳下街道上亭村</w:t>
            </w:r>
            <w:r>
              <w:rPr>
                <w:rFonts w:hint="default" w:ascii="Times New Roman" w:hAnsi="Times New Roman" w:eastAsia="宋体" w:cs="Times New Roman"/>
                <w:color w:val="auto"/>
                <w:sz w:val="24"/>
                <w:szCs w:val="24"/>
                <w:highlight w:val="none"/>
                <w:u w:val="none"/>
                <w:lang w:val="en-US" w:eastAsia="zh-CN"/>
              </w:rPr>
              <w:t>（</w:t>
            </w:r>
            <w:r>
              <w:rPr>
                <w:rFonts w:hint="eastAsia" w:cs="Times New Roman"/>
                <w:color w:val="auto"/>
                <w:sz w:val="24"/>
                <w:szCs w:val="24"/>
                <w:highlight w:val="none"/>
                <w:u w:val="none"/>
                <w:lang w:val="en-US" w:eastAsia="zh-CN"/>
              </w:rPr>
              <w:t>购置均和云谷·福清科技港31栋厂房1-4层）</w:t>
            </w:r>
            <w:r>
              <w:rPr>
                <w:rFonts w:hint="default" w:ascii="Times New Roman" w:hAnsi="Times New Roman" w:eastAsia="宋体" w:cs="Times New Roman"/>
                <w:color w:val="auto"/>
                <w:sz w:val="24"/>
                <w:szCs w:val="24"/>
                <w:highlight w:val="none"/>
                <w:u w:val="none"/>
                <w:lang w:val="en-US" w:eastAsia="zh-CN"/>
              </w:rPr>
              <w:t>，</w:t>
            </w:r>
            <w:r>
              <w:rPr>
                <w:rFonts w:hint="eastAsia" w:cs="Times New Roman"/>
                <w:color w:val="auto"/>
                <w:sz w:val="24"/>
                <w:szCs w:val="24"/>
                <w:highlight w:val="none"/>
                <w:u w:val="none"/>
                <w:lang w:val="en-US" w:eastAsia="zh-CN"/>
              </w:rPr>
              <w:t>位于城北组团。主要生产汽车塑料配件，属于精密汽车部件产业，符合规划中壮大四大优势产业规划。因此本项目符合</w:t>
            </w:r>
            <w:r>
              <w:rPr>
                <w:rFonts w:hint="default" w:cs="Times New Roman"/>
                <w:color w:val="auto"/>
                <w:sz w:val="24"/>
                <w:szCs w:val="24"/>
                <w:highlight w:val="none"/>
                <w:u w:val="none"/>
                <w:lang w:val="en-US" w:eastAsia="zh-CN"/>
              </w:rPr>
              <w:t>《福清市国土空间总体规划（2021—2035年）》</w:t>
            </w:r>
            <w:r>
              <w:rPr>
                <w:rFonts w:hint="eastAsia" w:cs="Times New Roman"/>
                <w:color w:val="auto"/>
                <w:sz w:val="24"/>
                <w:szCs w:val="24"/>
                <w:highlight w:val="none"/>
                <w:u w:val="none"/>
                <w:lang w:val="en-US" w:eastAsia="zh-CN"/>
              </w:rPr>
              <w:t>有关要求。</w:t>
            </w:r>
          </w:p>
          <w:p w14:paraId="4F063636">
            <w:pPr>
              <w:pStyle w:val="29"/>
              <w:keepNext w:val="0"/>
              <w:keepLines w:val="0"/>
              <w:pageBreakBefore w:val="0"/>
              <w:numPr>
                <w:ilvl w:val="0"/>
                <w:numId w:val="2"/>
              </w:numPr>
              <w:kinsoku/>
              <w:wordWrap/>
              <w:overflowPunct/>
              <w:topLinePunct w:val="0"/>
              <w:autoSpaceDE/>
              <w:autoSpaceDN/>
              <w:bidi w:val="0"/>
              <w:spacing w:line="360" w:lineRule="auto"/>
              <w:ind w:left="0" w:leftChars="0" w:right="0" w:firstLine="0" w:firstLineChars="0"/>
              <w:jc w:val="left"/>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与</w:t>
            </w:r>
            <w:r>
              <w:rPr>
                <w:rFonts w:hint="default" w:ascii="Times New Roman" w:hAnsi="Times New Roman" w:eastAsia="宋体" w:cs="Times New Roman"/>
                <w:b/>
                <w:bCs/>
                <w:color w:val="auto"/>
                <w:sz w:val="24"/>
                <w:szCs w:val="24"/>
                <w:highlight w:val="none"/>
                <w:u w:val="none"/>
                <w:lang w:val="en-US" w:eastAsia="zh-CN"/>
              </w:rPr>
              <w:t>《福清融侨经济技术开发区总体规划环境影响报告书（2018</w:t>
            </w:r>
            <w:r>
              <w:rPr>
                <w:rFonts w:hint="eastAsia" w:ascii="Times New Roman" w:hAnsi="Times New Roman" w:eastAsia="宋体" w:cs="Times New Roman"/>
                <w:b/>
                <w:bCs/>
                <w:color w:val="auto"/>
                <w:sz w:val="24"/>
                <w:szCs w:val="24"/>
                <w:highlight w:val="none"/>
                <w:u w:val="none"/>
                <w:lang w:val="en-US" w:eastAsia="zh-CN"/>
              </w:rPr>
              <w:t>—</w:t>
            </w:r>
            <w:r>
              <w:rPr>
                <w:rFonts w:hint="default" w:ascii="Times New Roman" w:hAnsi="Times New Roman" w:eastAsia="宋体" w:cs="Times New Roman"/>
                <w:b/>
                <w:bCs/>
                <w:color w:val="auto"/>
                <w:sz w:val="24"/>
                <w:szCs w:val="24"/>
                <w:highlight w:val="none"/>
                <w:u w:val="none"/>
                <w:lang w:val="en-US" w:eastAsia="zh-CN"/>
              </w:rPr>
              <w:t>2035年）》符合性分析</w:t>
            </w:r>
          </w:p>
          <w:p w14:paraId="7C6412D3">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highlight w:val="none"/>
                <w:u w:val="none"/>
                <w:lang w:val="en-US" w:eastAsia="zh-CN"/>
              </w:rPr>
              <w:t>本项目位于</w:t>
            </w:r>
            <w:r>
              <w:rPr>
                <w:rFonts w:hint="eastAsia" w:ascii="Times New Roman" w:hAnsi="Times New Roman" w:eastAsia="宋体" w:cs="Times New Roman"/>
                <w:color w:val="auto"/>
                <w:sz w:val="24"/>
                <w:szCs w:val="24"/>
                <w:highlight w:val="none"/>
                <w:u w:val="none"/>
                <w:lang w:val="en-US" w:eastAsia="zh-CN"/>
              </w:rPr>
              <w:t>福建省福州市福清市阳下街道上亭村</w:t>
            </w:r>
            <w:r>
              <w:rPr>
                <w:rFonts w:hint="default" w:ascii="Times New Roman" w:hAnsi="Times New Roman" w:eastAsia="宋体" w:cs="Times New Roman"/>
                <w:color w:val="auto"/>
                <w:sz w:val="24"/>
                <w:szCs w:val="24"/>
                <w:highlight w:val="none"/>
                <w:u w:val="none"/>
                <w:lang w:val="en-US" w:eastAsia="zh-CN"/>
              </w:rPr>
              <w:t>（</w:t>
            </w:r>
            <w:r>
              <w:rPr>
                <w:rFonts w:hint="eastAsia" w:cs="Times New Roman"/>
                <w:color w:val="auto"/>
                <w:sz w:val="24"/>
                <w:szCs w:val="24"/>
                <w:highlight w:val="none"/>
                <w:u w:val="none"/>
                <w:lang w:val="en-US" w:eastAsia="zh-CN"/>
              </w:rPr>
              <w:t>购置均和云谷·福清科技港31栋厂房1-4层）</w:t>
            </w:r>
            <w:r>
              <w:rPr>
                <w:rFonts w:hint="default" w:ascii="Times New Roman" w:hAnsi="Times New Roman" w:eastAsia="宋体" w:cs="Times New Roman"/>
                <w:color w:val="auto"/>
                <w:sz w:val="24"/>
                <w:szCs w:val="24"/>
                <w:highlight w:val="none"/>
                <w:u w:val="none"/>
                <w:lang w:val="en-US" w:eastAsia="zh-CN"/>
              </w:rPr>
              <w:t>，《关于</w:t>
            </w:r>
            <w:r>
              <w:rPr>
                <w:rFonts w:hint="eastAsia" w:ascii="Times New Roman" w:hAnsi="Times New Roman" w:cs="Times New Roman"/>
                <w:color w:val="auto"/>
                <w:sz w:val="24"/>
                <w:szCs w:val="24"/>
                <w:highlight w:val="none"/>
                <w:u w:val="none"/>
                <w:lang w:val="en-US" w:eastAsia="zh-CN"/>
              </w:rPr>
              <w:t>均和云谷</w:t>
            </w:r>
            <w:r>
              <w:rPr>
                <w:rFonts w:hint="eastAsia" w:ascii="Times New Roman" w:hAnsi="Times New Roman" w:eastAsia="宋体" w:cs="Times New Roman"/>
                <w:color w:val="auto"/>
                <w:sz w:val="24"/>
                <w:szCs w:val="24"/>
                <w:highlight w:val="none"/>
                <w:u w:val="none"/>
                <w:lang w:val="en-US" w:eastAsia="zh-CN"/>
              </w:rPr>
              <w:t>·福清科技港</w:t>
            </w:r>
            <w:r>
              <w:rPr>
                <w:rFonts w:hint="eastAsia" w:ascii="Times New Roman" w:hAnsi="Times New Roman" w:cs="Times New Roman"/>
                <w:color w:val="auto"/>
                <w:sz w:val="24"/>
                <w:szCs w:val="24"/>
                <w:highlight w:val="none"/>
                <w:u w:val="none"/>
                <w:lang w:val="en-US" w:eastAsia="zh-CN"/>
              </w:rPr>
              <w:t>入园企业申请办理环评手续的函</w:t>
            </w:r>
            <w:r>
              <w:rPr>
                <w:rFonts w:hint="default" w:ascii="Times New Roman" w:hAnsi="Times New Roman" w:eastAsia="宋体"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w:t>
            </w:r>
            <w:r>
              <w:rPr>
                <w:rFonts w:hint="eastAsia" w:ascii="Times New Roman" w:hAnsi="Times New Roman" w:cs="Times New Roman"/>
                <w:color w:val="auto"/>
                <w:sz w:val="24"/>
                <w:szCs w:val="24"/>
                <w:highlight w:val="none"/>
                <w:u w:val="none"/>
                <w:lang w:val="en-US" w:eastAsia="zh-CN"/>
              </w:rPr>
              <w:t>均和云谷</w:t>
            </w:r>
            <w:r>
              <w:rPr>
                <w:rFonts w:hint="eastAsia" w:ascii="Times New Roman" w:hAnsi="Times New Roman" w:eastAsia="宋体" w:cs="Times New Roman"/>
                <w:color w:val="auto"/>
                <w:sz w:val="24"/>
                <w:szCs w:val="24"/>
                <w:highlight w:val="none"/>
                <w:u w:val="none"/>
                <w:lang w:val="en-US" w:eastAsia="zh-CN"/>
              </w:rPr>
              <w:t>·福清科技港</w:t>
            </w:r>
            <w:r>
              <w:rPr>
                <w:rFonts w:hint="eastAsia" w:ascii="Times New Roman" w:hAnsi="Times New Roman" w:cs="Times New Roman"/>
                <w:color w:val="auto"/>
                <w:sz w:val="24"/>
                <w:szCs w:val="24"/>
                <w:highlight w:val="none"/>
                <w:u w:val="none"/>
                <w:lang w:val="en-US" w:eastAsia="zh-CN"/>
              </w:rPr>
              <w:t>项目占地面积143.9亩，总建筑面积157370.99m</w:t>
            </w:r>
            <w:r>
              <w:rPr>
                <w:rFonts w:hint="eastAsia" w:ascii="Times New Roman" w:hAnsi="Times New Roman" w:cs="Times New Roman"/>
                <w:color w:val="auto"/>
                <w:sz w:val="24"/>
                <w:szCs w:val="24"/>
                <w:highlight w:val="none"/>
                <w:u w:val="none"/>
                <w:vertAlign w:val="superscript"/>
                <w:lang w:val="en-US" w:eastAsia="zh-CN"/>
              </w:rPr>
              <w:t>2</w:t>
            </w:r>
            <w:r>
              <w:rPr>
                <w:rFonts w:hint="eastAsia" w:ascii="Times New Roman" w:hAnsi="Times New Roman" w:cs="Times New Roman"/>
                <w:color w:val="auto"/>
                <w:sz w:val="24"/>
                <w:szCs w:val="24"/>
                <w:highlight w:val="none"/>
                <w:u w:val="none"/>
                <w:lang w:val="en-US" w:eastAsia="zh-CN"/>
              </w:rPr>
              <w:t>，共建设40栋标准厂房及1栋综合配套。目前，福州创文贸易有限公司、福州创文五金制品有限公司、福建亚中欧贸易有限公司、福建融永拓新材料有限公司、福州大火牛新材料科技有限公司、</w:t>
            </w:r>
            <w:r>
              <w:rPr>
                <w:rFonts w:hint="eastAsia" w:ascii="Times New Roman" w:hAnsi="Times New Roman" w:cs="Times New Roman"/>
                <w:b/>
                <w:bCs/>
                <w:color w:val="auto"/>
                <w:sz w:val="24"/>
                <w:szCs w:val="24"/>
                <w:highlight w:val="none"/>
                <w:u w:val="none"/>
                <w:lang w:val="en-US" w:eastAsia="zh-CN"/>
              </w:rPr>
              <w:t>福清大松模具有限公司</w:t>
            </w:r>
            <w:r>
              <w:rPr>
                <w:rFonts w:hint="eastAsia" w:ascii="Times New Roman" w:hAnsi="Times New Roman" w:cs="Times New Roman"/>
                <w:color w:val="auto"/>
                <w:sz w:val="24"/>
                <w:szCs w:val="24"/>
                <w:highlight w:val="none"/>
                <w:u w:val="none"/>
                <w:lang w:val="en-US" w:eastAsia="zh-CN"/>
              </w:rPr>
              <w:t>、福建多盈新材料科技有限公司等7家企业已经我委审核把关同意入园，并签订投资合同”。</w:t>
            </w:r>
            <w:r>
              <w:rPr>
                <w:rFonts w:hint="default" w:ascii="Times New Roman" w:hAnsi="Times New Roman" w:eastAsia="宋体" w:cs="Times New Roman"/>
                <w:color w:val="auto"/>
                <w:sz w:val="24"/>
                <w:szCs w:val="24"/>
                <w:highlight w:val="none"/>
                <w:u w:val="none"/>
                <w:lang w:val="en-US" w:eastAsia="zh-CN"/>
              </w:rPr>
              <w:t>因此，应遵循福清融侨经济开发区的产业准入要求，根据前文分析，本项目为汽车塑料配件加工制造，属于精密汽车部件，符合福清融侨经济开发区准入产业，无需再分析本项目与《福清融侨经济技术开发区总体规划环境影响报告书（2018一2035年）》的符合性。</w:t>
            </w:r>
          </w:p>
        </w:tc>
      </w:tr>
      <w:tr w14:paraId="27BBC6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434" w:type="pct"/>
            <w:noWrap w:val="0"/>
            <w:vAlign w:val="center"/>
          </w:tcPr>
          <w:p w14:paraId="5BB97921">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其他符合性分析</w:t>
            </w:r>
          </w:p>
        </w:tc>
        <w:tc>
          <w:tcPr>
            <w:tcW w:w="4565" w:type="pct"/>
            <w:gridSpan w:val="5"/>
            <w:noWrap w:val="0"/>
            <w:vAlign w:val="center"/>
          </w:tcPr>
          <w:p w14:paraId="07BD2452">
            <w:pPr>
              <w:pStyle w:val="30"/>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rPr>
            </w:pPr>
            <w:bookmarkStart w:id="12" w:name="_Toc27398"/>
            <w:r>
              <w:rPr>
                <w:rFonts w:hint="eastAsia" w:ascii="Times New Roman" w:cs="Times New Roman"/>
                <w:b/>
                <w:color w:val="auto"/>
                <w:sz w:val="24"/>
                <w:szCs w:val="24"/>
                <w:highlight w:val="none"/>
                <w:u w:val="none"/>
                <w:lang w:val="en-US" w:eastAsia="zh-CN"/>
              </w:rPr>
              <w:t>1.</w:t>
            </w:r>
            <w:r>
              <w:rPr>
                <w:rFonts w:hint="default" w:ascii="Times New Roman" w:hAnsi="Times New Roman" w:eastAsia="宋体" w:cs="Times New Roman"/>
                <w:b/>
                <w:color w:val="auto"/>
                <w:sz w:val="24"/>
                <w:szCs w:val="24"/>
                <w:highlight w:val="none"/>
                <w:u w:val="none"/>
              </w:rPr>
              <w:t>产业政策适宜性分析</w:t>
            </w:r>
            <w:bookmarkEnd w:id="12"/>
          </w:p>
          <w:p w14:paraId="2BCFBC3A">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pacing w:val="0"/>
                <w:sz w:val="24"/>
                <w:szCs w:val="24"/>
                <w:highlight w:val="none"/>
                <w:u w:val="none"/>
              </w:rPr>
            </w:pPr>
            <w:r>
              <w:rPr>
                <w:rFonts w:hint="default" w:ascii="Times New Roman" w:hAnsi="Times New Roman" w:eastAsia="宋体" w:cs="Times New Roman"/>
                <w:color w:val="auto"/>
                <w:spacing w:val="0"/>
                <w:sz w:val="24"/>
                <w:szCs w:val="24"/>
                <w:highlight w:val="none"/>
                <w:u w:val="none"/>
              </w:rPr>
              <w:t>项目主要</w:t>
            </w:r>
            <w:r>
              <w:rPr>
                <w:rFonts w:hint="default" w:ascii="Times New Roman" w:hAnsi="Times New Roman" w:eastAsia="宋体" w:cs="Times New Roman"/>
                <w:color w:val="auto"/>
                <w:spacing w:val="0"/>
                <w:sz w:val="24"/>
                <w:szCs w:val="24"/>
                <w:highlight w:val="none"/>
                <w:u w:val="none"/>
                <w:lang w:eastAsia="zh-CN"/>
              </w:rPr>
              <w:t>从事汽车塑料配件加工生产</w:t>
            </w:r>
            <w:r>
              <w:rPr>
                <w:rFonts w:hint="default" w:ascii="Times New Roman" w:hAnsi="Times New Roman" w:eastAsia="宋体" w:cs="Times New Roman"/>
                <w:color w:val="auto"/>
                <w:spacing w:val="0"/>
                <w:sz w:val="24"/>
                <w:szCs w:val="24"/>
                <w:highlight w:val="none"/>
                <w:u w:val="none"/>
              </w:rPr>
              <w:t>，</w:t>
            </w:r>
            <w:r>
              <w:rPr>
                <w:rFonts w:hint="eastAsia" w:cs="Times New Roman"/>
                <w:color w:val="auto"/>
                <w:spacing w:val="0"/>
                <w:sz w:val="24"/>
                <w:szCs w:val="24"/>
                <w:highlight w:val="none"/>
                <w:u w:val="none"/>
                <w:lang w:val="en-US" w:eastAsia="zh-CN"/>
              </w:rPr>
              <w:t>项目所采用的生产工艺、所使用的生产加工设备均</w:t>
            </w:r>
            <w:r>
              <w:rPr>
                <w:rFonts w:hint="default" w:ascii="Times New Roman" w:hAnsi="Times New Roman" w:eastAsia="宋体" w:cs="Times New Roman"/>
                <w:color w:val="auto"/>
                <w:spacing w:val="0"/>
                <w:sz w:val="24"/>
                <w:szCs w:val="24"/>
                <w:highlight w:val="none"/>
                <w:u w:val="none"/>
              </w:rPr>
              <w:t>不属于</w:t>
            </w:r>
            <w:r>
              <w:rPr>
                <w:rFonts w:hint="eastAsia" w:cs="Times New Roman"/>
                <w:color w:val="auto"/>
                <w:spacing w:val="0"/>
                <w:sz w:val="24"/>
                <w:szCs w:val="24"/>
                <w:highlight w:val="none"/>
                <w:u w:val="none"/>
                <w:lang w:eastAsia="zh-CN"/>
              </w:rPr>
              <w:t>国家发展改革委</w:t>
            </w:r>
            <w:r>
              <w:rPr>
                <w:rFonts w:hint="default" w:ascii="Times New Roman" w:hAnsi="Times New Roman" w:eastAsia="宋体" w:cs="Times New Roman"/>
                <w:color w:val="auto"/>
                <w:spacing w:val="0"/>
                <w:sz w:val="24"/>
                <w:szCs w:val="24"/>
                <w:highlight w:val="none"/>
                <w:u w:val="none"/>
              </w:rPr>
              <w:t>《产业结构调整指导目录（2024年本）》中限制和淘汰类的项目，</w:t>
            </w:r>
            <w:r>
              <w:rPr>
                <w:rFonts w:hint="default" w:ascii="Times New Roman" w:hAnsi="Times New Roman" w:eastAsia="宋体" w:cs="Times New Roman"/>
                <w:color w:val="auto"/>
                <w:spacing w:val="0"/>
                <w:sz w:val="24"/>
                <w:szCs w:val="24"/>
                <w:highlight w:val="none"/>
                <w:u w:val="none"/>
                <w:lang w:eastAsia="zh-CN"/>
              </w:rPr>
              <w:t>属于允许类</w:t>
            </w:r>
            <w:r>
              <w:rPr>
                <w:rFonts w:hint="eastAsia" w:cs="Times New Roman"/>
                <w:color w:val="auto"/>
                <w:spacing w:val="0"/>
                <w:sz w:val="24"/>
                <w:szCs w:val="24"/>
                <w:highlight w:val="none"/>
                <w:u w:val="none"/>
                <w:lang w:eastAsia="zh-CN"/>
              </w:rPr>
              <w:t>且</w:t>
            </w:r>
            <w:r>
              <w:rPr>
                <w:rFonts w:hint="default" w:ascii="Times New Roman" w:hAnsi="Times New Roman" w:eastAsia="宋体" w:cs="Times New Roman"/>
                <w:color w:val="auto"/>
                <w:spacing w:val="0"/>
                <w:sz w:val="24"/>
                <w:szCs w:val="24"/>
                <w:highlight w:val="none"/>
                <w:u w:val="none"/>
              </w:rPr>
              <w:t>该项目于</w:t>
            </w:r>
            <w:r>
              <w:rPr>
                <w:rFonts w:hint="default" w:ascii="Times New Roman" w:hAnsi="Times New Roman" w:eastAsia="宋体" w:cs="Times New Roman"/>
                <w:color w:val="auto"/>
                <w:spacing w:val="0"/>
                <w:sz w:val="24"/>
                <w:szCs w:val="24"/>
                <w:highlight w:val="none"/>
                <w:u w:val="none"/>
                <w:lang w:val="en-US" w:eastAsia="zh-CN"/>
              </w:rPr>
              <w:t>202</w:t>
            </w:r>
            <w:r>
              <w:rPr>
                <w:rFonts w:hint="eastAsia" w:ascii="Times New Roman" w:hAnsi="Times New Roman" w:eastAsia="宋体" w:cs="Times New Roman"/>
                <w:color w:val="auto"/>
                <w:spacing w:val="0"/>
                <w:sz w:val="24"/>
                <w:szCs w:val="24"/>
                <w:highlight w:val="none"/>
                <w:u w:val="none"/>
                <w:lang w:val="en-US" w:eastAsia="zh-CN"/>
              </w:rPr>
              <w:t>5</w:t>
            </w:r>
            <w:r>
              <w:rPr>
                <w:rFonts w:hint="default" w:ascii="Times New Roman" w:hAnsi="Times New Roman" w:eastAsia="宋体" w:cs="Times New Roman"/>
                <w:color w:val="auto"/>
                <w:spacing w:val="0"/>
                <w:sz w:val="24"/>
                <w:szCs w:val="24"/>
                <w:highlight w:val="none"/>
                <w:u w:val="none"/>
                <w:lang w:val="en-US" w:eastAsia="zh-CN"/>
              </w:rPr>
              <w:t>年</w:t>
            </w:r>
            <w:r>
              <w:rPr>
                <w:rFonts w:hint="eastAsia" w:ascii="Times New Roman" w:hAnsi="Times New Roman" w:eastAsia="宋体" w:cs="Times New Roman"/>
                <w:color w:val="auto"/>
                <w:spacing w:val="0"/>
                <w:sz w:val="24"/>
                <w:szCs w:val="24"/>
                <w:highlight w:val="none"/>
                <w:u w:val="none"/>
                <w:lang w:val="en-US" w:eastAsia="zh-CN"/>
              </w:rPr>
              <w:t>9</w:t>
            </w:r>
            <w:r>
              <w:rPr>
                <w:rFonts w:hint="default" w:ascii="Times New Roman" w:hAnsi="Times New Roman" w:eastAsia="宋体" w:cs="Times New Roman"/>
                <w:color w:val="auto"/>
                <w:spacing w:val="0"/>
                <w:sz w:val="24"/>
                <w:szCs w:val="24"/>
                <w:highlight w:val="none"/>
                <w:u w:val="none"/>
                <w:lang w:val="en-US" w:eastAsia="zh-CN"/>
              </w:rPr>
              <w:t>月</w:t>
            </w:r>
            <w:r>
              <w:rPr>
                <w:rFonts w:hint="eastAsia" w:ascii="Times New Roman" w:hAnsi="Times New Roman" w:eastAsia="宋体" w:cs="Times New Roman"/>
                <w:color w:val="auto"/>
                <w:spacing w:val="0"/>
                <w:sz w:val="24"/>
                <w:szCs w:val="24"/>
                <w:highlight w:val="none"/>
                <w:u w:val="none"/>
                <w:lang w:val="en-US" w:eastAsia="zh-CN"/>
              </w:rPr>
              <w:t>18</w:t>
            </w:r>
            <w:r>
              <w:rPr>
                <w:rFonts w:hint="default" w:ascii="Times New Roman" w:hAnsi="Times New Roman" w:eastAsia="宋体" w:cs="Times New Roman"/>
                <w:color w:val="auto"/>
                <w:spacing w:val="0"/>
                <w:sz w:val="24"/>
                <w:szCs w:val="24"/>
                <w:highlight w:val="none"/>
                <w:u w:val="none"/>
                <w:lang w:val="en-US" w:eastAsia="zh-CN"/>
              </w:rPr>
              <w:t>日</w:t>
            </w:r>
            <w:r>
              <w:rPr>
                <w:rFonts w:hint="default" w:ascii="Times New Roman" w:hAnsi="Times New Roman" w:eastAsia="宋体" w:cs="Times New Roman"/>
                <w:color w:val="auto"/>
                <w:spacing w:val="0"/>
                <w:sz w:val="24"/>
                <w:szCs w:val="24"/>
                <w:highlight w:val="none"/>
                <w:u w:val="none"/>
              </w:rPr>
              <w:t>通过了</w:t>
            </w:r>
            <w:r>
              <w:rPr>
                <w:rFonts w:hint="default" w:ascii="Times New Roman" w:hAnsi="Times New Roman" w:eastAsia="宋体" w:cs="Times New Roman"/>
                <w:color w:val="auto"/>
                <w:spacing w:val="0"/>
                <w:sz w:val="24"/>
                <w:szCs w:val="24"/>
                <w:highlight w:val="none"/>
                <w:u w:val="none"/>
                <w:lang w:eastAsia="zh-CN"/>
              </w:rPr>
              <w:t>福清市发展和改革局</w:t>
            </w:r>
            <w:r>
              <w:rPr>
                <w:rFonts w:hint="default" w:ascii="Times New Roman" w:hAnsi="Times New Roman" w:eastAsia="宋体" w:cs="Times New Roman"/>
                <w:color w:val="auto"/>
                <w:spacing w:val="0"/>
                <w:sz w:val="24"/>
                <w:szCs w:val="24"/>
                <w:highlight w:val="none"/>
                <w:u w:val="none"/>
              </w:rPr>
              <w:t>的备案(</w:t>
            </w:r>
            <w:r>
              <w:rPr>
                <w:rFonts w:hint="default" w:ascii="Times New Roman" w:hAnsi="Times New Roman" w:eastAsia="宋体" w:cs="Times New Roman"/>
                <w:color w:val="auto"/>
                <w:sz w:val="24"/>
                <w:szCs w:val="24"/>
                <w:highlight w:val="none"/>
                <w:u w:val="none"/>
                <w:lang w:eastAsia="zh-CN"/>
              </w:rPr>
              <w:t>闽发改备</w:t>
            </w:r>
            <w:r>
              <w:rPr>
                <w:rFonts w:hint="eastAsia" w:cs="Times New Roman"/>
                <w:color w:val="auto"/>
                <w:sz w:val="24"/>
                <w:szCs w:val="24"/>
                <w:highlight w:val="none"/>
                <w:u w:val="none"/>
                <w:lang w:eastAsia="zh-CN"/>
              </w:rPr>
              <w:t>〔2025〕</w:t>
            </w:r>
            <w:r>
              <w:rPr>
                <w:rFonts w:hint="default" w:ascii="Times New Roman" w:hAnsi="Times New Roman" w:eastAsia="宋体" w:cs="Times New Roman"/>
                <w:color w:val="auto"/>
                <w:sz w:val="24"/>
                <w:szCs w:val="24"/>
                <w:highlight w:val="none"/>
                <w:u w:val="none"/>
                <w:lang w:eastAsia="zh-CN"/>
              </w:rPr>
              <w:t>A060</w:t>
            </w:r>
            <w:r>
              <w:rPr>
                <w:rFonts w:hint="eastAsia" w:ascii="Times New Roman" w:hAnsi="Times New Roman" w:eastAsia="宋体" w:cs="Times New Roman"/>
                <w:color w:val="auto"/>
                <w:sz w:val="24"/>
                <w:szCs w:val="24"/>
                <w:highlight w:val="none"/>
                <w:u w:val="none"/>
                <w:lang w:val="en-US" w:eastAsia="zh-CN"/>
              </w:rPr>
              <w:t>346</w:t>
            </w:r>
            <w:r>
              <w:rPr>
                <w:rFonts w:hint="default" w:ascii="Times New Roman" w:hAnsi="Times New Roman" w:eastAsia="宋体" w:cs="Times New Roman"/>
                <w:color w:val="auto"/>
                <w:sz w:val="24"/>
                <w:szCs w:val="24"/>
                <w:highlight w:val="none"/>
                <w:u w:val="none"/>
                <w:lang w:eastAsia="zh-CN"/>
              </w:rPr>
              <w:t>号，</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pacing w:val="0"/>
                <w:sz w:val="24"/>
                <w:szCs w:val="24"/>
                <w:highlight w:val="none"/>
                <w:u w:val="none"/>
              </w:rPr>
              <w:t>详见</w:t>
            </w:r>
            <w:r>
              <w:rPr>
                <w:rFonts w:hint="default" w:ascii="Times New Roman" w:hAnsi="Times New Roman" w:eastAsia="宋体" w:cs="Times New Roman"/>
                <w:b/>
                <w:bCs/>
                <w:color w:val="auto"/>
                <w:spacing w:val="0"/>
                <w:sz w:val="24"/>
                <w:szCs w:val="24"/>
                <w:highlight w:val="none"/>
                <w:u w:val="none"/>
              </w:rPr>
              <w:t>附件</w:t>
            </w:r>
            <w:r>
              <w:rPr>
                <w:rFonts w:hint="eastAsia" w:cs="Times New Roman"/>
                <w:b/>
                <w:bCs/>
                <w:color w:val="auto"/>
                <w:spacing w:val="0"/>
                <w:sz w:val="24"/>
                <w:szCs w:val="24"/>
                <w:highlight w:val="none"/>
                <w:u w:val="none"/>
                <w:lang w:val="en-US" w:eastAsia="zh-CN"/>
              </w:rPr>
              <w:t>四</w:t>
            </w:r>
            <w:r>
              <w:rPr>
                <w:rFonts w:hint="eastAsia" w:cs="Times New Roman"/>
                <w:b w:val="0"/>
                <w:bCs w:val="0"/>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rPr>
              <w:t>，因此项目的建设内容符合当前国家</w:t>
            </w:r>
            <w:r>
              <w:rPr>
                <w:rFonts w:hint="default" w:ascii="Times New Roman" w:hAnsi="Times New Roman" w:eastAsia="宋体" w:cs="Times New Roman"/>
                <w:color w:val="auto"/>
                <w:spacing w:val="0"/>
                <w:sz w:val="24"/>
                <w:szCs w:val="24"/>
                <w:highlight w:val="none"/>
                <w:u w:val="none"/>
                <w:lang w:eastAsia="zh-CN"/>
              </w:rPr>
              <w:t>和地方</w:t>
            </w:r>
            <w:r>
              <w:rPr>
                <w:rFonts w:hint="default" w:ascii="Times New Roman" w:hAnsi="Times New Roman" w:eastAsia="宋体" w:cs="Times New Roman"/>
                <w:color w:val="auto"/>
                <w:spacing w:val="0"/>
                <w:sz w:val="24"/>
                <w:szCs w:val="24"/>
                <w:highlight w:val="none"/>
                <w:u w:val="none"/>
              </w:rPr>
              <w:t>的产业政策。</w:t>
            </w:r>
          </w:p>
          <w:p w14:paraId="6F2D044C">
            <w:pPr>
              <w:pStyle w:val="30"/>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lang w:val="en-US" w:eastAsia="zh-CN"/>
              </w:rPr>
            </w:pPr>
            <w:bookmarkStart w:id="13" w:name="_Toc26906"/>
            <w:r>
              <w:rPr>
                <w:rFonts w:hint="eastAsia" w:ascii="Times New Roman" w:cs="Times New Roman"/>
                <w:b/>
                <w:color w:val="auto"/>
                <w:sz w:val="24"/>
                <w:szCs w:val="24"/>
                <w:highlight w:val="none"/>
                <w:u w:val="none"/>
                <w:lang w:val="en-US" w:eastAsia="zh-CN"/>
              </w:rPr>
              <w:t>2.国土空间规划</w:t>
            </w:r>
            <w:r>
              <w:rPr>
                <w:rFonts w:hint="default" w:ascii="Times New Roman" w:hAnsi="Times New Roman" w:eastAsia="宋体" w:cs="Times New Roman"/>
                <w:b/>
                <w:color w:val="auto"/>
                <w:sz w:val="24"/>
                <w:szCs w:val="24"/>
                <w:highlight w:val="none"/>
                <w:u w:val="none"/>
                <w:lang w:val="en-US" w:eastAsia="zh-CN"/>
              </w:rPr>
              <w:t>符合性分析</w:t>
            </w:r>
            <w:bookmarkEnd w:id="13"/>
          </w:p>
          <w:p w14:paraId="723638E0">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pacing w:val="0"/>
                <w:sz w:val="24"/>
                <w:szCs w:val="24"/>
                <w:highlight w:val="none"/>
                <w:u w:val="none"/>
              </w:rPr>
            </w:pPr>
            <w:r>
              <w:rPr>
                <w:rFonts w:hint="eastAsia" w:cs="Times New Roman"/>
                <w:color w:val="auto"/>
                <w:spacing w:val="0"/>
                <w:sz w:val="24"/>
                <w:szCs w:val="24"/>
                <w:highlight w:val="none"/>
                <w:u w:val="none"/>
                <w:lang w:eastAsia="zh-CN"/>
              </w:rPr>
              <w:t>根据</w:t>
            </w:r>
            <w:r>
              <w:rPr>
                <w:rFonts w:hint="default" w:cs="Times New Roman"/>
                <w:color w:val="auto"/>
                <w:sz w:val="24"/>
                <w:szCs w:val="24"/>
                <w:highlight w:val="none"/>
                <w:u w:val="none"/>
                <w:lang w:val="en-US" w:eastAsia="zh-CN"/>
              </w:rPr>
              <w:t>《福清市国土空间总体规划（2021—2035年）》</w:t>
            </w:r>
            <w:r>
              <w:rPr>
                <w:rFonts w:hint="default" w:ascii="Times New Roman" w:hAnsi="Times New Roman" w:eastAsia="宋体" w:cs="Times New Roman"/>
                <w:color w:val="auto"/>
                <w:spacing w:val="0"/>
                <w:sz w:val="24"/>
                <w:szCs w:val="24"/>
                <w:highlight w:val="none"/>
                <w:u w:val="none"/>
                <w:lang w:eastAsia="zh-CN"/>
              </w:rPr>
              <w:t>本项目位于</w:t>
            </w:r>
            <w:r>
              <w:rPr>
                <w:rFonts w:hint="eastAsia" w:ascii="Times New Roman" w:hAnsi="Times New Roman" w:eastAsia="宋体" w:cs="Times New Roman"/>
                <w:color w:val="auto"/>
                <w:sz w:val="24"/>
                <w:szCs w:val="24"/>
                <w:highlight w:val="none"/>
                <w:u w:val="none"/>
                <w:lang w:val="en-US" w:eastAsia="zh-CN"/>
              </w:rPr>
              <w:t>福建省福州市福清市阳下街道上亭村</w:t>
            </w:r>
            <w:r>
              <w:rPr>
                <w:rFonts w:hint="default" w:ascii="Times New Roman" w:hAnsi="Times New Roman" w:eastAsia="宋体" w:cs="Times New Roman"/>
                <w:color w:val="auto"/>
                <w:sz w:val="24"/>
                <w:szCs w:val="24"/>
                <w:highlight w:val="none"/>
                <w:u w:val="none"/>
                <w:lang w:val="en-US" w:eastAsia="zh-CN"/>
              </w:rPr>
              <w:t>（</w:t>
            </w:r>
            <w:r>
              <w:rPr>
                <w:rFonts w:hint="eastAsia" w:cs="Times New Roman"/>
                <w:color w:val="auto"/>
                <w:sz w:val="24"/>
                <w:szCs w:val="24"/>
                <w:highlight w:val="none"/>
                <w:u w:val="none"/>
                <w:lang w:val="en-US" w:eastAsia="zh-CN"/>
              </w:rPr>
              <w:t>购置均和云谷·福清科技港31栋厂房1-4层）</w:t>
            </w:r>
            <w:r>
              <w:rPr>
                <w:rFonts w:hint="default" w:ascii="Times New Roman" w:hAnsi="Times New Roman" w:eastAsia="宋体" w:cs="Times New Roman"/>
                <w:color w:val="auto"/>
                <w:spacing w:val="0"/>
                <w:sz w:val="24"/>
                <w:szCs w:val="24"/>
                <w:highlight w:val="none"/>
                <w:u w:val="none"/>
                <w:lang w:eastAsia="zh-CN"/>
              </w:rPr>
              <w:t>内，根据</w:t>
            </w:r>
            <w:r>
              <w:rPr>
                <w:rFonts w:hint="eastAsia" w:ascii="Times New Roman" w:hAnsi="Times New Roman" w:eastAsia="宋体" w:cs="Times New Roman"/>
                <w:color w:val="auto"/>
                <w:spacing w:val="0"/>
                <w:sz w:val="24"/>
                <w:szCs w:val="24"/>
                <w:highlight w:val="none"/>
                <w:u w:val="none"/>
                <w:lang w:eastAsia="zh-CN"/>
              </w:rPr>
              <w:t>业主</w:t>
            </w:r>
            <w:r>
              <w:rPr>
                <w:rFonts w:hint="default" w:ascii="Times New Roman" w:hAnsi="Times New Roman" w:eastAsia="宋体" w:cs="Times New Roman"/>
                <w:color w:val="auto"/>
                <w:spacing w:val="0"/>
                <w:sz w:val="24"/>
                <w:szCs w:val="24"/>
                <w:highlight w:val="none"/>
                <w:u w:val="none"/>
                <w:lang w:eastAsia="zh-CN"/>
              </w:rPr>
              <w:t>提供的</w:t>
            </w:r>
            <w:r>
              <w:rPr>
                <w:rFonts w:hint="eastAsia" w:ascii="Times New Roman" w:hAnsi="Times New Roman" w:eastAsia="宋体" w:cs="Times New Roman"/>
                <w:color w:val="auto"/>
                <w:spacing w:val="0"/>
                <w:sz w:val="24"/>
                <w:szCs w:val="24"/>
                <w:highlight w:val="none"/>
                <w:u w:val="none"/>
                <w:lang w:val="en-US" w:eastAsia="zh-CN"/>
              </w:rPr>
              <w:t>均和产业发展（福清）有限公司不动产权证（闽（2022）福清市不动产权第0015820号）</w:t>
            </w:r>
            <w:r>
              <w:rPr>
                <w:rFonts w:hint="eastAsia" w:cs="Times New Roman"/>
                <w:color w:val="auto"/>
                <w:spacing w:val="0"/>
                <w:sz w:val="24"/>
                <w:szCs w:val="24"/>
                <w:highlight w:val="none"/>
                <w:u w:val="none"/>
                <w:lang w:val="en-US" w:eastAsia="zh-CN"/>
              </w:rPr>
              <w:t>（厂房购置合同</w:t>
            </w:r>
            <w:r>
              <w:rPr>
                <w:rFonts w:hint="default" w:ascii="Times New Roman" w:hAnsi="Times New Roman" w:eastAsia="宋体" w:cs="Times New Roman"/>
                <w:color w:val="auto"/>
                <w:spacing w:val="0"/>
                <w:sz w:val="24"/>
                <w:szCs w:val="24"/>
                <w:highlight w:val="none"/>
                <w:u w:val="none"/>
                <w:lang w:val="en-US" w:eastAsia="zh-CN"/>
              </w:rPr>
              <w:t>详见</w:t>
            </w:r>
            <w:r>
              <w:rPr>
                <w:rFonts w:hint="default" w:ascii="Times New Roman" w:hAnsi="Times New Roman" w:eastAsia="宋体" w:cs="Times New Roman"/>
                <w:b/>
                <w:bCs/>
                <w:color w:val="auto"/>
                <w:spacing w:val="0"/>
                <w:sz w:val="24"/>
                <w:szCs w:val="24"/>
                <w:highlight w:val="none"/>
                <w:u w:val="none"/>
                <w:lang w:val="en-US" w:eastAsia="zh-CN"/>
              </w:rPr>
              <w:t>附件</w:t>
            </w:r>
            <w:r>
              <w:rPr>
                <w:rFonts w:hint="eastAsia" w:cs="Times New Roman"/>
                <w:b/>
                <w:bCs/>
                <w:color w:val="auto"/>
                <w:spacing w:val="0"/>
                <w:sz w:val="24"/>
                <w:szCs w:val="24"/>
                <w:highlight w:val="none"/>
                <w:u w:val="none"/>
                <w:lang w:val="en-US" w:eastAsia="zh-CN"/>
              </w:rPr>
              <w:t>五</w:t>
            </w:r>
            <w:r>
              <w:rPr>
                <w:rFonts w:hint="eastAsia" w:cs="Times New Roman"/>
                <w:b w:val="0"/>
                <w:bCs w:val="0"/>
                <w:color w:val="auto"/>
                <w:spacing w:val="0"/>
                <w:sz w:val="24"/>
                <w:szCs w:val="24"/>
                <w:highlight w:val="none"/>
                <w:u w:val="none"/>
                <w:lang w:val="en-US" w:eastAsia="zh-CN"/>
              </w:rPr>
              <w:t>）</w:t>
            </w:r>
            <w:r>
              <w:rPr>
                <w:rFonts w:hint="default" w:ascii="Times New Roman" w:hAnsi="Times New Roman" w:eastAsia="宋体" w:cs="Times New Roman"/>
                <w:color w:val="auto"/>
                <w:spacing w:val="0"/>
                <w:sz w:val="24"/>
                <w:szCs w:val="24"/>
                <w:highlight w:val="none"/>
                <w:u w:val="none"/>
                <w:lang w:val="en-US" w:eastAsia="zh-CN"/>
              </w:rPr>
              <w:t>，该厂区用地为工业用地，厂房为工业厂房</w:t>
            </w:r>
            <w:r>
              <w:rPr>
                <w:rFonts w:hint="default" w:ascii="Times New Roman" w:hAnsi="Times New Roman" w:eastAsia="宋体" w:cs="Times New Roman"/>
                <w:color w:val="auto"/>
                <w:sz w:val="24"/>
                <w:szCs w:val="24"/>
              </w:rPr>
              <w:t>。根据福清市自然资源和规划局审定的均和云谷福清科技港总平面</w:t>
            </w:r>
            <w:r>
              <w:rPr>
                <w:rFonts w:hint="eastAsia" w:cs="Times New Roman"/>
                <w:color w:val="auto"/>
                <w:sz w:val="24"/>
                <w:szCs w:val="24"/>
                <w:lang w:eastAsia="zh-CN"/>
              </w:rPr>
              <w:t>布置</w:t>
            </w:r>
            <w:r>
              <w:rPr>
                <w:rFonts w:hint="default" w:ascii="Times New Roman" w:hAnsi="Times New Roman" w:eastAsia="宋体" w:cs="Times New Roman"/>
                <w:color w:val="auto"/>
                <w:sz w:val="24"/>
                <w:szCs w:val="24"/>
              </w:rPr>
              <w:t>图及均和产业发展（福清）有限公司规划条件核实意见书（</w:t>
            </w:r>
            <w:r>
              <w:rPr>
                <w:rFonts w:hint="eastAsia" w:ascii="Times New Roman" w:hAnsi="Times New Roman" w:eastAsia="宋体" w:cs="Times New Roman"/>
                <w:color w:val="auto"/>
                <w:sz w:val="24"/>
                <w:szCs w:val="24"/>
                <w:lang w:val="en-US" w:eastAsia="zh-CN"/>
              </w:rPr>
              <w:t>整区</w:t>
            </w:r>
            <w:r>
              <w:rPr>
                <w:rFonts w:hint="default" w:ascii="Times New Roman" w:hAnsi="Times New Roman" w:eastAsia="宋体" w:cs="Times New Roman"/>
                <w:color w:val="auto"/>
                <w:sz w:val="24"/>
                <w:szCs w:val="24"/>
              </w:rPr>
              <w:t>）（编号：融规核〔202</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112</w:t>
            </w:r>
            <w:r>
              <w:rPr>
                <w:rFonts w:hint="default" w:ascii="Times New Roman" w:hAnsi="Times New Roman" w:eastAsia="宋体" w:cs="Times New Roman"/>
                <w:color w:val="auto"/>
                <w:sz w:val="24"/>
                <w:szCs w:val="24"/>
              </w:rPr>
              <w:t>号）可知，项目位于均和云谷福清科技港</w:t>
            </w:r>
            <w:r>
              <w:rPr>
                <w:rFonts w:hint="eastAsia" w:ascii="Times New Roman" w:hAnsi="Times New Roman" w:eastAsia="宋体" w:cs="Times New Roman"/>
                <w:color w:val="auto"/>
                <w:sz w:val="24"/>
                <w:szCs w:val="24"/>
                <w:lang w:val="en-US" w:eastAsia="zh-CN"/>
              </w:rPr>
              <w:t>31</w:t>
            </w:r>
            <w:r>
              <w:rPr>
                <w:rFonts w:hint="default" w:ascii="Times New Roman" w:hAnsi="Times New Roman" w:eastAsia="宋体" w:cs="Times New Roman"/>
                <w:color w:val="auto"/>
                <w:sz w:val="24"/>
                <w:szCs w:val="24"/>
              </w:rPr>
              <w:t>#厂房，</w:t>
            </w:r>
            <w:r>
              <w:rPr>
                <w:rFonts w:hint="eastAsia" w:ascii="Times New Roman" w:hAnsi="Times New Roman" w:eastAsia="宋体" w:cs="Times New Roman"/>
                <w:color w:val="auto"/>
                <w:sz w:val="24"/>
                <w:szCs w:val="24"/>
                <w:lang w:val="en-US" w:eastAsia="zh-CN"/>
              </w:rPr>
              <w:t>31</w:t>
            </w:r>
            <w:r>
              <w:rPr>
                <w:rFonts w:hint="default" w:ascii="Times New Roman" w:hAnsi="Times New Roman" w:eastAsia="宋体" w:cs="Times New Roman"/>
                <w:color w:val="auto"/>
                <w:sz w:val="24"/>
                <w:szCs w:val="24"/>
              </w:rPr>
              <w:t>#厂房构筑物主要经济技术指标均通过规划部门审核审定。</w:t>
            </w:r>
            <w:r>
              <w:rPr>
                <w:rFonts w:hint="default" w:ascii="Times New Roman" w:hAnsi="Times New Roman" w:eastAsia="宋体" w:cs="Times New Roman"/>
                <w:color w:val="auto"/>
                <w:spacing w:val="0"/>
                <w:sz w:val="24"/>
                <w:szCs w:val="24"/>
                <w:highlight w:val="none"/>
                <w:u w:val="none"/>
                <w:lang w:eastAsia="zh-CN"/>
              </w:rPr>
              <w:t>本项目从事汽车塑料配件的加工，属于工业企业，因此，项目选址符合</w:t>
            </w:r>
            <w:r>
              <w:rPr>
                <w:rFonts w:hint="eastAsia" w:cs="Times New Roman"/>
                <w:color w:val="auto"/>
                <w:spacing w:val="0"/>
                <w:sz w:val="24"/>
                <w:szCs w:val="24"/>
                <w:highlight w:val="none"/>
                <w:u w:val="none"/>
                <w:lang w:eastAsia="zh-CN"/>
              </w:rPr>
              <w:t>国土空间规划</w:t>
            </w:r>
            <w:r>
              <w:rPr>
                <w:rFonts w:hint="default" w:ascii="Times New Roman" w:hAnsi="Times New Roman" w:eastAsia="宋体" w:cs="Times New Roman"/>
                <w:color w:val="auto"/>
                <w:spacing w:val="0"/>
                <w:sz w:val="24"/>
                <w:szCs w:val="24"/>
                <w:highlight w:val="none"/>
                <w:u w:val="none"/>
                <w:lang w:eastAsia="zh-CN"/>
              </w:rPr>
              <w:t>。</w:t>
            </w:r>
          </w:p>
          <w:p w14:paraId="77BC4E4B">
            <w:pPr>
              <w:pStyle w:val="30"/>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lang w:val="en-US" w:eastAsia="zh-CN"/>
              </w:rPr>
            </w:pPr>
            <w:bookmarkStart w:id="14" w:name="_Toc12021"/>
            <w:r>
              <w:rPr>
                <w:rFonts w:hint="eastAsia" w:ascii="Times New Roman" w:cs="Times New Roman"/>
                <w:b/>
                <w:color w:val="auto"/>
                <w:sz w:val="24"/>
                <w:szCs w:val="24"/>
                <w:highlight w:val="none"/>
                <w:u w:val="none"/>
                <w:lang w:val="en-US" w:eastAsia="zh-CN"/>
              </w:rPr>
              <w:t>3.</w:t>
            </w:r>
            <w:r>
              <w:rPr>
                <w:rFonts w:hint="eastAsia" w:ascii="Times New Roman" w:hAnsi="Times New Roman" w:eastAsia="宋体" w:cs="Times New Roman"/>
                <w:b/>
                <w:color w:val="auto"/>
                <w:sz w:val="24"/>
                <w:szCs w:val="24"/>
                <w:highlight w:val="none"/>
                <w:u w:val="none"/>
                <w:lang w:val="en-US" w:eastAsia="zh-CN"/>
              </w:rPr>
              <w:t>“</w:t>
            </w:r>
            <w:r>
              <w:rPr>
                <w:rFonts w:hint="default" w:ascii="Times New Roman" w:hAnsi="Times New Roman" w:eastAsia="宋体" w:cs="Times New Roman"/>
                <w:b/>
                <w:color w:val="auto"/>
                <w:sz w:val="24"/>
                <w:szCs w:val="24"/>
                <w:highlight w:val="none"/>
                <w:u w:val="none"/>
                <w:lang w:val="en-US" w:eastAsia="zh-CN"/>
              </w:rPr>
              <w:t>三线一单</w:t>
            </w:r>
            <w:r>
              <w:rPr>
                <w:rFonts w:hint="eastAsia" w:ascii="Times New Roman" w:hAnsi="Times New Roman" w:eastAsia="宋体" w:cs="Times New Roman"/>
                <w:b/>
                <w:color w:val="auto"/>
                <w:sz w:val="24"/>
                <w:szCs w:val="24"/>
                <w:highlight w:val="none"/>
                <w:u w:val="none"/>
                <w:lang w:val="en-US" w:eastAsia="zh-CN"/>
              </w:rPr>
              <w:t>”</w:t>
            </w:r>
            <w:r>
              <w:rPr>
                <w:rFonts w:hint="default" w:ascii="Times New Roman" w:hAnsi="Times New Roman" w:eastAsia="宋体" w:cs="Times New Roman"/>
                <w:b/>
                <w:color w:val="auto"/>
                <w:sz w:val="24"/>
                <w:szCs w:val="24"/>
                <w:highlight w:val="none"/>
                <w:u w:val="none"/>
                <w:lang w:val="en-US" w:eastAsia="zh-CN"/>
              </w:rPr>
              <w:t>控制要求的符合性分析</w:t>
            </w:r>
            <w:bookmarkEnd w:id="14"/>
          </w:p>
          <w:p w14:paraId="27B57F83">
            <w:pPr>
              <w:pStyle w:val="31"/>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根据《关于以改善环境质量为核心加强环境影响评价管理的通知》</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环评〔2016〕150号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三线一单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即：</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生态保护红线、环境质量底线、资源利用上线和生态环境准入清单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，项目建设应强化</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三线一单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约束作用。</w:t>
            </w:r>
          </w:p>
          <w:p w14:paraId="60324224">
            <w:pPr>
              <w:pStyle w:val="31"/>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1</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生态保护红线</w:t>
            </w:r>
          </w:p>
          <w:p w14:paraId="3021552D">
            <w:pPr>
              <w:pStyle w:val="31"/>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对照《福建省生态保护红线划定方案》及其调整方案</w:t>
            </w:r>
            <w:r>
              <w:rPr>
                <w:rFonts w:hint="default" w:ascii="Times New Roman" w:hAnsi="Times New Roman" w:eastAsia="宋体" w:cs="Times New Roman"/>
                <w:color w:val="auto"/>
                <w:spacing w:val="0"/>
                <w:w w:val="100"/>
                <w:position w:val="0"/>
                <w:sz w:val="24"/>
                <w:szCs w:val="24"/>
                <w:u w:val="none"/>
                <w:lang w:eastAsia="zh-CN"/>
              </w:rPr>
              <w:t>、</w:t>
            </w:r>
            <w:r>
              <w:rPr>
                <w:rFonts w:hint="default" w:ascii="Times New Roman" w:hAnsi="Times New Roman" w:eastAsia="宋体" w:cs="Times New Roman"/>
                <w:color w:val="auto"/>
                <w:sz w:val="24"/>
                <w:szCs w:val="24"/>
                <w:u w:val="none"/>
                <w:lang w:val="en-GB"/>
              </w:rPr>
              <w:t>《福清市生态功能区划》</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val="en-GB"/>
              </w:rPr>
              <w:t>2003年</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pacing w:val="0"/>
                <w:w w:val="100"/>
                <w:position w:val="0"/>
                <w:sz w:val="24"/>
                <w:szCs w:val="24"/>
                <w:u w:val="none"/>
              </w:rPr>
              <w:t>，本项目位于</w:t>
            </w:r>
            <w:r>
              <w:rPr>
                <w:rFonts w:hint="eastAsia" w:ascii="Times New Roman" w:hAnsi="Times New Roman" w:eastAsia="宋体" w:cs="Times New Roman"/>
                <w:color w:val="auto"/>
                <w:sz w:val="24"/>
                <w:szCs w:val="24"/>
                <w:highlight w:val="none"/>
                <w:u w:val="none"/>
                <w:lang w:val="en-US" w:eastAsia="zh-CN"/>
              </w:rPr>
              <w:t>福建省福州市福清市阳下街道上亭村</w:t>
            </w:r>
            <w:r>
              <w:rPr>
                <w:rFonts w:hint="default" w:ascii="Times New Roman" w:hAnsi="Times New Roman" w:eastAsia="宋体" w:cs="Times New Roman"/>
                <w:color w:val="auto"/>
                <w:sz w:val="24"/>
                <w:szCs w:val="24"/>
                <w:highlight w:val="none"/>
                <w:u w:val="none"/>
                <w:lang w:val="en-US" w:eastAsia="zh-CN"/>
              </w:rPr>
              <w:t>（</w:t>
            </w:r>
            <w:r>
              <w:rPr>
                <w:rFonts w:hint="eastAsia" w:ascii="Times New Roman" w:hAnsi="Times New Roman" w:cs="Times New Roman"/>
                <w:color w:val="auto"/>
                <w:sz w:val="24"/>
                <w:szCs w:val="24"/>
                <w:highlight w:val="none"/>
                <w:u w:val="none"/>
                <w:lang w:val="en-US" w:eastAsia="zh-CN"/>
              </w:rPr>
              <w:t>购置均和云谷·福清科技港31栋厂房1-4层）</w:t>
            </w:r>
            <w:r>
              <w:rPr>
                <w:rFonts w:hint="default" w:ascii="Times New Roman" w:hAnsi="Times New Roman" w:eastAsia="宋体" w:cs="Times New Roman"/>
                <w:color w:val="auto"/>
                <w:spacing w:val="0"/>
                <w:sz w:val="24"/>
                <w:szCs w:val="24"/>
                <w:highlight w:val="none"/>
                <w:u w:val="none"/>
                <w:lang w:eastAsia="zh-CN"/>
              </w:rPr>
              <w:t>内</w:t>
            </w:r>
            <w:r>
              <w:rPr>
                <w:rFonts w:hint="default" w:ascii="Times New Roman" w:hAnsi="Times New Roman" w:eastAsia="宋体" w:cs="Times New Roman"/>
                <w:color w:val="auto"/>
                <w:spacing w:val="0"/>
                <w:w w:val="100"/>
                <w:position w:val="0"/>
                <w:sz w:val="24"/>
                <w:szCs w:val="24"/>
                <w:u w:val="none"/>
              </w:rPr>
              <w:t>。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的要求。</w:t>
            </w:r>
          </w:p>
          <w:p w14:paraId="47F5CB0E">
            <w:pPr>
              <w:pStyle w:val="31"/>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2</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环境质量底线</w:t>
            </w:r>
          </w:p>
          <w:p w14:paraId="2D1D3D58">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pacing w:val="0"/>
                <w:sz w:val="24"/>
                <w:szCs w:val="24"/>
                <w:highlight w:val="none"/>
                <w:u w:val="none"/>
                <w:lang w:eastAsia="zh-CN"/>
              </w:rPr>
            </w:pPr>
            <w:r>
              <w:rPr>
                <w:rFonts w:hint="default" w:ascii="Times New Roman" w:hAnsi="Times New Roman" w:eastAsia="宋体" w:cs="Times New Roman"/>
                <w:color w:val="auto"/>
                <w:spacing w:val="0"/>
                <w:sz w:val="24"/>
                <w:szCs w:val="24"/>
                <w:highlight w:val="none"/>
                <w:u w:val="none"/>
                <w:lang w:eastAsia="zh-CN"/>
              </w:rPr>
              <w:t>项目所在区域环境质量底线：环境空气质量目标为《环境空气质量标准》（GB3095-2012）及修改单中的二级</w:t>
            </w:r>
            <w:r>
              <w:rPr>
                <w:rFonts w:hint="eastAsia" w:ascii="Times New Roman" w:hAnsi="Times New Roman" w:eastAsia="宋体" w:cs="Times New Roman"/>
                <w:color w:val="auto"/>
                <w:spacing w:val="0"/>
                <w:sz w:val="24"/>
                <w:szCs w:val="24"/>
                <w:highlight w:val="none"/>
                <w:u w:val="none"/>
                <w:lang w:eastAsia="zh-CN"/>
              </w:rPr>
              <w:t>标准</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周边罗汉溪地表水环境质量目标为《地表水环境质量标准》（</w:t>
            </w:r>
            <w:r>
              <w:rPr>
                <w:rFonts w:hint="default" w:ascii="Times New Roman" w:hAnsi="Times New Roman" w:eastAsia="宋体" w:cs="Times New Roman"/>
                <w:color w:val="auto"/>
                <w:spacing w:val="0"/>
                <w:sz w:val="24"/>
                <w:szCs w:val="24"/>
                <w:highlight w:val="none"/>
                <w:u w:val="none"/>
                <w:lang w:eastAsia="zh-CN"/>
              </w:rPr>
              <w:t>GB3838-2002</w:t>
            </w:r>
            <w:r>
              <w:rPr>
                <w:rFonts w:hint="eastAsia" w:ascii="Times New Roman" w:hAnsi="Times New Roman" w:eastAsia="宋体" w:cs="Times New Roman"/>
                <w:color w:val="auto"/>
                <w:spacing w:val="0"/>
                <w:sz w:val="24"/>
                <w:szCs w:val="24"/>
                <w:highlight w:val="none"/>
                <w:u w:val="none"/>
                <w:lang w:eastAsia="zh-CN"/>
              </w:rPr>
              <w:t>）中Ⅳ类水质标准</w:t>
            </w:r>
            <w:r>
              <w:rPr>
                <w:rFonts w:hint="default" w:ascii="Times New Roman" w:hAnsi="Times New Roman" w:eastAsia="宋体" w:cs="Times New Roman"/>
                <w:color w:val="auto"/>
                <w:spacing w:val="0"/>
                <w:sz w:val="24"/>
                <w:szCs w:val="24"/>
                <w:highlight w:val="none"/>
                <w:u w:val="none"/>
                <w:lang w:eastAsia="zh-CN"/>
              </w:rPr>
              <w:t>；声环境质量目标为《声环境质量标准》（GB3096-2008）</w:t>
            </w:r>
            <w:r>
              <w:rPr>
                <w:rFonts w:hint="eastAsia" w:ascii="Times New Roman" w:hAnsi="Times New Roman" w:eastAsia="宋体" w:cs="Times New Roman"/>
                <w:color w:val="auto"/>
                <w:spacing w:val="0"/>
                <w:sz w:val="24"/>
                <w:szCs w:val="24"/>
                <w:highlight w:val="none"/>
                <w:u w:val="none"/>
                <w:lang w:eastAsia="zh-CN"/>
              </w:rPr>
              <w:t>3</w:t>
            </w:r>
            <w:r>
              <w:rPr>
                <w:rFonts w:hint="default" w:ascii="Times New Roman" w:hAnsi="Times New Roman" w:eastAsia="宋体" w:cs="Times New Roman"/>
                <w:color w:val="auto"/>
                <w:spacing w:val="0"/>
                <w:sz w:val="24"/>
                <w:szCs w:val="24"/>
                <w:highlight w:val="none"/>
                <w:u w:val="none"/>
                <w:lang w:eastAsia="zh-CN"/>
              </w:rPr>
              <w:t>类</w:t>
            </w:r>
            <w:r>
              <w:rPr>
                <w:rFonts w:hint="eastAsia" w:ascii="Times New Roman" w:hAnsi="Times New Roman" w:eastAsia="宋体" w:cs="Times New Roman"/>
                <w:color w:val="auto"/>
                <w:spacing w:val="0"/>
                <w:sz w:val="24"/>
                <w:szCs w:val="24"/>
                <w:highlight w:val="none"/>
                <w:u w:val="none"/>
                <w:lang w:eastAsia="zh-CN"/>
              </w:rPr>
              <w:t>。</w:t>
            </w:r>
          </w:p>
          <w:p w14:paraId="067DED1F">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pacing w:val="0"/>
                <w:sz w:val="24"/>
                <w:szCs w:val="24"/>
                <w:highlight w:val="none"/>
                <w:u w:val="none"/>
                <w:lang w:eastAsia="zh-CN"/>
              </w:rPr>
            </w:pPr>
            <w:r>
              <w:rPr>
                <w:rFonts w:hint="eastAsia" w:cs="Times New Roman"/>
                <w:color w:val="auto"/>
                <w:spacing w:val="0"/>
                <w:sz w:val="24"/>
                <w:szCs w:val="24"/>
                <w:highlight w:val="none"/>
                <w:u w:val="none"/>
                <w:lang w:val="en-US" w:eastAsia="zh-CN"/>
              </w:rPr>
              <w:t>本项目生产过程生产废水为冷却水循环使用不外排，生活污水园区内化粪池</w:t>
            </w:r>
            <w:r>
              <w:rPr>
                <w:rFonts w:hint="eastAsia" w:ascii="Times New Roman" w:hAnsi="Times New Roman" w:eastAsia="宋体" w:cs="Times New Roman"/>
                <w:color w:val="auto"/>
                <w:spacing w:val="0"/>
                <w:sz w:val="24"/>
                <w:szCs w:val="24"/>
                <w:highlight w:val="none"/>
                <w:u w:val="none"/>
                <w:lang w:eastAsia="zh-CN"/>
              </w:rPr>
              <w:t>处理达标</w:t>
            </w:r>
            <w:r>
              <w:rPr>
                <w:rFonts w:hint="default" w:ascii="Times New Roman" w:hAnsi="Times New Roman" w:eastAsia="宋体" w:cs="Times New Roman"/>
                <w:color w:val="auto"/>
                <w:spacing w:val="0"/>
                <w:sz w:val="24"/>
                <w:szCs w:val="24"/>
                <w:highlight w:val="none"/>
                <w:u w:val="none"/>
                <w:lang w:eastAsia="zh-CN"/>
              </w:rPr>
              <w:t>后，</w:t>
            </w:r>
            <w:r>
              <w:rPr>
                <w:rFonts w:hint="eastAsia" w:ascii="Times New Roman" w:hAnsi="Times New Roman" w:eastAsia="宋体" w:cs="Times New Roman"/>
                <w:color w:val="auto"/>
                <w:spacing w:val="0"/>
                <w:sz w:val="24"/>
                <w:szCs w:val="24"/>
                <w:highlight w:val="none"/>
                <w:u w:val="none"/>
                <w:lang w:eastAsia="zh-CN"/>
              </w:rPr>
              <w:t>接入市政污水管网，纳入福清市融元污水处理厂进行集中</w:t>
            </w:r>
            <w:r>
              <w:rPr>
                <w:rFonts w:hint="default" w:ascii="Times New Roman" w:hAnsi="Times New Roman" w:eastAsia="宋体" w:cs="Times New Roman"/>
                <w:color w:val="auto"/>
                <w:spacing w:val="0"/>
                <w:sz w:val="24"/>
                <w:szCs w:val="24"/>
                <w:highlight w:val="none"/>
                <w:u w:val="none"/>
                <w:lang w:eastAsia="zh-CN"/>
              </w:rPr>
              <w:t>处理</w:t>
            </w:r>
            <w:r>
              <w:rPr>
                <w:rFonts w:hint="eastAsia" w:ascii="Times New Roman" w:hAnsi="Times New Roman" w:eastAsia="宋体" w:cs="Times New Roman"/>
                <w:color w:val="auto"/>
                <w:spacing w:val="0"/>
                <w:sz w:val="24"/>
                <w:szCs w:val="24"/>
                <w:highlight w:val="none"/>
                <w:u w:val="none"/>
                <w:lang w:eastAsia="zh-CN"/>
              </w:rPr>
              <w:t>。产生的废水均不直接进入水体，</w:t>
            </w:r>
            <w:r>
              <w:rPr>
                <w:rFonts w:hint="default" w:ascii="Times New Roman" w:hAnsi="Times New Roman" w:eastAsia="宋体" w:cs="Times New Roman"/>
                <w:color w:val="auto"/>
                <w:spacing w:val="0"/>
                <w:sz w:val="24"/>
                <w:szCs w:val="24"/>
                <w:highlight w:val="none"/>
                <w:u w:val="none"/>
                <w:lang w:eastAsia="zh-CN"/>
              </w:rPr>
              <w:t>对区域水环境影响不大</w:t>
            </w:r>
            <w:r>
              <w:rPr>
                <w:rFonts w:hint="eastAsia" w:ascii="Times New Roman" w:hAnsi="Times New Roman" w:eastAsia="宋体" w:cs="Times New Roman"/>
                <w:color w:val="auto"/>
                <w:spacing w:val="0"/>
                <w:sz w:val="24"/>
                <w:szCs w:val="24"/>
                <w:highlight w:val="none"/>
                <w:u w:val="none"/>
                <w:lang w:eastAsia="zh-CN"/>
              </w:rPr>
              <w:t>。产生的废气采取相应的废气治理措施处理后达标排放，对周边环境的影响可接受。在采取隔声、降噪、减振以及合理布局等相应的噪声治理措施后</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噪声源对</w:t>
            </w:r>
            <w:r>
              <w:rPr>
                <w:rFonts w:hint="default" w:ascii="Times New Roman" w:hAnsi="Times New Roman" w:eastAsia="宋体" w:cs="Times New Roman"/>
                <w:color w:val="auto"/>
                <w:spacing w:val="0"/>
                <w:sz w:val="24"/>
                <w:szCs w:val="24"/>
                <w:highlight w:val="none"/>
                <w:u w:val="none"/>
                <w:lang w:eastAsia="zh-CN"/>
              </w:rPr>
              <w:t>厂界的贡献值</w:t>
            </w:r>
            <w:r>
              <w:rPr>
                <w:rFonts w:hint="eastAsia" w:ascii="Times New Roman" w:hAnsi="Times New Roman" w:eastAsia="宋体" w:cs="Times New Roman"/>
                <w:color w:val="auto"/>
                <w:spacing w:val="0"/>
                <w:sz w:val="24"/>
                <w:szCs w:val="24"/>
                <w:highlight w:val="none"/>
                <w:u w:val="none"/>
                <w:lang w:eastAsia="zh-CN"/>
              </w:rPr>
              <w:t>可以满足噪声排放标准限值要求</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全厂</w:t>
            </w:r>
            <w:r>
              <w:rPr>
                <w:rFonts w:hint="default" w:ascii="Times New Roman" w:hAnsi="Times New Roman" w:eastAsia="宋体" w:cs="Times New Roman"/>
                <w:color w:val="auto"/>
                <w:spacing w:val="0"/>
                <w:sz w:val="24"/>
                <w:szCs w:val="24"/>
                <w:highlight w:val="none"/>
                <w:u w:val="none"/>
                <w:lang w:eastAsia="zh-CN"/>
              </w:rPr>
              <w:t>各类固废均得到合理处置</w:t>
            </w:r>
            <w:r>
              <w:rPr>
                <w:rFonts w:hint="eastAsia" w:ascii="Times New Roman" w:hAnsi="Times New Roman" w:eastAsia="宋体" w:cs="Times New Roman"/>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lang w:eastAsia="zh-CN"/>
              </w:rPr>
              <w:t>不会对周边环境产生影响。</w:t>
            </w:r>
            <w:r>
              <w:rPr>
                <w:rFonts w:hint="eastAsia" w:ascii="Times New Roman" w:hAnsi="Times New Roman" w:eastAsia="宋体" w:cs="Times New Roman"/>
                <w:color w:val="auto"/>
                <w:spacing w:val="0"/>
                <w:sz w:val="24"/>
                <w:szCs w:val="24"/>
                <w:highlight w:val="none"/>
                <w:u w:val="none"/>
                <w:lang w:eastAsia="zh-CN"/>
              </w:rPr>
              <w:t>因此，在</w:t>
            </w:r>
            <w:r>
              <w:rPr>
                <w:rFonts w:hint="default" w:ascii="Times New Roman" w:hAnsi="Times New Roman" w:eastAsia="宋体" w:cs="Times New Roman"/>
                <w:color w:val="auto"/>
                <w:spacing w:val="0"/>
                <w:sz w:val="24"/>
                <w:szCs w:val="24"/>
                <w:highlight w:val="none"/>
                <w:u w:val="none"/>
                <w:lang w:eastAsia="zh-CN"/>
              </w:rPr>
              <w:t>采取相关</w:t>
            </w:r>
            <w:r>
              <w:rPr>
                <w:rFonts w:hint="eastAsia" w:ascii="Times New Roman" w:hAnsi="Times New Roman" w:eastAsia="宋体" w:cs="Times New Roman"/>
                <w:color w:val="auto"/>
                <w:spacing w:val="0"/>
                <w:sz w:val="24"/>
                <w:szCs w:val="24"/>
                <w:highlight w:val="none"/>
                <w:u w:val="none"/>
                <w:lang w:eastAsia="zh-CN"/>
              </w:rPr>
              <w:t>污染</w:t>
            </w:r>
            <w:r>
              <w:rPr>
                <w:rFonts w:hint="default" w:ascii="Times New Roman" w:hAnsi="Times New Roman" w:eastAsia="宋体" w:cs="Times New Roman"/>
                <w:color w:val="auto"/>
                <w:spacing w:val="0"/>
                <w:sz w:val="24"/>
                <w:szCs w:val="24"/>
                <w:highlight w:val="none"/>
                <w:u w:val="none"/>
                <w:lang w:eastAsia="zh-CN"/>
              </w:rPr>
              <w:t>防治</w:t>
            </w:r>
            <w:r>
              <w:rPr>
                <w:rFonts w:hint="eastAsia" w:ascii="Times New Roman" w:hAnsi="Times New Roman" w:eastAsia="宋体" w:cs="Times New Roman"/>
                <w:color w:val="auto"/>
                <w:spacing w:val="0"/>
                <w:sz w:val="24"/>
                <w:szCs w:val="24"/>
                <w:highlight w:val="none"/>
                <w:u w:val="none"/>
                <w:lang w:eastAsia="zh-CN"/>
              </w:rPr>
              <w:t>治理</w:t>
            </w:r>
            <w:r>
              <w:rPr>
                <w:rFonts w:hint="default" w:ascii="Times New Roman" w:hAnsi="Times New Roman" w:eastAsia="宋体" w:cs="Times New Roman"/>
                <w:color w:val="auto"/>
                <w:spacing w:val="0"/>
                <w:sz w:val="24"/>
                <w:szCs w:val="24"/>
                <w:highlight w:val="none"/>
                <w:u w:val="none"/>
                <w:lang w:eastAsia="zh-CN"/>
              </w:rPr>
              <w:t>措施后，项目排放的污染物不会突破区域的环境质量底线。因此，项目建设符合环境功能规划。</w:t>
            </w:r>
          </w:p>
          <w:p w14:paraId="090D1073">
            <w:pPr>
              <w:pStyle w:val="31"/>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3</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资源利用上线：项目用电为区域集中供应，项目的水、气等资源利用不会突破区域的资源利用上线。本项目使用电能作为主要消耗能源，电能属于清洁能源。</w:t>
            </w:r>
            <w:r>
              <w:rPr>
                <w:rFonts w:hint="eastAsia"/>
                <w:color w:val="000000"/>
                <w:szCs w:val="21"/>
              </w:rPr>
              <w:t>项目资源的消耗量不大，不属于高耗能资源消耗型企业。项目建成运行后通过内部管理、设备选择、原辅材料的选用和管理、污染治理等多方面采取合理、可行、有效的防治措施，以“节能、降耗、减污”为目标，可有效控制污染及资源利用水平。项目不会突破区域资源利用</w:t>
            </w:r>
            <w:r>
              <w:rPr>
                <w:rFonts w:hint="eastAsia"/>
                <w:color w:val="000000"/>
                <w:szCs w:val="21"/>
                <w:lang w:eastAsia="zh-CN"/>
              </w:rPr>
              <w:t>上限</w:t>
            </w:r>
          </w:p>
          <w:p w14:paraId="5A28027A">
            <w:pPr>
              <w:pStyle w:val="31"/>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4</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环境准入负面清单</w:t>
            </w:r>
          </w:p>
          <w:p w14:paraId="6371B513">
            <w:pPr>
              <w:pStyle w:val="31"/>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pacing w:val="0"/>
                <w:w w:val="100"/>
                <w:position w:val="0"/>
                <w:sz w:val="24"/>
                <w:szCs w:val="24"/>
                <w:u w:val="none"/>
                <w:lang w:eastAsia="zh-CN"/>
              </w:rPr>
            </w:pPr>
            <w:r>
              <w:rPr>
                <w:rFonts w:hint="default" w:ascii="Times New Roman" w:hAnsi="Times New Roman" w:eastAsia="宋体" w:cs="Times New Roman"/>
                <w:color w:val="auto"/>
                <w:spacing w:val="0"/>
                <w:w w:val="100"/>
                <w:position w:val="0"/>
                <w:sz w:val="24"/>
                <w:szCs w:val="24"/>
                <w:u w:val="none"/>
              </w:rPr>
              <w:t>本项目不属于《</w:t>
            </w:r>
            <w:r>
              <w:rPr>
                <w:rFonts w:hint="default" w:ascii="Times New Roman" w:hAnsi="Times New Roman" w:eastAsia="宋体" w:cs="Times New Roman"/>
                <w:color w:val="auto"/>
                <w:spacing w:val="0"/>
                <w:w w:val="100"/>
                <w:position w:val="0"/>
                <w:sz w:val="24"/>
                <w:szCs w:val="24"/>
                <w:u w:val="none"/>
                <w:lang w:eastAsia="zh-CN"/>
              </w:rPr>
              <w:t>产业结构调整指导目录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val="en-US" w:eastAsia="zh-CN"/>
              </w:rPr>
              <w:t>2024</w:t>
            </w:r>
            <w:r>
              <w:rPr>
                <w:rFonts w:hint="eastAsia" w:ascii="Times New Roman" w:hAnsi="Times New Roman" w:cs="Times New Roman"/>
                <w:color w:val="auto"/>
                <w:spacing w:val="0"/>
                <w:w w:val="100"/>
                <w:position w:val="0"/>
                <w:sz w:val="24"/>
                <w:szCs w:val="24"/>
                <w:u w:val="none"/>
                <w:lang w:val="en-US" w:eastAsia="zh-CN"/>
              </w:rPr>
              <w:t>）</w:t>
            </w:r>
            <w:r>
              <w:rPr>
                <w:rFonts w:hint="default" w:ascii="Times New Roman" w:hAnsi="Times New Roman" w:eastAsia="宋体" w:cs="Times New Roman"/>
                <w:color w:val="auto"/>
                <w:spacing w:val="0"/>
                <w:w w:val="100"/>
                <w:position w:val="0"/>
                <w:sz w:val="24"/>
                <w:szCs w:val="24"/>
                <w:u w:val="none"/>
              </w:rPr>
              <w:t>》中限制或淘汰类；满足《市场准入负面清单草案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试点版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发改经体〔2016〕442号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；项目无行业准入条件；不属于《福建省人民政府关于加强重点流域水环境</w:t>
            </w:r>
            <w:r>
              <w:rPr>
                <w:rFonts w:hint="default" w:ascii="Times New Roman" w:hAnsi="Times New Roman" w:eastAsia="宋体" w:cs="Times New Roman"/>
                <w:color w:val="auto"/>
                <w:spacing w:val="0"/>
                <w:w w:val="100"/>
                <w:position w:val="0"/>
                <w:sz w:val="24"/>
                <w:szCs w:val="24"/>
                <w:u w:val="none"/>
                <w:lang w:eastAsia="zh-CN"/>
              </w:rPr>
              <w:t>综合</w:t>
            </w:r>
            <w:r>
              <w:rPr>
                <w:rFonts w:hint="default" w:ascii="Times New Roman" w:hAnsi="Times New Roman" w:eastAsia="宋体" w:cs="Times New Roman"/>
                <w:color w:val="auto"/>
                <w:spacing w:val="0"/>
                <w:w w:val="100"/>
                <w:position w:val="0"/>
                <w:sz w:val="24"/>
                <w:szCs w:val="24"/>
                <w:u w:val="none"/>
              </w:rPr>
              <w:t>整治的意见》中禁止的产业；满足《福建省工业建设项目投资强度控制指标》相关要求；</w:t>
            </w:r>
            <w:r>
              <w:rPr>
                <w:rFonts w:hint="default" w:ascii="Times New Roman" w:hAnsi="Times New Roman" w:eastAsia="宋体" w:cs="Times New Roman"/>
                <w:color w:val="auto"/>
                <w:sz w:val="24"/>
                <w:szCs w:val="24"/>
                <w:u w:val="none"/>
                <w:lang w:eastAsia="zh-CN"/>
              </w:rPr>
              <w:t>项目符合国家产业政策，符合《福建省人民政府关于实施</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eastAsia="zh-CN"/>
              </w:rPr>
              <w:t>三线一单</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eastAsia="zh-CN"/>
              </w:rPr>
              <w:t>生态环境分区管控的通知</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eastAsia="zh-CN"/>
              </w:rPr>
              <w:t>闽政〔2020〕12号</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eastAsia="zh-CN"/>
              </w:rPr>
              <w:t>》全省生态环境总体准入要求及</w:t>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lang w:val="en-GB" w:eastAsia="zh-CN"/>
              </w:rPr>
              <w:t>福州市人民政府关于实施“</w:t>
            </w:r>
            <w:r>
              <w:rPr>
                <w:rFonts w:hint="default" w:ascii="Times New Roman" w:hAnsi="Times New Roman" w:eastAsia="宋体" w:cs="Times New Roman"/>
                <w:color w:val="auto"/>
                <w:spacing w:val="0"/>
                <w:w w:val="100"/>
                <w:position w:val="0"/>
                <w:sz w:val="24"/>
                <w:szCs w:val="24"/>
                <w:u w:val="none"/>
                <w:lang w:val="en-GB" w:eastAsia="zh-CN"/>
              </w:rPr>
              <w:t>三线一单”生态分区管控的通知</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榕政综〔2021〕178号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val="en-US" w:eastAsia="zh-CN"/>
              </w:rPr>
              <w:t>《</w:t>
            </w:r>
            <w:r>
              <w:rPr>
                <w:rFonts w:hint="eastAsia" w:ascii="Times New Roman" w:hAnsi="Times New Roman" w:cs="Times New Roman"/>
                <w:color w:val="auto"/>
                <w:spacing w:val="0"/>
                <w:w w:val="100"/>
                <w:position w:val="0"/>
                <w:sz w:val="24"/>
                <w:szCs w:val="24"/>
                <w:u w:val="none"/>
                <w:lang w:val="en-US" w:eastAsia="zh-CN"/>
              </w:rPr>
              <w:t>福州市生态环境局关于发布福州市2024年生产环境分区管控动态更新成果的通知</w:t>
            </w:r>
            <w:r>
              <w:rPr>
                <w:rFonts w:hint="default" w:ascii="Times New Roman" w:hAnsi="Times New Roman" w:eastAsia="宋体" w:cs="Times New Roman"/>
                <w:color w:val="auto"/>
                <w:spacing w:val="0"/>
                <w:w w:val="100"/>
                <w:position w:val="0"/>
                <w:sz w:val="24"/>
                <w:szCs w:val="24"/>
                <w:u w:val="none"/>
                <w:lang w:val="en-US" w:eastAsia="zh-CN"/>
              </w:rPr>
              <w:t>》</w:t>
            </w:r>
            <w:r>
              <w:rPr>
                <w:rFonts w:hint="eastAsia" w:ascii="Times New Roman" w:hAnsi="Times New Roman" w:cs="Times New Roman"/>
                <w:color w:val="auto"/>
                <w:spacing w:val="0"/>
                <w:w w:val="100"/>
                <w:position w:val="0"/>
                <w:sz w:val="24"/>
                <w:szCs w:val="24"/>
                <w:u w:val="none"/>
                <w:lang w:val="en-US" w:eastAsia="zh-CN"/>
              </w:rPr>
              <w:t>（榕环保综</w:t>
            </w:r>
            <w:r>
              <w:rPr>
                <w:rFonts w:hint="default" w:ascii="Times New Roman" w:hAnsi="Times New Roman" w:eastAsia="宋体" w:cs="Times New Roman"/>
                <w:color w:val="auto"/>
                <w:spacing w:val="0"/>
                <w:w w:val="100"/>
                <w:position w:val="0"/>
                <w:sz w:val="24"/>
                <w:szCs w:val="24"/>
                <w:u w:val="none"/>
              </w:rPr>
              <w:t>〔202</w:t>
            </w:r>
            <w:r>
              <w:rPr>
                <w:rFonts w:hint="eastAsia" w:ascii="Times New Roman" w:hAnsi="Times New Roman" w:cs="Times New Roman"/>
                <w:color w:val="auto"/>
                <w:spacing w:val="0"/>
                <w:w w:val="100"/>
                <w:position w:val="0"/>
                <w:sz w:val="24"/>
                <w:szCs w:val="24"/>
                <w:u w:val="none"/>
                <w:lang w:val="en-US" w:eastAsia="zh-CN"/>
              </w:rPr>
              <w:t>5</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val="en-US" w:eastAsia="zh-CN"/>
              </w:rPr>
              <w:t>1号）</w:t>
            </w:r>
            <w:r>
              <w:rPr>
                <w:rFonts w:hint="default" w:ascii="Times New Roman" w:hAnsi="Times New Roman" w:eastAsia="宋体" w:cs="Times New Roman"/>
                <w:color w:val="auto"/>
                <w:spacing w:val="0"/>
                <w:w w:val="100"/>
                <w:position w:val="0"/>
                <w:sz w:val="24"/>
                <w:szCs w:val="24"/>
                <w:u w:val="none"/>
                <w:lang w:eastAsia="zh-CN"/>
              </w:rPr>
              <w:t>的要求；不属于《市场准入负面清单》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eastAsia="zh-CN"/>
              </w:rPr>
              <w:t>2020年版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eastAsia="zh-CN"/>
              </w:rPr>
              <w:t>中禁止准入类的项目。</w:t>
            </w:r>
          </w:p>
          <w:p w14:paraId="7D28D66D">
            <w:pPr>
              <w:pStyle w:val="30"/>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lang w:val="en-US" w:eastAsia="zh-CN"/>
              </w:rPr>
            </w:pPr>
            <w:bookmarkStart w:id="15" w:name="_Toc24656"/>
            <w:r>
              <w:rPr>
                <w:rFonts w:hint="eastAsia" w:ascii="Times New Roman" w:cs="Times New Roman"/>
                <w:b/>
                <w:color w:val="auto"/>
                <w:sz w:val="24"/>
                <w:szCs w:val="24"/>
                <w:highlight w:val="none"/>
                <w:u w:val="none"/>
                <w:lang w:val="en-US" w:eastAsia="zh-CN"/>
              </w:rPr>
              <w:t>4.</w:t>
            </w:r>
            <w:r>
              <w:rPr>
                <w:rFonts w:hint="default" w:ascii="Times New Roman" w:hAnsi="Times New Roman" w:eastAsia="宋体" w:cs="Times New Roman"/>
                <w:b/>
                <w:color w:val="auto"/>
                <w:sz w:val="24"/>
                <w:szCs w:val="24"/>
                <w:highlight w:val="none"/>
                <w:u w:val="none"/>
                <w:lang w:val="en-US" w:eastAsia="zh-CN"/>
              </w:rPr>
              <w:t>与《福建省人民政府关于实施“三线一单”生态环境分区管控的通知》符合性分析</w:t>
            </w:r>
            <w:bookmarkEnd w:id="15"/>
          </w:p>
          <w:p w14:paraId="3BEE1C82">
            <w:pPr>
              <w:pStyle w:val="31"/>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rPr>
              <w:t>根据</w:t>
            </w:r>
            <w:r>
              <w:rPr>
                <w:rFonts w:hint="eastAsia" w:ascii="Times New Roman" w:hAnsi="Times New Roman"/>
                <w:sz w:val="24"/>
                <w:szCs w:val="24"/>
                <w:lang w:val="en-GB"/>
              </w:rPr>
              <w:t>《福建省人民政府关于实施“三线一单”生态环境分区管控的通知》（</w:t>
            </w:r>
            <w:r>
              <w:rPr>
                <w:rFonts w:hint="eastAsia" w:ascii="Times New Roman" w:hAnsi="Times New Roman"/>
                <w:sz w:val="24"/>
                <w:szCs w:val="24"/>
              </w:rPr>
              <w:t>闽政〔2020〕12号</w:t>
            </w:r>
            <w:r>
              <w:rPr>
                <w:rFonts w:hint="eastAsia" w:ascii="Times New Roman" w:hAnsi="Times New Roman"/>
                <w:sz w:val="24"/>
                <w:szCs w:val="24"/>
                <w:lang w:val="en-GB"/>
              </w:rPr>
              <w:t>）</w:t>
            </w:r>
            <w:r>
              <w:rPr>
                <w:rFonts w:hint="default" w:ascii="Times New Roman" w:hAnsi="Times New Roman" w:eastAsia="宋体" w:cs="Times New Roman"/>
                <w:sz w:val="24"/>
                <w:szCs w:val="24"/>
                <w:lang w:val="en-US" w:eastAsia="zh-CN"/>
              </w:rPr>
              <w:t>和</w:t>
            </w:r>
            <w:r>
              <w:rPr>
                <w:rFonts w:hint="eastAsia" w:ascii="Times New Roman" w:hAnsi="Times New Roman"/>
                <w:sz w:val="24"/>
                <w:szCs w:val="24"/>
              </w:rPr>
              <w:t>《</w:t>
            </w:r>
            <w:r>
              <w:rPr>
                <w:rFonts w:hint="eastAsia" w:ascii="Times New Roman" w:hAnsi="Times New Roman"/>
                <w:sz w:val="24"/>
                <w:szCs w:val="24"/>
                <w:lang w:val="en-US" w:eastAsia="zh-CN"/>
              </w:rPr>
              <w:t>福州市生态环境局关于发布福州市2024年生态环境分区管控动态更新成果的通知</w:t>
            </w:r>
            <w:r>
              <w:rPr>
                <w:rFonts w:hint="eastAsia" w:ascii="Times New Roman" w:hAnsi="Times New Roman"/>
                <w:sz w:val="24"/>
                <w:szCs w:val="24"/>
              </w:rPr>
              <w:t>》（榕</w:t>
            </w:r>
            <w:r>
              <w:rPr>
                <w:rFonts w:hint="eastAsia" w:ascii="Times New Roman" w:hAnsi="Times New Roman"/>
                <w:sz w:val="24"/>
                <w:szCs w:val="24"/>
                <w:lang w:val="en-US" w:eastAsia="zh-CN"/>
              </w:rPr>
              <w:t>环保综</w:t>
            </w:r>
            <w:r>
              <w:rPr>
                <w:rFonts w:hint="eastAsia" w:ascii="Times New Roman" w:hAnsi="Times New Roman"/>
                <w:sz w:val="24"/>
                <w:szCs w:val="24"/>
              </w:rPr>
              <w:t>〔202</w:t>
            </w:r>
            <w:r>
              <w:rPr>
                <w:rFonts w:hint="eastAsia" w:ascii="Times New Roman" w:hAnsi="Times New Roman"/>
                <w:sz w:val="24"/>
                <w:szCs w:val="24"/>
                <w:lang w:val="en-US" w:eastAsia="zh-CN"/>
              </w:rPr>
              <w:t>5</w:t>
            </w:r>
            <w:r>
              <w:rPr>
                <w:rFonts w:hint="eastAsia" w:ascii="Times New Roman" w:hAnsi="Times New Roman"/>
                <w:sz w:val="24"/>
                <w:szCs w:val="24"/>
              </w:rPr>
              <w:t>〕</w:t>
            </w:r>
            <w:r>
              <w:rPr>
                <w:rFonts w:hint="eastAsia" w:ascii="Times New Roman" w:hAnsi="Times New Roman"/>
                <w:sz w:val="24"/>
                <w:szCs w:val="24"/>
                <w:lang w:val="en-US" w:eastAsia="zh-CN"/>
              </w:rPr>
              <w:t>1</w:t>
            </w:r>
            <w:r>
              <w:rPr>
                <w:rFonts w:hint="eastAsia" w:ascii="Times New Roman" w:hAnsi="Times New Roman"/>
                <w:sz w:val="24"/>
                <w:szCs w:val="24"/>
              </w:rPr>
              <w:t>号）</w:t>
            </w:r>
            <w:r>
              <w:rPr>
                <w:rFonts w:hint="eastAsia" w:ascii="Times New Roman" w:hAnsi="Times New Roman"/>
                <w:sz w:val="24"/>
                <w:szCs w:val="24"/>
                <w:lang w:val="en-US" w:eastAsia="zh-CN"/>
              </w:rPr>
              <w:t>以及</w:t>
            </w:r>
            <w:r>
              <w:rPr>
                <w:rFonts w:hint="default" w:ascii="Times New Roman" w:hAnsi="Times New Roman" w:eastAsia="宋体" w:cs="Times New Roman"/>
                <w:color w:val="auto"/>
                <w:sz w:val="24"/>
                <w:szCs w:val="24"/>
                <w:highlight w:val="none"/>
                <w:shd w:val="clear" w:color="auto" w:fill="auto"/>
                <w:lang w:val="en-US" w:eastAsia="zh-CN"/>
              </w:rPr>
              <w:t>《福建省生态环境分区管控综合查询报告》报告编号：</w:t>
            </w:r>
            <w:r>
              <w:rPr>
                <w:rFonts w:hint="eastAsia" w:ascii="宋体" w:hAnsi="宋体" w:eastAsia="宋体" w:cs="宋体"/>
                <w:sz w:val="24"/>
                <w:szCs w:val="24"/>
                <w:vertAlign w:val="baseline"/>
                <w:lang w:val="en-US" w:eastAsia="zh-CN"/>
              </w:rPr>
              <w:t>FQGK1757572439970</w:t>
            </w:r>
            <w:r>
              <w:rPr>
                <w:rFonts w:hint="default" w:ascii="Times New Roman" w:hAnsi="Times New Roman" w:eastAsia="宋体" w:cs="Times New Roman"/>
                <w:sz w:val="24"/>
                <w:szCs w:val="24"/>
                <w:vertAlign w:val="baseline"/>
                <w:lang w:val="en-US" w:eastAsia="zh-CN"/>
              </w:rPr>
              <w:t>。</w:t>
            </w: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b w:val="0"/>
                <w:bCs w:val="0"/>
                <w:color w:val="auto"/>
                <w:kern w:val="2"/>
                <w:sz w:val="24"/>
                <w:szCs w:val="24"/>
                <w:highlight w:val="none"/>
                <w:lang w:val="en-US" w:eastAsia="zh-CN" w:bidi="ar-SA"/>
              </w:rPr>
              <w:t>位于</w:t>
            </w:r>
            <w:r>
              <w:rPr>
                <w:rFonts w:hint="eastAsia" w:ascii="Times New Roman" w:hAnsi="Times New Roman" w:cs="Times New Roman"/>
                <w:color w:val="auto"/>
                <w:sz w:val="24"/>
                <w:szCs w:val="24"/>
                <w:highlight w:val="none"/>
                <w:u w:val="none"/>
                <w:lang w:val="en-US" w:eastAsia="zh-CN"/>
              </w:rPr>
              <w:t>福建省福州市福清市阳下街道上亭村（购置均和云谷·福清科技港31栋厂房1-4层）</w:t>
            </w:r>
            <w:r>
              <w:rPr>
                <w:rFonts w:hint="default" w:ascii="Times New Roman" w:hAnsi="Times New Roman" w:eastAsia="宋体" w:cs="Times New Roman"/>
                <w:color w:val="auto"/>
                <w:sz w:val="24"/>
                <w:szCs w:val="24"/>
                <w:highlight w:val="none"/>
                <w:lang w:val="en-US" w:eastAsia="zh-CN"/>
              </w:rPr>
              <w:t>，在</w:t>
            </w:r>
            <w:r>
              <w:rPr>
                <w:rFonts w:hint="eastAsia" w:ascii="Times New Roman" w:hAnsi="Times New Roman" w:cs="Times New Roman"/>
                <w:color w:val="auto"/>
                <w:sz w:val="24"/>
                <w:szCs w:val="24"/>
                <w:highlight w:val="none"/>
                <w:lang w:val="en-US" w:eastAsia="zh-CN"/>
              </w:rPr>
              <w:t>福清融侨经济开发区（工业园区）内且</w:t>
            </w:r>
            <w:r>
              <w:rPr>
                <w:rFonts w:hint="default" w:ascii="Times New Roman" w:hAnsi="Times New Roman" w:eastAsia="宋体" w:cs="Times New Roman"/>
                <w:color w:val="auto"/>
                <w:sz w:val="24"/>
                <w:szCs w:val="24"/>
                <w:highlight w:val="none"/>
                <w:lang w:val="en-US" w:eastAsia="zh-CN"/>
              </w:rPr>
              <w:t>项目属于</w:t>
            </w:r>
            <w:r>
              <w:rPr>
                <w:rFonts w:hint="eastAsia" w:ascii="Times New Roman" w:hAnsi="Times New Roman" w:cs="Times New Roman"/>
                <w:color w:val="auto"/>
                <w:sz w:val="24"/>
                <w:szCs w:val="24"/>
                <w:highlight w:val="none"/>
                <w:lang w:val="en-US" w:eastAsia="zh-CN"/>
              </w:rPr>
              <w:t>汽车塑料零配件</w:t>
            </w:r>
            <w:r>
              <w:rPr>
                <w:rFonts w:hint="default" w:ascii="Times New Roman" w:hAnsi="Times New Roman" w:eastAsia="宋体" w:cs="Times New Roman"/>
                <w:color w:val="auto"/>
                <w:sz w:val="24"/>
                <w:szCs w:val="24"/>
                <w:highlight w:val="none"/>
                <w:lang w:val="en-US" w:eastAsia="zh-CN"/>
              </w:rPr>
              <w:t>制造业，不属于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福州市生态环境总体准入要求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lang w:val="en-US" w:eastAsia="zh-CN"/>
              </w:rPr>
              <w:t>“空间</w:t>
            </w:r>
            <w:r>
              <w:rPr>
                <w:rFonts w:hint="default" w:ascii="Times New Roman" w:hAnsi="Times New Roman" w:eastAsia="宋体" w:cs="Times New Roman"/>
                <w:color w:val="auto"/>
                <w:sz w:val="24"/>
                <w:szCs w:val="24"/>
                <w:highlight w:val="none"/>
                <w:lang w:val="en-US" w:eastAsia="zh-CN"/>
              </w:rPr>
              <w:t>布局约束</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的工业区及特别规定的行业。</w:t>
            </w:r>
            <w:r>
              <w:rPr>
                <w:rFonts w:hint="default" w:ascii="Times New Roman" w:hAnsi="Times New Roman" w:eastAsia="宋体" w:cs="Times New Roman"/>
                <w:color w:val="auto"/>
                <w:sz w:val="24"/>
                <w:szCs w:val="24"/>
                <w:highlight w:val="none"/>
                <w:shd w:val="clear" w:color="auto" w:fill="auto"/>
                <w:lang w:val="en-US" w:eastAsia="zh-CN"/>
              </w:rPr>
              <w:t>全省生态环境总体准入要求符合性分析如下。</w:t>
            </w:r>
            <w:r>
              <w:rPr>
                <w:rFonts w:hint="default" w:ascii="Times New Roman" w:hAnsi="Times New Roman" w:eastAsia="宋体" w:cs="Times New Roman"/>
                <w:color w:val="auto"/>
                <w:sz w:val="24"/>
                <w:szCs w:val="24"/>
                <w:highlight w:val="none"/>
              </w:rPr>
              <w:t>相关要求分析见表1.1-</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与福州市生态环境总体准入要求进行对照分析，</w:t>
            </w:r>
            <w:r>
              <w:rPr>
                <w:rFonts w:hint="default" w:ascii="Times New Roman" w:hAnsi="Times New Roman" w:eastAsia="宋体" w:cs="Times New Roman"/>
                <w:color w:val="auto"/>
                <w:sz w:val="24"/>
                <w:szCs w:val="24"/>
                <w:highlight w:val="none"/>
              </w:rPr>
              <w:t>具体见表1</w:t>
            </w: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sz w:val="24"/>
                <w:szCs w:val="24"/>
              </w:rPr>
              <w:t>与重点管控单元（环境管控单元编码</w:t>
            </w:r>
            <w:r>
              <w:rPr>
                <w:rFonts w:hint="eastAsia" w:ascii="Times New Roman" w:hAnsi="Times New Roman" w:cs="Times New Roman"/>
                <w:sz w:val="24"/>
                <w:szCs w:val="24"/>
                <w:lang w:eastAsia="zh-CN"/>
              </w:rPr>
              <w:t>：</w:t>
            </w:r>
            <w:r>
              <w:rPr>
                <w:rFonts w:hint="eastAsia"/>
                <w:vertAlign w:val="baseline"/>
                <w:lang w:val="en-US" w:eastAsia="zh-CN"/>
              </w:rPr>
              <w:t>ZH35018120008</w:t>
            </w:r>
            <w:r>
              <w:rPr>
                <w:rFonts w:hint="default" w:ascii="Times New Roman" w:hAnsi="Times New Roman" w:eastAsia="宋体" w:cs="Times New Roman"/>
                <w:sz w:val="24"/>
                <w:szCs w:val="24"/>
                <w:highlight w:val="none"/>
              </w:rPr>
              <w:t>）准入要求符合性分析见表1</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4。福建省生态环境分区管控数据应用平台查询结果截图详见</w:t>
            </w:r>
            <w:r>
              <w:rPr>
                <w:rFonts w:hint="default" w:ascii="Times New Roman" w:hAnsi="Times New Roman" w:eastAsia="宋体" w:cs="Times New Roman"/>
                <w:b/>
                <w:bCs/>
                <w:sz w:val="24"/>
                <w:szCs w:val="24"/>
                <w:highlight w:val="none"/>
              </w:rPr>
              <w:t>附图</w:t>
            </w:r>
            <w:r>
              <w:rPr>
                <w:rFonts w:hint="eastAsia" w:ascii="Times New Roman" w:hAnsi="Times New Roman" w:cs="Times New Roman"/>
                <w:b/>
                <w:bCs/>
                <w:sz w:val="24"/>
                <w:szCs w:val="24"/>
                <w:highlight w:val="none"/>
                <w:lang w:val="en-US" w:eastAsia="zh-CN"/>
              </w:rPr>
              <w:t>七</w:t>
            </w:r>
            <w:r>
              <w:rPr>
                <w:rFonts w:hint="default" w:ascii="Times New Roman" w:hAnsi="Times New Roman" w:eastAsia="宋体" w:cs="Times New Roman"/>
                <w:sz w:val="24"/>
                <w:szCs w:val="24"/>
                <w:highlight w:val="none"/>
              </w:rPr>
              <w:t>，福建省生态环境分区管控综</w:t>
            </w:r>
            <w:r>
              <w:rPr>
                <w:rFonts w:hint="default" w:ascii="Times New Roman" w:hAnsi="Times New Roman" w:eastAsia="宋体" w:cs="Times New Roman"/>
                <w:b w:val="0"/>
                <w:bCs w:val="0"/>
                <w:sz w:val="24"/>
                <w:szCs w:val="24"/>
                <w:highlight w:val="none"/>
              </w:rPr>
              <w:t>合查询报告详见</w:t>
            </w:r>
            <w:r>
              <w:rPr>
                <w:rFonts w:hint="default" w:ascii="Times New Roman" w:hAnsi="Times New Roman" w:eastAsia="宋体" w:cs="Times New Roman"/>
                <w:b/>
                <w:bCs/>
                <w:sz w:val="24"/>
                <w:szCs w:val="24"/>
                <w:highlight w:val="none"/>
                <w:lang w:val="en-US" w:eastAsia="zh-CN"/>
              </w:rPr>
              <w:t>附件十</w:t>
            </w:r>
            <w:r>
              <w:rPr>
                <w:rFonts w:hint="eastAsia" w:ascii="Times New Roman" w:hAnsi="Times New Roman" w:cs="Times New Roman"/>
                <w:b/>
                <w:bCs/>
                <w:sz w:val="24"/>
                <w:szCs w:val="24"/>
                <w:highlight w:val="none"/>
                <w:lang w:val="en-US" w:eastAsia="zh-CN"/>
              </w:rPr>
              <w:t>三</w:t>
            </w:r>
            <w:r>
              <w:rPr>
                <w:rFonts w:hint="default" w:ascii="Times New Roman" w:hAnsi="Times New Roman" w:eastAsia="宋体" w:cs="Times New Roman"/>
                <w:color w:val="auto"/>
                <w:spacing w:val="0"/>
                <w:w w:val="100"/>
                <w:position w:val="0"/>
                <w:sz w:val="24"/>
                <w:szCs w:val="24"/>
                <w:u w:val="none"/>
              </w:rPr>
              <w:t>。</w:t>
            </w:r>
          </w:p>
        </w:tc>
      </w:tr>
    </w:tbl>
    <w:p w14:paraId="5CD64993">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br w:type="page"/>
      </w:r>
    </w:p>
    <w:p w14:paraId="2F37FA21">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sectPr>
          <w:footerReference r:id="rId6" w:type="default"/>
          <w:pgSz w:w="11906" w:h="16838"/>
          <w:pgMar w:top="1587" w:right="1417" w:bottom="1587" w:left="1417" w:header="851" w:footer="992" w:gutter="0"/>
          <w:pgBorders>
            <w:top w:val="none" w:sz="0" w:space="0"/>
            <w:left w:val="none" w:sz="0" w:space="0"/>
            <w:bottom w:val="none" w:sz="0" w:space="0"/>
            <w:right w:val="none" w:sz="0" w:space="0"/>
          </w:pgBorders>
          <w:pgNumType w:fmt="decimal" w:start="1"/>
          <w:cols w:space="0" w:num="1"/>
          <w:rtlGutter w:val="0"/>
          <w:docGrid w:type="lines" w:linePitch="318" w:charSpace="0"/>
        </w:sectPr>
      </w:pPr>
    </w:p>
    <w:tbl>
      <w:tblPr>
        <w:tblStyle w:val="22"/>
        <w:tblW w:w="48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2839"/>
      </w:tblGrid>
      <w:tr w14:paraId="5E57A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3" w:hRule="atLeast"/>
          <w:jc w:val="center"/>
        </w:trPr>
        <w:tc>
          <w:tcPr>
            <w:tcW w:w="272" w:type="pct"/>
            <w:noWrap w:val="0"/>
            <w:vAlign w:val="center"/>
          </w:tcPr>
          <w:p w14:paraId="231E3E50">
            <w:pPr>
              <w:rPr>
                <w:rFonts w:hint="default"/>
              </w:rPr>
            </w:pPr>
          </w:p>
        </w:tc>
        <w:tc>
          <w:tcPr>
            <w:tcW w:w="4727" w:type="pct"/>
            <w:noWrap w:val="0"/>
            <w:vAlign w:val="center"/>
          </w:tcPr>
          <w:p w14:paraId="3CDA0B98">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rPr>
            </w:pPr>
            <w:r>
              <w:rPr>
                <w:rFonts w:hint="default" w:ascii="Times New Roman" w:hAnsi="Times New Roman" w:eastAsia="宋体" w:cs="Times New Roman"/>
                <w:b/>
                <w:bCs/>
                <w:color w:val="auto"/>
                <w:kern w:val="0"/>
                <w:sz w:val="24"/>
                <w:szCs w:val="24"/>
                <w:u w:val="none"/>
              </w:rPr>
              <w:t>表</w:t>
            </w:r>
            <w:r>
              <w:rPr>
                <w:rFonts w:hint="default" w:ascii="Times New Roman" w:hAnsi="Times New Roman" w:eastAsia="宋体" w:cs="Times New Roman"/>
                <w:b/>
                <w:bCs/>
                <w:color w:val="auto"/>
                <w:kern w:val="0"/>
                <w:sz w:val="24"/>
                <w:szCs w:val="24"/>
                <w:u w:val="none"/>
                <w:lang w:val="en-US" w:eastAsia="zh-CN"/>
              </w:rPr>
              <w:t>1.1-</w:t>
            </w:r>
            <w:r>
              <w:rPr>
                <w:rFonts w:hint="eastAsia" w:cs="Times New Roman"/>
                <w:b/>
                <w:bCs/>
                <w:color w:val="auto"/>
                <w:kern w:val="0"/>
                <w:sz w:val="24"/>
                <w:szCs w:val="24"/>
                <w:u w:val="none"/>
                <w:lang w:val="en-US" w:eastAsia="zh-CN"/>
              </w:rPr>
              <w:t>2</w:t>
            </w:r>
            <w:r>
              <w:rPr>
                <w:rFonts w:hint="default" w:ascii="Times New Roman" w:hAnsi="Times New Roman" w:eastAsia="宋体" w:cs="Times New Roman"/>
                <w:b/>
                <w:bCs/>
                <w:color w:val="auto"/>
                <w:kern w:val="0"/>
                <w:sz w:val="24"/>
                <w:szCs w:val="24"/>
                <w:u w:val="none"/>
              </w:rPr>
              <w:t xml:space="preserve"> 与</w:t>
            </w:r>
            <w:r>
              <w:rPr>
                <w:rFonts w:hint="eastAsia" w:cs="Times New Roman"/>
                <w:b/>
                <w:bCs/>
                <w:color w:val="auto"/>
                <w:kern w:val="0"/>
                <w:sz w:val="24"/>
                <w:szCs w:val="24"/>
                <w:u w:val="none"/>
                <w:lang w:val="en-US" w:eastAsia="zh-CN"/>
              </w:rPr>
              <w:t>全省生态环境总体准入要求的符合性分析</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624"/>
              <w:gridCol w:w="6970"/>
              <w:gridCol w:w="2941"/>
              <w:gridCol w:w="884"/>
            </w:tblGrid>
            <w:tr w14:paraId="283D8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5" w:type="pct"/>
                  <w:tcBorders>
                    <w:tl2br w:val="nil"/>
                    <w:tr2bl w:val="nil"/>
                  </w:tcBorders>
                  <w:noWrap w:val="0"/>
                  <w:vAlign w:val="center"/>
                </w:tcPr>
                <w:p w14:paraId="0D6450CD">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适用范围</w:t>
                  </w:r>
                </w:p>
              </w:tc>
              <w:tc>
                <w:tcPr>
                  <w:tcW w:w="3008" w:type="pct"/>
                  <w:gridSpan w:val="2"/>
                  <w:tcBorders>
                    <w:tl2br w:val="nil"/>
                    <w:tr2bl w:val="nil"/>
                  </w:tcBorders>
                  <w:noWrap w:val="0"/>
                  <w:vAlign w:val="center"/>
                </w:tcPr>
                <w:p w14:paraId="23DC211C">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准入要</w:t>
                  </w:r>
                  <w:r>
                    <w:rPr>
                      <w:rFonts w:hint="default" w:ascii="Times New Roman" w:hAnsi="Times New Roman" w:eastAsia="宋体" w:cs="Times New Roman"/>
                      <w:color w:val="auto"/>
                      <w:sz w:val="21"/>
                      <w:szCs w:val="21"/>
                      <w:u w:val="none"/>
                      <w:lang w:val="en-US" w:eastAsia="zh-CN"/>
                    </w:rPr>
                    <w:t>求</w:t>
                  </w:r>
                </w:p>
              </w:tc>
              <w:tc>
                <w:tcPr>
                  <w:tcW w:w="1165" w:type="pct"/>
                  <w:tcBorders>
                    <w:tl2br w:val="nil"/>
                    <w:tr2bl w:val="nil"/>
                  </w:tcBorders>
                  <w:noWrap w:val="0"/>
                  <w:vAlign w:val="center"/>
                </w:tcPr>
                <w:p w14:paraId="40BF28E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z w:val="21"/>
                      <w:szCs w:val="21"/>
                      <w:u w:val="none"/>
                      <w:lang w:val="en-US" w:eastAsia="zh-CN"/>
                    </w:rPr>
                    <w:t>情况</w:t>
                  </w:r>
                </w:p>
              </w:tc>
              <w:tc>
                <w:tcPr>
                  <w:tcW w:w="350" w:type="pct"/>
                  <w:tcBorders>
                    <w:tl2br w:val="nil"/>
                    <w:tr2bl w:val="nil"/>
                  </w:tcBorders>
                  <w:noWrap w:val="0"/>
                  <w:vAlign w:val="center"/>
                </w:tcPr>
                <w:p w14:paraId="009DD24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符合性</w:t>
                  </w:r>
                </w:p>
              </w:tc>
            </w:tr>
            <w:tr w14:paraId="3F8B7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75" w:type="pct"/>
                  <w:vMerge w:val="restart"/>
                  <w:tcBorders>
                    <w:tl2br w:val="nil"/>
                    <w:tr2bl w:val="nil"/>
                  </w:tcBorders>
                  <w:noWrap w:val="0"/>
                  <w:vAlign w:val="center"/>
                </w:tcPr>
                <w:p w14:paraId="6003611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全省陆域</w:t>
                  </w:r>
                </w:p>
              </w:tc>
              <w:tc>
                <w:tcPr>
                  <w:tcW w:w="247" w:type="pct"/>
                  <w:vMerge w:val="restart"/>
                  <w:tcBorders>
                    <w:tl2br w:val="nil"/>
                    <w:tr2bl w:val="nil"/>
                  </w:tcBorders>
                  <w:noWrap w:val="0"/>
                  <w:vAlign w:val="center"/>
                </w:tcPr>
                <w:p w14:paraId="6440F3E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空间布局约束</w:t>
                  </w:r>
                </w:p>
              </w:tc>
              <w:tc>
                <w:tcPr>
                  <w:tcW w:w="2761" w:type="pct"/>
                  <w:tcBorders>
                    <w:tl2br w:val="nil"/>
                    <w:tr2bl w:val="nil"/>
                  </w:tcBorders>
                  <w:noWrap w:val="0"/>
                  <w:vAlign w:val="center"/>
                </w:tcPr>
                <w:p w14:paraId="16BDB81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1.石化、汽车、船舶、冶金、水泥、制浆造纸、印染等重点产业，要符合全省规划布局要求。</w:t>
                  </w:r>
                </w:p>
              </w:tc>
              <w:tc>
                <w:tcPr>
                  <w:tcW w:w="1165" w:type="pct"/>
                  <w:vMerge w:val="restart"/>
                  <w:tcBorders>
                    <w:tl2br w:val="nil"/>
                    <w:tr2bl w:val="nil"/>
                  </w:tcBorders>
                  <w:noWrap w:val="0"/>
                  <w:vAlign w:val="center"/>
                </w:tcPr>
                <w:p w14:paraId="21A02825">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z w:val="21"/>
                      <w:szCs w:val="21"/>
                      <w:u w:val="none"/>
                      <w:lang w:val="en-US" w:eastAsia="zh-CN"/>
                    </w:rPr>
                    <w:t>主要从事汽车塑料配件加工</w:t>
                  </w:r>
                  <w:r>
                    <w:rPr>
                      <w:rFonts w:hint="default" w:ascii="Times New Roman" w:hAnsi="Times New Roman" w:eastAsia="宋体" w:cs="Times New Roman"/>
                      <w:color w:val="auto"/>
                      <w:sz w:val="21"/>
                      <w:szCs w:val="21"/>
                      <w:u w:val="none"/>
                    </w:rPr>
                    <w:t>，不在空间布局约束范围中</w:t>
                  </w:r>
                  <w:r>
                    <w:rPr>
                      <w:rFonts w:hint="eastAsia"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rPr>
                    <w:t>项目周边水环境质量达标。生活污水经化粪池处理后接入市政管网汇入</w:t>
                  </w:r>
                  <w:r>
                    <w:rPr>
                      <w:rFonts w:hint="default" w:ascii="Times New Roman" w:hAnsi="Times New Roman" w:eastAsia="宋体" w:cs="Times New Roman"/>
                      <w:color w:val="auto"/>
                      <w:sz w:val="21"/>
                      <w:szCs w:val="21"/>
                      <w:u w:val="none"/>
                      <w:lang w:val="en-US" w:eastAsia="zh-CN"/>
                    </w:rPr>
                    <w:t>污水处理</w:t>
                  </w:r>
                  <w:r>
                    <w:rPr>
                      <w:rFonts w:hint="default" w:ascii="Times New Roman" w:hAnsi="Times New Roman" w:eastAsia="宋体" w:cs="Times New Roman"/>
                      <w:color w:val="auto"/>
                      <w:sz w:val="21"/>
                      <w:szCs w:val="21"/>
                      <w:u w:val="none"/>
                      <w:lang w:eastAsia="zh-CN"/>
                    </w:rPr>
                    <w:t>厂</w:t>
                  </w:r>
                  <w:r>
                    <w:rPr>
                      <w:rFonts w:hint="eastAsia" w:cs="Times New Roman"/>
                      <w:color w:val="auto"/>
                      <w:sz w:val="21"/>
                      <w:szCs w:val="21"/>
                      <w:u w:val="none"/>
                      <w:lang w:eastAsia="zh-CN"/>
                    </w:rPr>
                    <w:t>。</w:t>
                  </w:r>
                  <w:r>
                    <w:rPr>
                      <w:rFonts w:hint="eastAsia" w:cs="Times New Roman"/>
                      <w:color w:val="auto"/>
                      <w:sz w:val="21"/>
                      <w:szCs w:val="21"/>
                      <w:u w:val="none"/>
                      <w:lang w:val="en-US" w:eastAsia="zh-CN"/>
                    </w:rPr>
                    <w:t>与空间布局约束不冲突。</w:t>
                  </w:r>
                </w:p>
              </w:tc>
              <w:tc>
                <w:tcPr>
                  <w:tcW w:w="350" w:type="pct"/>
                  <w:vMerge w:val="restart"/>
                  <w:tcBorders>
                    <w:tl2br w:val="nil"/>
                    <w:tr2bl w:val="nil"/>
                  </w:tcBorders>
                  <w:noWrap w:val="0"/>
                  <w:vAlign w:val="center"/>
                </w:tcPr>
                <w:p w14:paraId="1DC689B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5B89C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75" w:type="pct"/>
                  <w:vMerge w:val="continue"/>
                  <w:tcBorders>
                    <w:tl2br w:val="nil"/>
                    <w:tr2bl w:val="nil"/>
                  </w:tcBorders>
                  <w:noWrap w:val="0"/>
                  <w:vAlign w:val="center"/>
                </w:tcPr>
                <w:p w14:paraId="1F98017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3FA09E5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28D6FBE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2.严控钢铁、水泥、平板玻璃等产能过剩行业新增产能，新增产能应实施产能等量或减量置换。</w:t>
                  </w:r>
                </w:p>
              </w:tc>
              <w:tc>
                <w:tcPr>
                  <w:tcW w:w="1165" w:type="pct"/>
                  <w:vMerge w:val="continue"/>
                  <w:tcBorders>
                    <w:tl2br w:val="nil"/>
                    <w:tr2bl w:val="nil"/>
                  </w:tcBorders>
                  <w:noWrap w:val="0"/>
                  <w:vAlign w:val="center"/>
                </w:tcPr>
                <w:p w14:paraId="349D2CA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06B101E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5673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475" w:type="pct"/>
                  <w:vMerge w:val="continue"/>
                  <w:tcBorders>
                    <w:tl2br w:val="nil"/>
                    <w:tr2bl w:val="nil"/>
                  </w:tcBorders>
                  <w:noWrap w:val="0"/>
                  <w:vAlign w:val="center"/>
                </w:tcPr>
                <w:p w14:paraId="1C4C72F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517AE9E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0D9A1DE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3.除列入国家规划的大型煤电和符合相关要求的等容量替代项目，以及以供热为主的热电联产项目外，原则上不再建设新的煤电项目。</w:t>
                  </w:r>
                </w:p>
              </w:tc>
              <w:tc>
                <w:tcPr>
                  <w:tcW w:w="1165" w:type="pct"/>
                  <w:vMerge w:val="continue"/>
                  <w:tcBorders>
                    <w:tl2br w:val="nil"/>
                    <w:tr2bl w:val="nil"/>
                  </w:tcBorders>
                  <w:noWrap w:val="0"/>
                  <w:vAlign w:val="center"/>
                </w:tcPr>
                <w:p w14:paraId="7E90916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31B2B16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21696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75" w:type="pct"/>
                  <w:vMerge w:val="continue"/>
                  <w:tcBorders>
                    <w:tl2br w:val="nil"/>
                    <w:tr2bl w:val="nil"/>
                  </w:tcBorders>
                  <w:noWrap w:val="0"/>
                  <w:vAlign w:val="center"/>
                </w:tcPr>
                <w:p w14:paraId="2A603BF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3611190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1840EE1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4.氟化工产业应集中布局在《关于促进我省氟化工产业绿色高效发展的若干意见》中确定的园区，在上述园区之外不再新建氟化工项目，园区之外现有氟化工项目不再扩大规模。</w:t>
                  </w:r>
                </w:p>
              </w:tc>
              <w:tc>
                <w:tcPr>
                  <w:tcW w:w="1165" w:type="pct"/>
                  <w:vMerge w:val="continue"/>
                  <w:tcBorders>
                    <w:tl2br w:val="nil"/>
                    <w:tr2bl w:val="nil"/>
                  </w:tcBorders>
                  <w:noWrap w:val="0"/>
                  <w:vAlign w:val="center"/>
                </w:tcPr>
                <w:p w14:paraId="17D4C56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35D538F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CA17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475" w:type="pct"/>
                  <w:vMerge w:val="continue"/>
                  <w:tcBorders>
                    <w:tl2br w:val="nil"/>
                    <w:tr2bl w:val="nil"/>
                  </w:tcBorders>
                  <w:noWrap w:val="0"/>
                  <w:vAlign w:val="center"/>
                </w:tcPr>
                <w:p w14:paraId="28A5A6F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0D02C77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6FB6792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5.禁止在水环境质量不能稳定达标的区域内，建设新增相应不达标污染物指标排放量的工业项目。</w:t>
                  </w:r>
                </w:p>
              </w:tc>
              <w:tc>
                <w:tcPr>
                  <w:tcW w:w="1165" w:type="pct"/>
                  <w:vMerge w:val="continue"/>
                  <w:tcBorders>
                    <w:tl2br w:val="nil"/>
                    <w:tr2bl w:val="nil"/>
                  </w:tcBorders>
                  <w:noWrap w:val="0"/>
                  <w:vAlign w:val="center"/>
                </w:tcPr>
                <w:p w14:paraId="00E16F2A">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417ABF2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62119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75" w:type="pct"/>
                  <w:vMerge w:val="continue"/>
                  <w:tcBorders>
                    <w:tl2br w:val="nil"/>
                    <w:tr2bl w:val="nil"/>
                  </w:tcBorders>
                  <w:noWrap w:val="0"/>
                  <w:vAlign w:val="center"/>
                </w:tcPr>
                <w:p w14:paraId="5F1C24C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3220782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1B1EAC8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6.禁止在通风廊道和主导风向的上风向布局大气重污染企业，推进建成区大气重污染企业搬迁或升级改造、环境风险企业搬迁或关闭退出。</w:t>
                  </w:r>
                </w:p>
              </w:tc>
              <w:tc>
                <w:tcPr>
                  <w:tcW w:w="1165" w:type="pct"/>
                  <w:vMerge w:val="continue"/>
                  <w:tcBorders>
                    <w:tl2br w:val="nil"/>
                    <w:tr2bl w:val="nil"/>
                  </w:tcBorders>
                  <w:noWrap w:val="0"/>
                  <w:vAlign w:val="center"/>
                </w:tcPr>
                <w:p w14:paraId="20BC1FA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350" w:type="pct"/>
                  <w:vMerge w:val="continue"/>
                  <w:tcBorders>
                    <w:tl2br w:val="nil"/>
                    <w:tr2bl w:val="nil"/>
                  </w:tcBorders>
                  <w:noWrap w:val="0"/>
                  <w:vAlign w:val="center"/>
                </w:tcPr>
                <w:p w14:paraId="128C583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BDBC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1" w:hRule="atLeast"/>
              </w:trPr>
              <w:tc>
                <w:tcPr>
                  <w:tcW w:w="475" w:type="pct"/>
                  <w:vMerge w:val="continue"/>
                  <w:tcBorders>
                    <w:tl2br w:val="nil"/>
                    <w:tr2bl w:val="nil"/>
                  </w:tcBorders>
                  <w:noWrap w:val="0"/>
                  <w:vAlign w:val="center"/>
                </w:tcPr>
                <w:p w14:paraId="3B58DAB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58C6D81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6F521F7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7.新建、扩建的涉及重点重金属污染物［1］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1165" w:type="pct"/>
                  <w:vMerge w:val="continue"/>
                  <w:tcBorders>
                    <w:tl2br w:val="nil"/>
                    <w:tr2bl w:val="nil"/>
                  </w:tcBorders>
                  <w:noWrap w:val="0"/>
                  <w:vAlign w:val="center"/>
                </w:tcPr>
                <w:p w14:paraId="7BDC0EA8">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350" w:type="pct"/>
                  <w:vMerge w:val="continue"/>
                  <w:tcBorders>
                    <w:tl2br w:val="nil"/>
                    <w:tr2bl w:val="nil"/>
                  </w:tcBorders>
                  <w:noWrap w:val="0"/>
                  <w:vAlign w:val="center"/>
                </w:tcPr>
                <w:p w14:paraId="16958E5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A5A9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475" w:type="pct"/>
                  <w:vMerge w:val="continue"/>
                  <w:tcBorders>
                    <w:tl2br w:val="nil"/>
                    <w:tr2bl w:val="nil"/>
                  </w:tcBorders>
                  <w:noWrap w:val="0"/>
                  <w:vAlign w:val="center"/>
                </w:tcPr>
                <w:p w14:paraId="548F855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restart"/>
                  <w:tcBorders>
                    <w:tl2br w:val="nil"/>
                    <w:tr2bl w:val="nil"/>
                  </w:tcBorders>
                  <w:noWrap w:val="0"/>
                  <w:vAlign w:val="center"/>
                </w:tcPr>
                <w:p w14:paraId="70B23E0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污染物排放管控</w:t>
                  </w:r>
                </w:p>
              </w:tc>
              <w:tc>
                <w:tcPr>
                  <w:tcW w:w="2761" w:type="pct"/>
                  <w:tcBorders>
                    <w:tl2br w:val="nil"/>
                    <w:tr2bl w:val="nil"/>
                  </w:tcBorders>
                  <w:noWrap w:val="0"/>
                  <w:vAlign w:val="center"/>
                </w:tcPr>
                <w:p w14:paraId="7DBFF7A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color w:val="auto"/>
                      <w:vertAlign w:val="baseline"/>
                      <w:lang w:val="en-US" w:eastAsia="zh-CN"/>
                    </w:rPr>
                    <w:t>1.建设项目新增的主要污染物（含VOCs）排放量应按要求实行等量或倍量替代。重点行业建设项目新增的主要污染物排放量应同时</w:t>
                  </w:r>
                  <w:r>
                    <w:rPr>
                      <w:rFonts w:hint="eastAsia"/>
                      <w:vertAlign w:val="baseline"/>
                      <w:lang w:val="en-US" w:eastAsia="zh-CN"/>
                    </w:rPr>
                    <w:t>满足《关于加强重点行业建设项目区域削减措施监督管理的通知》（环办环评〔2020〕36号）的要求。涉及新增总磷排放的建设项目应符合相关削减替代要求。新、改、扩建重点行业［2］建设项目要符合“闽环保固体〔2022〕17号”文件要求</w:t>
                  </w:r>
                  <w:r>
                    <w:rPr>
                      <w:rFonts w:hint="default" w:ascii="Times New Roman" w:hAnsi="Times New Roman" w:eastAsia="宋体" w:cs="Times New Roman"/>
                      <w:color w:val="auto"/>
                      <w:sz w:val="21"/>
                      <w:szCs w:val="21"/>
                      <w:u w:val="none"/>
                    </w:rPr>
                    <w:t>。涉新增VOCs排放项目，VOCs排放实行区域内等量替代，福州、厦门、漳州、泉州、莆田、宁德等6个重点控制区可实施倍量替代。</w:t>
                  </w:r>
                </w:p>
              </w:tc>
              <w:tc>
                <w:tcPr>
                  <w:tcW w:w="1165" w:type="pct"/>
                  <w:tcBorders>
                    <w:tl2br w:val="nil"/>
                    <w:tr2bl w:val="nil"/>
                  </w:tcBorders>
                  <w:noWrap w:val="0"/>
                  <w:vAlign w:val="center"/>
                </w:tcPr>
                <w:p w14:paraId="2B0A24B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eastAsia" w:ascii="Times New Roman" w:hAnsi="Times New Roman" w:eastAsia="宋体" w:cs="Times New Roman"/>
                      <w:color w:val="auto"/>
                      <w:kern w:val="0"/>
                      <w:sz w:val="21"/>
                      <w:szCs w:val="21"/>
                      <w:u w:val="none"/>
                      <w:vertAlign w:val="baseline"/>
                      <w:lang w:val="en-US" w:eastAsia="zh-CN"/>
                    </w:rPr>
                    <w:t>本项目涉及VOCs排放，</w:t>
                  </w:r>
                  <w:r>
                    <w:rPr>
                      <w:rFonts w:hint="default" w:ascii="Times New Roman" w:hAnsi="Times New Roman" w:eastAsia="宋体" w:cs="Times New Roman"/>
                      <w:color w:val="auto"/>
                      <w:kern w:val="0"/>
                      <w:sz w:val="21"/>
                      <w:szCs w:val="21"/>
                      <w:u w:val="none"/>
                      <w:vertAlign w:val="baseline"/>
                    </w:rPr>
                    <w:t>项目投产前，按生态环境主管部门相关规定落实挥发性有机物的</w:t>
                  </w:r>
                  <w:r>
                    <w:rPr>
                      <w:rFonts w:hint="default" w:ascii="Times New Roman" w:hAnsi="Times New Roman" w:eastAsia="宋体" w:cs="Times New Roman"/>
                      <w:color w:val="auto"/>
                      <w:kern w:val="0"/>
                      <w:sz w:val="21"/>
                      <w:szCs w:val="21"/>
                      <w:u w:val="none"/>
                      <w:vertAlign w:val="baseline"/>
                      <w:lang w:val="en-US" w:eastAsia="zh-CN"/>
                    </w:rPr>
                    <w:t>1.2</w:t>
                  </w:r>
                  <w:r>
                    <w:rPr>
                      <w:rFonts w:hint="default" w:ascii="Times New Roman" w:hAnsi="Times New Roman" w:eastAsia="宋体" w:cs="Times New Roman"/>
                      <w:color w:val="auto"/>
                      <w:kern w:val="0"/>
                      <w:sz w:val="21"/>
                      <w:szCs w:val="21"/>
                      <w:u w:val="none"/>
                      <w:vertAlign w:val="baseline"/>
                    </w:rPr>
                    <w:t>倍量替代</w:t>
                  </w:r>
                </w:p>
              </w:tc>
              <w:tc>
                <w:tcPr>
                  <w:tcW w:w="350" w:type="pct"/>
                  <w:vMerge w:val="restart"/>
                  <w:tcBorders>
                    <w:tl2br w:val="nil"/>
                    <w:tr2bl w:val="nil"/>
                  </w:tcBorders>
                  <w:noWrap w:val="0"/>
                  <w:vAlign w:val="center"/>
                </w:tcPr>
                <w:p w14:paraId="10F24B7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08914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475" w:type="pct"/>
                  <w:vMerge w:val="continue"/>
                  <w:tcBorders>
                    <w:tl2br w:val="nil"/>
                    <w:tr2bl w:val="nil"/>
                  </w:tcBorders>
                  <w:noWrap w:val="0"/>
                  <w:vAlign w:val="center"/>
                </w:tcPr>
                <w:p w14:paraId="1DD662E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0C7487B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19FACE6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2.新改扩建钢铁、火电项目应执行超低排放限值，有色项目应当执行大气污染物特别排放限值。水泥行业新改扩建项目严格对照超低排放、能效标杆水平建设实施，现有项目超低排放改造应按“闽环规〔2023〕2号”文件的时限要求分步推进，2025年底前全面完成［2］［4］。</w:t>
                  </w:r>
                </w:p>
              </w:tc>
              <w:tc>
                <w:tcPr>
                  <w:tcW w:w="1165" w:type="pct"/>
                  <w:tcBorders>
                    <w:tl2br w:val="nil"/>
                    <w:tr2bl w:val="nil"/>
                  </w:tcBorders>
                  <w:noWrap w:val="0"/>
                  <w:vAlign w:val="center"/>
                </w:tcPr>
                <w:p w14:paraId="0CBC9C3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pacing w:val="-5"/>
                      <w:sz w:val="21"/>
                      <w:szCs w:val="21"/>
                      <w:u w:val="none"/>
                    </w:rPr>
                    <w:t>不属于</w:t>
                  </w:r>
                  <w:r>
                    <w:rPr>
                      <w:rFonts w:hint="eastAsia" w:ascii="Times New Roman" w:hAnsi="Times New Roman" w:eastAsia="宋体" w:cs="Times New Roman"/>
                      <w:color w:val="auto"/>
                      <w:spacing w:val="-5"/>
                      <w:sz w:val="21"/>
                      <w:szCs w:val="21"/>
                      <w:u w:val="none"/>
                      <w:lang w:val="en-US" w:eastAsia="zh-CN"/>
                    </w:rPr>
                    <w:t>钢铁、火电</w:t>
                  </w:r>
                  <w:r>
                    <w:rPr>
                      <w:rFonts w:hint="default" w:ascii="Times New Roman" w:hAnsi="Times New Roman" w:eastAsia="宋体" w:cs="Times New Roman"/>
                      <w:color w:val="auto"/>
                      <w:spacing w:val="-5"/>
                      <w:sz w:val="21"/>
                      <w:szCs w:val="21"/>
                      <w:u w:val="none"/>
                    </w:rPr>
                    <w:t>项目</w:t>
                  </w:r>
                  <w:r>
                    <w:rPr>
                      <w:rFonts w:hint="default" w:ascii="Times New Roman" w:hAnsi="Times New Roman" w:eastAsia="宋体" w:cs="Times New Roman"/>
                      <w:color w:val="auto"/>
                      <w:sz w:val="21"/>
                      <w:szCs w:val="21"/>
                      <w:u w:val="none"/>
                    </w:rPr>
                    <w:t>，无超低排放限值要求</w:t>
                  </w:r>
                </w:p>
              </w:tc>
              <w:tc>
                <w:tcPr>
                  <w:tcW w:w="350" w:type="pct"/>
                  <w:vMerge w:val="continue"/>
                  <w:tcBorders>
                    <w:tl2br w:val="nil"/>
                    <w:tr2bl w:val="nil"/>
                  </w:tcBorders>
                  <w:noWrap w:val="0"/>
                  <w:vAlign w:val="center"/>
                </w:tcPr>
                <w:p w14:paraId="3ACA28A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BE62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5" w:type="pct"/>
                  <w:vMerge w:val="continue"/>
                  <w:tcBorders>
                    <w:tl2br w:val="nil"/>
                    <w:tr2bl w:val="nil"/>
                  </w:tcBorders>
                  <w:noWrap w:val="0"/>
                  <w:vAlign w:val="center"/>
                </w:tcPr>
                <w:p w14:paraId="04B048F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1A77274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7EA3766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3.近岸海域汇水区域、“六江两溪”流域以及排入湖泊、水库等封闭、半封闭水域的城镇污水处理设施执行不低于一级A排放标准。到2025年，省级及以上各类开发区、工业园区完成“污水零直排区”建设，混合处理工业污水和生活污水的污水处理厂达到一级A排放标准。</w:t>
                  </w:r>
                </w:p>
              </w:tc>
              <w:tc>
                <w:tcPr>
                  <w:tcW w:w="1165" w:type="pct"/>
                  <w:tcBorders>
                    <w:tl2br w:val="nil"/>
                    <w:tr2bl w:val="nil"/>
                  </w:tcBorders>
                  <w:noWrap w:val="0"/>
                  <w:vAlign w:val="center"/>
                </w:tcPr>
                <w:p w14:paraId="2054E6B1">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sz w:val="21"/>
                      <w:szCs w:val="21"/>
                      <w:u w:val="none"/>
                      <w:lang w:val="en-US" w:eastAsia="zh-CN"/>
                    </w:rPr>
                    <w:t>本项目生产过程中不产生生产废水，生活污水依托园区内化粪池处理达标后接入市政污水管网，纳入福清市融元污水处理厂进行集中</w:t>
                  </w:r>
                  <w:r>
                    <w:rPr>
                      <w:rFonts w:hint="default" w:ascii="Times New Roman" w:hAnsi="Times New Roman" w:eastAsia="宋体" w:cs="Times New Roman"/>
                      <w:color w:val="auto"/>
                      <w:sz w:val="21"/>
                      <w:szCs w:val="21"/>
                      <w:u w:val="none"/>
                      <w:lang w:val="en-US" w:eastAsia="zh-CN"/>
                    </w:rPr>
                    <w:t>处理</w:t>
                  </w:r>
                  <w:r>
                    <w:rPr>
                      <w:rFonts w:hint="eastAsia" w:ascii="Times New Roman" w:hAnsi="Times New Roman" w:eastAsia="宋体" w:cs="Times New Roman"/>
                      <w:color w:val="auto"/>
                      <w:sz w:val="21"/>
                      <w:szCs w:val="21"/>
                      <w:u w:val="none"/>
                      <w:lang w:val="en-US" w:eastAsia="zh-CN"/>
                    </w:rPr>
                    <w:t>。</w:t>
                  </w:r>
                </w:p>
              </w:tc>
              <w:tc>
                <w:tcPr>
                  <w:tcW w:w="350" w:type="pct"/>
                  <w:vMerge w:val="continue"/>
                  <w:tcBorders>
                    <w:tl2br w:val="nil"/>
                    <w:tr2bl w:val="nil"/>
                  </w:tcBorders>
                  <w:noWrap w:val="0"/>
                  <w:vAlign w:val="center"/>
                </w:tcPr>
                <w:p w14:paraId="21496A3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F982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475" w:type="pct"/>
                  <w:vMerge w:val="continue"/>
                  <w:tcBorders>
                    <w:tl2br w:val="nil"/>
                    <w:tr2bl w:val="nil"/>
                  </w:tcBorders>
                  <w:noWrap w:val="0"/>
                  <w:vAlign w:val="center"/>
                </w:tcPr>
                <w:p w14:paraId="72DCFEB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5F4EF35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17353F6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4.优化调整货物运输方式，提升铁路货运比例，推进钢铁、电力、电解铝、焦化等重点工业企业和工业园区货物由公路运输转向铁路运输。</w:t>
                  </w:r>
                </w:p>
              </w:tc>
              <w:tc>
                <w:tcPr>
                  <w:tcW w:w="1165" w:type="pct"/>
                  <w:vMerge w:val="restart"/>
                  <w:tcBorders>
                    <w:tl2br w:val="nil"/>
                    <w:tr2bl w:val="nil"/>
                  </w:tcBorders>
                  <w:noWrap w:val="0"/>
                  <w:vAlign w:val="center"/>
                </w:tcPr>
                <w:p w14:paraId="5782FBA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本项目不属于</w:t>
                  </w:r>
                  <w:r>
                    <w:rPr>
                      <w:rFonts w:hint="eastAsia"/>
                      <w:vertAlign w:val="baseline"/>
                      <w:lang w:val="en-US" w:eastAsia="zh-CN"/>
                    </w:rPr>
                    <w:t>钢铁、电力、电解铝、焦化、石化、涂料、纺织印染、橡胶、医药等重点工业企业</w:t>
                  </w:r>
                </w:p>
              </w:tc>
              <w:tc>
                <w:tcPr>
                  <w:tcW w:w="350" w:type="pct"/>
                  <w:vMerge w:val="continue"/>
                  <w:tcBorders>
                    <w:tl2br w:val="nil"/>
                    <w:tr2bl w:val="nil"/>
                  </w:tcBorders>
                  <w:noWrap w:val="0"/>
                  <w:vAlign w:val="center"/>
                </w:tcPr>
                <w:p w14:paraId="70A6153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40ABC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75" w:type="pct"/>
                  <w:vMerge w:val="continue"/>
                  <w:tcBorders>
                    <w:tl2br w:val="nil"/>
                    <w:tr2bl w:val="nil"/>
                  </w:tcBorders>
                  <w:noWrap w:val="0"/>
                  <w:vAlign w:val="center"/>
                </w:tcPr>
                <w:p w14:paraId="2661087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53A00C2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5F7E16D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5.加强石化、涂料、纺织印染、橡胶、医药等行业新污染物环境风险管控。</w:t>
                  </w:r>
                </w:p>
              </w:tc>
              <w:tc>
                <w:tcPr>
                  <w:tcW w:w="1165" w:type="pct"/>
                  <w:vMerge w:val="continue"/>
                  <w:tcBorders>
                    <w:tl2br w:val="nil"/>
                    <w:tr2bl w:val="nil"/>
                  </w:tcBorders>
                  <w:noWrap w:val="0"/>
                  <w:vAlign w:val="center"/>
                </w:tcPr>
                <w:p w14:paraId="278156D9">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66BB95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CAAF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75" w:type="pct"/>
                  <w:vMerge w:val="continue"/>
                  <w:tcBorders>
                    <w:tl2br w:val="nil"/>
                    <w:tr2bl w:val="nil"/>
                  </w:tcBorders>
                  <w:noWrap w:val="0"/>
                  <w:vAlign w:val="center"/>
                </w:tcPr>
                <w:p w14:paraId="60E7780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restart"/>
                  <w:tcBorders>
                    <w:tl2br w:val="nil"/>
                    <w:tr2bl w:val="nil"/>
                  </w:tcBorders>
                  <w:noWrap w:val="0"/>
                  <w:vAlign w:val="center"/>
                </w:tcPr>
                <w:p w14:paraId="78218D1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资源开发效率要求</w:t>
                  </w:r>
                </w:p>
                <w:p w14:paraId="1404069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29E10AC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1.实施能源消耗总量和强度双控。</w:t>
                  </w:r>
                </w:p>
              </w:tc>
              <w:tc>
                <w:tcPr>
                  <w:tcW w:w="1165" w:type="pct"/>
                  <w:vMerge w:val="restart"/>
                  <w:tcBorders>
                    <w:tl2br w:val="nil"/>
                    <w:tr2bl w:val="nil"/>
                  </w:tcBorders>
                  <w:noWrap w:val="0"/>
                  <w:vAlign w:val="center"/>
                </w:tcPr>
                <w:p w14:paraId="50072C3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kern w:val="0"/>
                      <w:sz w:val="21"/>
                      <w:szCs w:val="21"/>
                      <w:highlight w:val="none"/>
                      <w:vertAlign w:val="baseline"/>
                      <w:lang w:val="en-US" w:eastAsia="zh-CN"/>
                    </w:rPr>
                    <w:t>本项目</w:t>
                  </w:r>
                  <w:r>
                    <w:rPr>
                      <w:rFonts w:hint="default" w:ascii="Times New Roman" w:hAnsi="Times New Roman" w:cs="Times New Roman"/>
                      <w:color w:val="auto"/>
                      <w:kern w:val="0"/>
                      <w:sz w:val="21"/>
                      <w:szCs w:val="21"/>
                      <w:highlight w:val="none"/>
                      <w:vertAlign w:val="baseline"/>
                      <w:lang w:val="en-US" w:eastAsia="zh-CN"/>
                    </w:rPr>
                    <w:t>仅使用电能</w:t>
                  </w:r>
                  <w:r>
                    <w:rPr>
                      <w:rFonts w:hint="eastAsia" w:ascii="Times New Roman" w:hAnsi="Times New Roman" w:cs="Times New Roman"/>
                      <w:color w:val="auto"/>
                      <w:kern w:val="0"/>
                      <w:sz w:val="21"/>
                      <w:szCs w:val="21"/>
                      <w:highlight w:val="none"/>
                      <w:vertAlign w:val="baseline"/>
                      <w:lang w:val="en-US" w:eastAsia="zh-CN"/>
                    </w:rPr>
                    <w:t>和水能</w:t>
                  </w:r>
                  <w:r>
                    <w:rPr>
                      <w:rFonts w:hint="default" w:ascii="Times New Roman" w:hAnsi="Times New Roman" w:cs="Times New Roman"/>
                      <w:color w:val="auto"/>
                      <w:kern w:val="0"/>
                      <w:sz w:val="21"/>
                      <w:szCs w:val="21"/>
                      <w:highlight w:val="none"/>
                      <w:vertAlign w:val="baseline"/>
                      <w:lang w:val="en-US" w:eastAsia="zh-CN"/>
                    </w:rPr>
                    <w:t>，不涉及其他</w:t>
                  </w:r>
                  <w:r>
                    <w:rPr>
                      <w:rFonts w:hint="eastAsia" w:cs="Times New Roman"/>
                      <w:color w:val="auto"/>
                      <w:kern w:val="0"/>
                      <w:sz w:val="21"/>
                      <w:szCs w:val="21"/>
                      <w:highlight w:val="none"/>
                      <w:vertAlign w:val="baseline"/>
                      <w:lang w:val="en-US" w:eastAsia="zh-CN"/>
                    </w:rPr>
                    <w:t>能源</w:t>
                  </w:r>
                  <w:r>
                    <w:rPr>
                      <w:rFonts w:hint="default" w:ascii="Times New Roman" w:hAnsi="Times New Roman" w:cs="Times New Roman"/>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lang w:eastAsia="zh-CN"/>
                    </w:rPr>
                    <w:t>项目所采用的生产工艺、装备技术可达国内先进水平；水耗、能耗指标可达国内先进水平</w:t>
                  </w:r>
                </w:p>
              </w:tc>
              <w:tc>
                <w:tcPr>
                  <w:tcW w:w="350" w:type="pct"/>
                  <w:vMerge w:val="restart"/>
                  <w:tcBorders>
                    <w:tl2br w:val="nil"/>
                    <w:tr2bl w:val="nil"/>
                  </w:tcBorders>
                  <w:noWrap w:val="0"/>
                  <w:vAlign w:val="center"/>
                </w:tcPr>
                <w:p w14:paraId="1D595FB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符合</w:t>
                  </w:r>
                </w:p>
              </w:tc>
            </w:tr>
            <w:tr w14:paraId="615F6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5" w:type="pct"/>
                  <w:vMerge w:val="continue"/>
                  <w:tcBorders>
                    <w:tl2br w:val="nil"/>
                    <w:tr2bl w:val="nil"/>
                  </w:tcBorders>
                  <w:noWrap w:val="0"/>
                  <w:vAlign w:val="center"/>
                </w:tcPr>
                <w:p w14:paraId="7DB774C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412678A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0C93860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2.强化产业园区单位土地面积投资强度和效用指标的刚性约束，提高土地利用效率。</w:t>
                  </w:r>
                </w:p>
              </w:tc>
              <w:tc>
                <w:tcPr>
                  <w:tcW w:w="1165" w:type="pct"/>
                  <w:vMerge w:val="continue"/>
                  <w:tcBorders>
                    <w:tl2br w:val="nil"/>
                    <w:tr2bl w:val="nil"/>
                  </w:tcBorders>
                  <w:noWrap w:val="0"/>
                  <w:vAlign w:val="center"/>
                </w:tcPr>
                <w:p w14:paraId="2E428EC2">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49969DD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5AEE5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475" w:type="pct"/>
                  <w:vMerge w:val="continue"/>
                  <w:tcBorders>
                    <w:tl2br w:val="nil"/>
                    <w:tr2bl w:val="nil"/>
                  </w:tcBorders>
                  <w:noWrap w:val="0"/>
                  <w:vAlign w:val="center"/>
                </w:tcPr>
                <w:p w14:paraId="4C61204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120CBFA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6DF5A66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3.具备使用再生水条件但未充分利用的钢铁、火电、化工、制浆造纸、印染等项目，不得批准其新增取水许可。在沿海地区电力、化工、石化等行业，推行直接利用海水作为循环冷却等工业用水。</w:t>
                  </w:r>
                </w:p>
              </w:tc>
              <w:tc>
                <w:tcPr>
                  <w:tcW w:w="1165" w:type="pct"/>
                  <w:vMerge w:val="continue"/>
                  <w:tcBorders>
                    <w:tl2br w:val="nil"/>
                    <w:tr2bl w:val="nil"/>
                  </w:tcBorders>
                  <w:noWrap w:val="0"/>
                  <w:vAlign w:val="center"/>
                </w:tcPr>
                <w:p w14:paraId="1DA93D9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40F5F65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9875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5" w:type="pct"/>
                  <w:vMerge w:val="continue"/>
                  <w:tcBorders>
                    <w:tl2br w:val="nil"/>
                    <w:tr2bl w:val="nil"/>
                  </w:tcBorders>
                  <w:noWrap w:val="0"/>
                  <w:vAlign w:val="center"/>
                </w:tcPr>
                <w:p w14:paraId="3B3C132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133DE9E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41D483D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4.落实“闽环规〔2023〕1号”文件要求，不再新建每小时35蒸吨以下燃煤锅炉，以及每小时10蒸吨及以下燃生物质和其他使用高污染燃料的锅炉。集中供热管网覆盖范围内禁止新建、扩建分散燃煤、燃油等供热锅炉。</w:t>
                  </w:r>
                </w:p>
              </w:tc>
              <w:tc>
                <w:tcPr>
                  <w:tcW w:w="1165" w:type="pct"/>
                  <w:vMerge w:val="continue"/>
                  <w:tcBorders>
                    <w:tl2br w:val="nil"/>
                    <w:tr2bl w:val="nil"/>
                  </w:tcBorders>
                  <w:noWrap w:val="0"/>
                  <w:vAlign w:val="center"/>
                </w:tcPr>
                <w:p w14:paraId="3624FB59">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54D49B6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AC3B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5" w:type="pct"/>
                  <w:vMerge w:val="continue"/>
                  <w:tcBorders>
                    <w:tl2br w:val="nil"/>
                    <w:tr2bl w:val="nil"/>
                  </w:tcBorders>
                  <w:noWrap w:val="0"/>
                  <w:vAlign w:val="center"/>
                </w:tcPr>
                <w:p w14:paraId="527CAAE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0095B4A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157641A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5.落实“闽环保大气〔2023〕5号”文件要求，按照“提气、转电、控煤”的发展思路，推动陶瓷行业进一步优化用能结构，实现能源消费清洁低碳化。</w:t>
                  </w:r>
                </w:p>
              </w:tc>
              <w:tc>
                <w:tcPr>
                  <w:tcW w:w="1165" w:type="pct"/>
                  <w:vMerge w:val="continue"/>
                  <w:tcBorders>
                    <w:tl2br w:val="nil"/>
                    <w:tr2bl w:val="nil"/>
                  </w:tcBorders>
                  <w:noWrap w:val="0"/>
                  <w:vAlign w:val="center"/>
                </w:tcPr>
                <w:p w14:paraId="7B94A557">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2C1FB61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bl>
          <w:p w14:paraId="27B50405">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rPr>
            </w:pPr>
            <w:r>
              <w:rPr>
                <w:rFonts w:hint="default" w:ascii="Times New Roman" w:hAnsi="Times New Roman" w:eastAsia="宋体" w:cs="Times New Roman"/>
                <w:b/>
                <w:bCs/>
                <w:color w:val="auto"/>
                <w:kern w:val="0"/>
                <w:sz w:val="24"/>
                <w:szCs w:val="24"/>
                <w:u w:val="none"/>
              </w:rPr>
              <w:t>表</w:t>
            </w:r>
            <w:r>
              <w:rPr>
                <w:rFonts w:hint="default" w:ascii="Times New Roman" w:hAnsi="Times New Roman" w:eastAsia="宋体" w:cs="Times New Roman"/>
                <w:b/>
                <w:bCs/>
                <w:color w:val="auto"/>
                <w:kern w:val="0"/>
                <w:sz w:val="24"/>
                <w:szCs w:val="24"/>
                <w:u w:val="none"/>
                <w:lang w:val="en-US" w:eastAsia="zh-CN"/>
              </w:rPr>
              <w:t>1.1-</w:t>
            </w:r>
            <w:r>
              <w:rPr>
                <w:rFonts w:hint="eastAsia" w:ascii="Times New Roman" w:hAnsi="Times New Roman" w:eastAsia="宋体" w:cs="Times New Roman"/>
                <w:b/>
                <w:bCs/>
                <w:color w:val="auto"/>
                <w:kern w:val="0"/>
                <w:sz w:val="24"/>
                <w:szCs w:val="24"/>
                <w:u w:val="none"/>
                <w:lang w:val="en-US" w:eastAsia="zh-CN"/>
              </w:rPr>
              <w:t>3</w:t>
            </w:r>
            <w:r>
              <w:rPr>
                <w:rFonts w:hint="default" w:ascii="Times New Roman" w:hAnsi="Times New Roman" w:eastAsia="宋体" w:cs="Times New Roman"/>
                <w:b/>
                <w:bCs/>
                <w:color w:val="auto"/>
                <w:kern w:val="0"/>
                <w:sz w:val="24"/>
                <w:szCs w:val="24"/>
                <w:u w:val="none"/>
              </w:rPr>
              <w:t xml:space="preserve"> </w:t>
            </w:r>
            <w:r>
              <w:rPr>
                <w:rFonts w:hint="eastAsia" w:ascii="Times New Roman" w:hAnsi="Times New Roman" w:eastAsia="宋体" w:cs="Times New Roman"/>
                <w:b/>
                <w:bCs/>
                <w:color w:val="auto"/>
                <w:sz w:val="24"/>
                <w:szCs w:val="24"/>
                <w:highlight w:val="none"/>
                <w:lang w:val="en-US" w:eastAsia="zh-CN"/>
              </w:rPr>
              <w:t>福州市</w:t>
            </w:r>
            <w:r>
              <w:rPr>
                <w:rFonts w:hint="default" w:ascii="Times New Roman" w:hAnsi="Times New Roman" w:eastAsia="宋体" w:cs="Times New Roman"/>
                <w:b/>
                <w:bCs/>
                <w:color w:val="auto"/>
                <w:sz w:val="24"/>
                <w:szCs w:val="24"/>
                <w:highlight w:val="none"/>
              </w:rPr>
              <w:t>生态环境总体准入要求的符合性分析</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901"/>
              <w:gridCol w:w="7390"/>
              <w:gridCol w:w="2716"/>
              <w:gridCol w:w="891"/>
            </w:tblGrid>
            <w:tr w14:paraId="33B1B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85" w:type="pct"/>
                  <w:tcBorders>
                    <w:tl2br w:val="nil"/>
                    <w:tr2bl w:val="nil"/>
                  </w:tcBorders>
                  <w:vAlign w:val="center"/>
                </w:tcPr>
                <w:p w14:paraId="60A5706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适用范围</w:t>
                  </w:r>
                </w:p>
              </w:tc>
              <w:tc>
                <w:tcPr>
                  <w:tcW w:w="3284" w:type="pct"/>
                  <w:gridSpan w:val="2"/>
                  <w:tcBorders>
                    <w:tl2br w:val="nil"/>
                    <w:tr2bl w:val="nil"/>
                  </w:tcBorders>
                  <w:vAlign w:val="center"/>
                </w:tcPr>
                <w:p w14:paraId="27707BC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准入要求</w:t>
                  </w:r>
                </w:p>
              </w:tc>
              <w:tc>
                <w:tcPr>
                  <w:tcW w:w="1076" w:type="pct"/>
                  <w:tcBorders>
                    <w:tl2br w:val="nil"/>
                    <w:tr2bl w:val="nil"/>
                  </w:tcBorders>
                  <w:vAlign w:val="center"/>
                </w:tcPr>
                <w:p w14:paraId="797B60D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本项目情况</w:t>
                  </w:r>
                </w:p>
              </w:tc>
              <w:tc>
                <w:tcPr>
                  <w:tcW w:w="353" w:type="pct"/>
                  <w:tcBorders>
                    <w:tl2br w:val="nil"/>
                    <w:tr2bl w:val="nil"/>
                  </w:tcBorders>
                  <w:vAlign w:val="center"/>
                </w:tcPr>
                <w:p w14:paraId="744A70B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符合性</w:t>
                  </w:r>
                </w:p>
              </w:tc>
            </w:tr>
            <w:tr w14:paraId="18E7F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restart"/>
                  <w:tcBorders>
                    <w:tl2br w:val="nil"/>
                    <w:tr2bl w:val="nil"/>
                  </w:tcBorders>
                  <w:vAlign w:val="center"/>
                </w:tcPr>
                <w:p w14:paraId="64332B0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城镇生活类重点管控单元</w:t>
                  </w:r>
                </w:p>
              </w:tc>
              <w:tc>
                <w:tcPr>
                  <w:tcW w:w="357" w:type="pct"/>
                  <w:tcBorders>
                    <w:tl2br w:val="nil"/>
                    <w:tr2bl w:val="nil"/>
                  </w:tcBorders>
                  <w:vAlign w:val="center"/>
                </w:tcPr>
                <w:p w14:paraId="4C54552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空间布局约束</w:t>
                  </w:r>
                </w:p>
              </w:tc>
              <w:tc>
                <w:tcPr>
                  <w:tcW w:w="2927" w:type="pct"/>
                  <w:tcBorders>
                    <w:tl2br w:val="nil"/>
                    <w:tr2bl w:val="nil"/>
                  </w:tcBorders>
                  <w:vAlign w:val="center"/>
                </w:tcPr>
                <w:p w14:paraId="540CF57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w:t>
                  </w:r>
                </w:p>
              </w:tc>
              <w:tc>
                <w:tcPr>
                  <w:tcW w:w="1076" w:type="pct"/>
                  <w:tcBorders>
                    <w:tl2br w:val="nil"/>
                    <w:tr2bl w:val="nil"/>
                  </w:tcBorders>
                  <w:vAlign w:val="center"/>
                </w:tcPr>
                <w:p w14:paraId="29447E8B">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color w:val="auto"/>
                      <w:sz w:val="21"/>
                      <w:szCs w:val="21"/>
                      <w:u w:val="none"/>
                      <w:vertAlign w:val="baseline"/>
                    </w:rPr>
                  </w:pPr>
                  <w:r>
                    <w:rPr>
                      <w:rFonts w:hint="eastAsia"/>
                      <w:color w:val="auto"/>
                      <w:u w:val="none"/>
                      <w:vertAlign w:val="baseline"/>
                      <w:lang w:val="en-US" w:eastAsia="zh-CN"/>
                    </w:rPr>
                    <w:t>本项目不属于危险化学品生产企业，不属于有色金属、印染、原料药制造、化工等企业；本项目位于</w:t>
                  </w:r>
                  <w:r>
                    <w:rPr>
                      <w:rFonts w:hint="eastAsia"/>
                      <w:color w:val="auto"/>
                      <w:sz w:val="21"/>
                      <w:szCs w:val="21"/>
                      <w:u w:val="none"/>
                      <w:lang w:eastAsia="zh-CN"/>
                    </w:rPr>
                    <w:t>福清融侨经济技术开发区内。</w:t>
                  </w:r>
                </w:p>
              </w:tc>
              <w:tc>
                <w:tcPr>
                  <w:tcW w:w="353" w:type="pct"/>
                  <w:tcBorders>
                    <w:tl2br w:val="nil"/>
                    <w:tr2bl w:val="nil"/>
                  </w:tcBorders>
                  <w:vAlign w:val="center"/>
                </w:tcPr>
                <w:p w14:paraId="7A1E4FC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515CA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1FF9D63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57" w:type="pct"/>
                  <w:tcBorders>
                    <w:tl2br w:val="nil"/>
                    <w:tr2bl w:val="nil"/>
                  </w:tcBorders>
                  <w:vAlign w:val="center"/>
                </w:tcPr>
                <w:p w14:paraId="296E34B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污染物排放管控</w:t>
                  </w:r>
                </w:p>
              </w:tc>
              <w:tc>
                <w:tcPr>
                  <w:tcW w:w="2927" w:type="pct"/>
                  <w:tcBorders>
                    <w:tl2br w:val="nil"/>
                    <w:tr2bl w:val="nil"/>
                  </w:tcBorders>
                  <w:vAlign w:val="center"/>
                </w:tcPr>
                <w:p w14:paraId="43DCE24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在城市建成区新建大气污染型项目，二氧化硫、氮氧化物排放量应实行倍量削减替代。</w:t>
                  </w:r>
                </w:p>
              </w:tc>
              <w:tc>
                <w:tcPr>
                  <w:tcW w:w="1076" w:type="pct"/>
                  <w:tcBorders>
                    <w:tl2br w:val="nil"/>
                    <w:tr2bl w:val="nil"/>
                  </w:tcBorders>
                  <w:vAlign w:val="center"/>
                </w:tcPr>
                <w:p w14:paraId="61D60F5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eastAsia="zh-CN"/>
                    </w:rPr>
                  </w:pPr>
                  <w:r>
                    <w:rPr>
                      <w:rFonts w:hint="eastAsia" w:ascii="Times New Roman" w:hAnsi="Times New Roman" w:eastAsia="宋体" w:cs="Times New Roman"/>
                      <w:color w:val="auto"/>
                      <w:kern w:val="0"/>
                      <w:sz w:val="21"/>
                      <w:szCs w:val="21"/>
                      <w:u w:val="none"/>
                      <w:lang w:val="en-US" w:eastAsia="zh-CN" w:bidi="ar"/>
                    </w:rPr>
                    <w:t>本项目不涉及</w:t>
                  </w:r>
                  <w:r>
                    <w:rPr>
                      <w:rFonts w:hint="eastAsia"/>
                      <w:color w:val="auto"/>
                      <w:u w:val="none"/>
                      <w:vertAlign w:val="baseline"/>
                      <w:lang w:val="en-US" w:eastAsia="zh-CN"/>
                    </w:rPr>
                    <w:t>新增二氧化硫、氮氧化物的排放，</w:t>
                  </w:r>
                  <w:r>
                    <w:rPr>
                      <w:rFonts w:hint="default" w:ascii="Times New Roman" w:hAnsi="Times New Roman" w:eastAsia="宋体" w:cs="Times New Roman"/>
                      <w:color w:val="auto"/>
                      <w:kern w:val="0"/>
                      <w:sz w:val="21"/>
                      <w:szCs w:val="21"/>
                      <w:u w:val="none"/>
                      <w:lang w:val="en-US" w:eastAsia="zh-CN" w:bidi="ar"/>
                    </w:rPr>
                    <w:t>本项目</w:t>
                  </w:r>
                  <w:r>
                    <w:rPr>
                      <w:rFonts w:hint="eastAsia" w:ascii="Times New Roman" w:hAnsi="Times New Roman" w:eastAsia="宋体" w:cs="Times New Roman"/>
                      <w:color w:val="auto"/>
                      <w:kern w:val="0"/>
                      <w:sz w:val="21"/>
                      <w:szCs w:val="21"/>
                      <w:u w:val="none"/>
                      <w:lang w:val="en-US" w:eastAsia="zh-CN" w:bidi="ar"/>
                    </w:rPr>
                    <w:t>涉及</w:t>
                  </w:r>
                  <w:r>
                    <w:rPr>
                      <w:rFonts w:hint="default" w:ascii="Times New Roman" w:hAnsi="Times New Roman" w:eastAsia="宋体" w:cs="Times New Roman"/>
                      <w:color w:val="auto"/>
                      <w:sz w:val="21"/>
                      <w:szCs w:val="21"/>
                      <w:highlight w:val="none"/>
                      <w:u w:val="none"/>
                      <w:vertAlign w:val="baseline"/>
                      <w:lang w:eastAsia="zh-CN"/>
                    </w:rPr>
                    <w:t>新增</w:t>
                  </w:r>
                  <w:r>
                    <w:rPr>
                      <w:rFonts w:hint="default" w:ascii="Times New Roman" w:hAnsi="Times New Roman" w:eastAsia="宋体" w:cs="Times New Roman"/>
                      <w:color w:val="auto"/>
                      <w:sz w:val="21"/>
                      <w:szCs w:val="21"/>
                      <w:u w:val="none"/>
                    </w:rPr>
                    <w:t>VOCs排放，VOCs排放实行区域内倍量替代</w:t>
                  </w:r>
                  <w:r>
                    <w:rPr>
                      <w:rFonts w:hint="eastAsia" w:ascii="Times New Roman" w:hAnsi="Times New Roman" w:cs="Times New Roman"/>
                      <w:color w:val="auto"/>
                      <w:sz w:val="21"/>
                      <w:szCs w:val="21"/>
                      <w:u w:val="none"/>
                      <w:lang w:eastAsia="zh-CN"/>
                    </w:rPr>
                    <w:t>。</w:t>
                  </w:r>
                </w:p>
              </w:tc>
              <w:tc>
                <w:tcPr>
                  <w:tcW w:w="353" w:type="pct"/>
                  <w:tcBorders>
                    <w:tl2br w:val="nil"/>
                    <w:tr2bl w:val="nil"/>
                  </w:tcBorders>
                  <w:vAlign w:val="center"/>
                </w:tcPr>
                <w:p w14:paraId="21F04CD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431E3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restart"/>
                  <w:tcBorders>
                    <w:tl2br w:val="nil"/>
                    <w:tr2bl w:val="nil"/>
                  </w:tcBorders>
                  <w:vAlign w:val="center"/>
                </w:tcPr>
                <w:p w14:paraId="5EF61FA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福州市陆域</w:t>
                  </w:r>
                </w:p>
              </w:tc>
              <w:tc>
                <w:tcPr>
                  <w:tcW w:w="357" w:type="pct"/>
                  <w:vMerge w:val="restart"/>
                  <w:tcBorders>
                    <w:tl2br w:val="nil"/>
                    <w:tr2bl w:val="nil"/>
                  </w:tcBorders>
                  <w:vAlign w:val="center"/>
                </w:tcPr>
                <w:p w14:paraId="552061F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空间布局约束</w:t>
                  </w:r>
                </w:p>
              </w:tc>
              <w:tc>
                <w:tcPr>
                  <w:tcW w:w="2927" w:type="pct"/>
                  <w:tcBorders>
                    <w:tl2br w:val="nil"/>
                    <w:tr2bl w:val="nil"/>
                  </w:tcBorders>
                  <w:vAlign w:val="center"/>
                </w:tcPr>
                <w:p w14:paraId="5703E36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b/>
                      <w:bCs/>
                      <w:vertAlign w:val="baseline"/>
                      <w:lang w:val="en-US" w:eastAsia="zh-CN"/>
                    </w:rPr>
                  </w:pPr>
                  <w:r>
                    <w:rPr>
                      <w:rFonts w:hint="eastAsia" w:ascii="Times New Roman" w:hAnsi="Times New Roman" w:eastAsia="宋体" w:cs="Times New Roman"/>
                      <w:b/>
                      <w:bCs/>
                      <w:vertAlign w:val="baseline"/>
                      <w:lang w:val="en-US" w:eastAsia="zh-CN"/>
                    </w:rPr>
                    <w:t>一、优先保护单元中的生态保护红线</w:t>
                  </w:r>
                </w:p>
                <w:p w14:paraId="542568B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00D0D9D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宋体" w:hAnsi="宋体" w:eastAsia="宋体" w:cs="宋体"/>
                      <w:vertAlign w:val="baseline"/>
                      <w:lang w:val="en-US" w:eastAsia="zh-CN"/>
                    </w:rPr>
                    <w:t>（</w:t>
                  </w:r>
                  <w:r>
                    <w:rPr>
                      <w:rFonts w:hint="default" w:ascii="Times New Roman" w:hAnsi="Times New Roman" w:eastAsia="宋体" w:cs="Times New Roman"/>
                      <w:vertAlign w:val="baseline"/>
                      <w:lang w:val="en-US" w:eastAsia="zh-CN"/>
                    </w:rPr>
                    <w:t>1</w:t>
                  </w:r>
                  <w:r>
                    <w:rPr>
                      <w:rFonts w:hint="eastAsia" w:ascii="宋体" w:hAnsi="宋体" w:eastAsia="宋体" w:cs="宋体"/>
                      <w:vertAlign w:val="baseline"/>
                      <w:lang w:val="en-US" w:eastAsia="zh-CN"/>
                    </w:rPr>
                    <w:t>）</w:t>
                  </w:r>
                  <w:r>
                    <w:rPr>
                      <w:rFonts w:hint="eastAsia" w:ascii="Times New Roman" w:hAnsi="Times New Roman" w:eastAsia="宋体" w:cs="Times New Roman"/>
                      <w:vertAlign w:val="baseline"/>
                      <w:lang w:val="en-US" w:eastAsia="zh-CN"/>
                    </w:rPr>
                    <w:t>管护巡护、保护执法、科学研究、调查监测、测绘导航、防灾减灾救灾、军事国防、疫情防控等活动及相关的必要设施</w:t>
                  </w:r>
                  <w:r>
                    <w:rPr>
                      <w:rFonts w:hint="eastAsia" w:cs="Times New Roman"/>
                      <w:vertAlign w:val="baseline"/>
                      <w:lang w:val="en-US" w:eastAsia="zh-CN"/>
                    </w:rPr>
                    <w:t>修缮</w:t>
                  </w:r>
                  <w:r>
                    <w:rPr>
                      <w:rFonts w:hint="eastAsia" w:ascii="Times New Roman" w:hAnsi="Times New Roman" w:eastAsia="宋体" w:cs="Times New Roman"/>
                      <w:vertAlign w:val="baseline"/>
                      <w:lang w:val="en-US" w:eastAsia="zh-CN"/>
                    </w:rPr>
                    <w:t>。</w:t>
                  </w:r>
                </w:p>
                <w:p w14:paraId="4B49BC2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（2）</w:t>
                  </w:r>
                  <w:r>
                    <w:rPr>
                      <w:rFonts w:hint="eastAsia" w:ascii="Times New Roman" w:hAnsi="Times New Roman" w:eastAsia="宋体" w:cs="Times New Roman"/>
                      <w:vertAlign w:val="baseline"/>
                      <w:lang w:val="en-US" w:eastAsia="zh-CN"/>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08C9DA0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w:t>
                  </w:r>
                  <w:r>
                    <w:rPr>
                      <w:rFonts w:hint="eastAsia" w:ascii="Times New Roman" w:hAnsi="Times New Roman" w:eastAsia="宋体" w:cs="Times New Roman"/>
                      <w:vertAlign w:val="baseline"/>
                      <w:lang w:val="en-US" w:eastAsia="zh-CN"/>
                    </w:rPr>
                    <w:t>经依法批准的考古调查发掘、古生物化石调查发掘、标本采集和文物保护活动。</w:t>
                  </w:r>
                </w:p>
                <w:p w14:paraId="34D9AF8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（4）按规定对人工商品林进行抚育采伐，或以提升森林质量、优化栖息地、建设生物防火隔离带等为目的的树种更新，依法开展的竹林采伐经营。</w:t>
                  </w:r>
                </w:p>
                <w:p w14:paraId="5F4776B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（5）不破坏生态功能的适度参观旅游、科普宣教及符合相关规划的配套性服务设施和相关的必要公共设施建设及维护。</w:t>
                  </w:r>
                </w:p>
                <w:p w14:paraId="37790CD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（6）必须且无法避让、符合县级以上国土空间规划的线性基础设施、通讯和防洪、供水设施建设和船舶航行、航道疏浚清淤等活动；已有的合法水利、交通运输等设施运行维护改造。</w:t>
                  </w:r>
                </w:p>
                <w:p w14:paraId="282A5AD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76C9A78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（8）依据县级以上国土空间规划和生态保护修复专项规划开展的生态修复。</w:t>
                  </w:r>
                </w:p>
                <w:p w14:paraId="7B1C7BF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（9）法律法规规定允许的其他人为活动。</w:t>
                  </w:r>
                </w:p>
                <w:p w14:paraId="4C2C95A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依据《福建省自然资源厅福建省生态环境厅福建省林业局关于进一步加强生态保护红线监管的通知（试行）》（闽自然资发〔2023〕56号），允许占用生态保护红线的重大项目范围：</w:t>
                  </w:r>
                </w:p>
                <w:p w14:paraId="573A9392">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（1）党中央、国务院发布文件或批准规划中明确具体名称的项目和国务院批准的项目。</w:t>
                  </w:r>
                </w:p>
                <w:p w14:paraId="700C2B4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（2）中央军委及其有关部门批准的军事国防项目。</w:t>
                  </w:r>
                </w:p>
                <w:p w14:paraId="2E1B79C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（3）国家级规划（指国务院及其有关部门正式颁布）明确的交通、水利项目。</w:t>
                  </w:r>
                </w:p>
                <w:p w14:paraId="2E128DF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（4）国家级规划明确的电网项目，国家级规划明确的且符合国家产业政策的能源矿产勘查开采、油气管线、水电、核电项目。</w:t>
                  </w:r>
                </w:p>
                <w:p w14:paraId="6A30897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（5）为贯彻落实党中央、国务院重大决策部署</w:t>
                  </w:r>
                  <w:r>
                    <w:rPr>
                      <w:rFonts w:hint="eastAsia" w:cs="Times New Roman"/>
                      <w:vertAlign w:val="baseline"/>
                      <w:lang w:val="en-US" w:eastAsia="zh-CN"/>
                    </w:rPr>
                    <w:t>，由</w:t>
                  </w:r>
                  <w:r>
                    <w:rPr>
                      <w:rFonts w:hint="eastAsia" w:ascii="Times New Roman" w:hAnsi="Times New Roman" w:eastAsia="宋体" w:cs="Times New Roman"/>
                      <w:vertAlign w:val="baseline"/>
                      <w:lang w:val="en-US" w:eastAsia="zh-CN"/>
                    </w:rPr>
                    <w:t>国务院投资主管部门或国务院投资主管部门会同有关部门确认的交通、能源、水利等基础设施项目。</w:t>
                  </w:r>
                </w:p>
                <w:p w14:paraId="6031F0D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（6）按照国家重大项目用地保障工作机制要求，国家发展</w:t>
                  </w:r>
                  <w:r>
                    <w:rPr>
                      <w:rFonts w:hint="eastAsia" w:cs="Times New Roman"/>
                      <w:vertAlign w:val="baseline"/>
                      <w:lang w:val="en-US" w:eastAsia="zh-CN"/>
                    </w:rPr>
                    <w:t>和改革委员会</w:t>
                  </w:r>
                  <w:r>
                    <w:rPr>
                      <w:rFonts w:hint="eastAsia" w:ascii="Times New Roman" w:hAnsi="Times New Roman" w:eastAsia="宋体" w:cs="Times New Roman"/>
                      <w:vertAlign w:val="baseline"/>
                      <w:lang w:val="en-US" w:eastAsia="zh-CN"/>
                    </w:rPr>
                    <w:t>同有关部门确认的需中央加大建设用地保障力度，确实难以避让的国家重大项目。</w:t>
                  </w:r>
                </w:p>
              </w:tc>
              <w:tc>
                <w:tcPr>
                  <w:tcW w:w="1076" w:type="pct"/>
                  <w:tcBorders>
                    <w:tl2br w:val="nil"/>
                    <w:tr2bl w:val="nil"/>
                  </w:tcBorders>
                  <w:vAlign w:val="center"/>
                </w:tcPr>
                <w:p w14:paraId="3C616159">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本项目不涉及自然保护区、风景名胜区、饮用水水源保护区等区域，不在优先保护单</w:t>
                  </w:r>
                  <w:r>
                    <w:rPr>
                      <w:rFonts w:hint="eastAsia" w:cs="Times New Roman"/>
                      <w:color w:val="auto"/>
                      <w:sz w:val="21"/>
                      <w:szCs w:val="21"/>
                      <w:u w:val="none"/>
                      <w:lang w:val="en-US" w:eastAsia="zh-CN"/>
                    </w:rPr>
                    <w:t>位单</w:t>
                  </w:r>
                  <w:r>
                    <w:rPr>
                      <w:rFonts w:hint="eastAsia" w:ascii="Times New Roman" w:hAnsi="Times New Roman" w:eastAsia="宋体" w:cs="Times New Roman"/>
                      <w:color w:val="auto"/>
                      <w:sz w:val="21"/>
                      <w:szCs w:val="21"/>
                      <w:u w:val="none"/>
                      <w:lang w:val="en-US" w:eastAsia="zh-CN"/>
                    </w:rPr>
                    <w:t>元内，不涉及生态保护红线的占用。</w:t>
                  </w:r>
                </w:p>
                <w:p w14:paraId="4CEFC4B3">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本项目不属于重大项目。</w:t>
                  </w:r>
                </w:p>
                <w:p w14:paraId="7F7AC9F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3" w:type="pct"/>
                  <w:tcBorders>
                    <w:tl2br w:val="nil"/>
                    <w:tr2bl w:val="nil"/>
                  </w:tcBorders>
                  <w:vAlign w:val="center"/>
                </w:tcPr>
                <w:p w14:paraId="4593DBC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09E82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7FF062A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vMerge w:val="continue"/>
                  <w:tcBorders>
                    <w:tl2br w:val="nil"/>
                    <w:tr2bl w:val="nil"/>
                  </w:tcBorders>
                  <w:vAlign w:val="center"/>
                </w:tcPr>
                <w:p w14:paraId="720B795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2927" w:type="pct"/>
                  <w:tcBorders>
                    <w:tl2br w:val="nil"/>
                    <w:tr2bl w:val="nil"/>
                  </w:tcBorders>
                  <w:vAlign w:val="center"/>
                </w:tcPr>
                <w:p w14:paraId="7A4933D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b/>
                      <w:bCs/>
                      <w:vertAlign w:val="baseline"/>
                      <w:lang w:val="en-US" w:eastAsia="zh-CN"/>
                    </w:rPr>
                  </w:pPr>
                  <w:r>
                    <w:rPr>
                      <w:rFonts w:hint="eastAsia" w:ascii="Times New Roman" w:hAnsi="Times New Roman" w:eastAsia="宋体" w:cs="Times New Roman"/>
                      <w:b/>
                      <w:bCs/>
                      <w:vertAlign w:val="baseline"/>
                      <w:lang w:val="en-US" w:eastAsia="zh-CN"/>
                    </w:rPr>
                    <w:t>二、优先保护单元中的一般生态空间</w:t>
                  </w:r>
                </w:p>
                <w:p w14:paraId="27BC9D9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一般生态空间以保护和修复生态环境、提供生态产品和服务为首要任务，因地制宜地发展不影响主体功能定位的适宜产业。</w:t>
                  </w:r>
                </w:p>
                <w:p w14:paraId="4B37116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一般生态空间内未纳入生态保护红线的饮用水水源保护区等各类法定保护地，其管控要求依照相关法律法规执行。</w:t>
                  </w:r>
                </w:p>
                <w:p w14:paraId="2C7081B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cs="Times New Roman"/>
                      <w:vertAlign w:val="baseline"/>
                      <w:lang w:val="en-US" w:eastAsia="zh-CN"/>
                    </w:rPr>
                    <w:t>3.</w:t>
                  </w:r>
                  <w:r>
                    <w:rPr>
                      <w:rFonts w:hint="eastAsia" w:ascii="Times New Roman" w:hAnsi="Times New Roman" w:eastAsia="宋体" w:cs="Times New Roman"/>
                      <w:vertAlign w:val="baseline"/>
                      <w:lang w:val="en-US" w:eastAsia="zh-CN"/>
                    </w:rPr>
                    <w:t>一般生态空间内现有合法的水泥厂、矿山开发等生产性设施及生活垃圾处置等民生工程予以保留，应按照法律法规要求落实污染防治和生态保护措施，避免对生态功能造成破坏。</w:t>
                  </w:r>
                </w:p>
              </w:tc>
              <w:tc>
                <w:tcPr>
                  <w:tcW w:w="1076" w:type="pct"/>
                  <w:tcBorders>
                    <w:tl2br w:val="nil"/>
                    <w:tr2bl w:val="nil"/>
                  </w:tcBorders>
                  <w:vAlign w:val="center"/>
                </w:tcPr>
                <w:p w14:paraId="038E080A">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本项目位于福清市重点管控单元1</w:t>
                  </w:r>
                  <w:r>
                    <w:rPr>
                      <w:rFonts w:hint="eastAsia"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重点管控单元</w:t>
                  </w:r>
                  <w:r>
                    <w:rPr>
                      <w:rFonts w:hint="eastAsia"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，不属于优先保护单元。</w:t>
                  </w:r>
                </w:p>
                <w:p w14:paraId="755A666F">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本项目不涉及饮用水水源保护区</w:t>
                  </w:r>
                </w:p>
                <w:p w14:paraId="5043375B">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项目不属于</w:t>
                  </w:r>
                  <w:r>
                    <w:rPr>
                      <w:rFonts w:hint="eastAsia" w:ascii="Times New Roman" w:hAnsi="Times New Roman" w:eastAsia="宋体" w:cs="Times New Roman"/>
                      <w:vertAlign w:val="baseline"/>
                      <w:lang w:val="en-US" w:eastAsia="zh-CN"/>
                    </w:rPr>
                    <w:t>水泥厂、矿山开发等生产性设施项目</w:t>
                  </w:r>
                </w:p>
              </w:tc>
              <w:tc>
                <w:tcPr>
                  <w:tcW w:w="353" w:type="pct"/>
                  <w:tcBorders>
                    <w:tl2br w:val="nil"/>
                    <w:tr2bl w:val="nil"/>
                  </w:tcBorders>
                  <w:vAlign w:val="center"/>
                </w:tcPr>
                <w:p w14:paraId="3AE6320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64120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207FB17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vMerge w:val="continue"/>
                  <w:tcBorders>
                    <w:tl2br w:val="nil"/>
                    <w:tr2bl w:val="nil"/>
                  </w:tcBorders>
                  <w:vAlign w:val="center"/>
                </w:tcPr>
                <w:p w14:paraId="4EFB1BB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2927" w:type="pct"/>
                  <w:tcBorders>
                    <w:tl2br w:val="nil"/>
                    <w:tr2bl w:val="nil"/>
                  </w:tcBorders>
                  <w:vAlign w:val="center"/>
                </w:tcPr>
                <w:p w14:paraId="631FAAE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b/>
                      <w:bCs/>
                      <w:vertAlign w:val="baseline"/>
                      <w:lang w:val="en-US" w:eastAsia="zh-CN"/>
                    </w:rPr>
                    <w:t>三、其它要求</w:t>
                  </w:r>
                </w:p>
                <w:p w14:paraId="57F0DD3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福州市石化中上游项目重点在福州江阴港城经济区、可门港经济区化工新材料产业园布局。</w:t>
                  </w:r>
                </w:p>
                <w:p w14:paraId="2A761F9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禁止在闽江马尾罗星塔以上流域范围新、扩建制革项目，严控新（扩）建植物制浆、印染、合成革及人造革、电镀项目。</w:t>
                  </w:r>
                </w:p>
                <w:p w14:paraId="2C578E2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3.</w:t>
                  </w:r>
                  <w:r>
                    <w:rPr>
                      <w:rFonts w:hint="eastAsia" w:ascii="Times New Roman" w:hAnsi="Times New Roman" w:eastAsia="宋体" w:cs="Times New Roman"/>
                      <w:vertAlign w:val="baseline"/>
                      <w:lang w:val="en-US" w:eastAsia="zh-CN"/>
                    </w:rPr>
                    <w:t>禁止在通风廊道和主导风向的上风向布局大气重污染企业，推进建成区大气重污染企业搬迁或升级改造、环境风险企业搬迁或关闭退出。</w:t>
                  </w:r>
                </w:p>
                <w:p w14:paraId="3159846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4.</w:t>
                  </w:r>
                  <w:r>
                    <w:rPr>
                      <w:rFonts w:hint="eastAsia" w:ascii="Times New Roman" w:hAnsi="Times New Roman" w:eastAsia="宋体" w:cs="Times New Roman"/>
                      <w:vertAlign w:val="baseline"/>
                      <w:lang w:val="en-US" w:eastAsia="zh-CN"/>
                    </w:rPr>
                    <w:t>禁止新、改、扩建生产高VOCs含量有机溶剂型涂料、油墨和胶黏剂的项目。</w:t>
                  </w:r>
                </w:p>
                <w:p w14:paraId="764A3DC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5.</w:t>
                  </w:r>
                  <w:r>
                    <w:rPr>
                      <w:rFonts w:hint="eastAsia" w:ascii="Times New Roman" w:hAnsi="Times New Roman" w:eastAsia="宋体" w:cs="Times New Roman"/>
                      <w:vertAlign w:val="baseline"/>
                      <w:lang w:val="en-US" w:eastAsia="zh-CN"/>
                    </w:rPr>
                    <w:t>持续加强闽清等地建陶产业的环境综合治理，充分衔接国土空间规划和生态环境分区管控，并对照产业政策、城市总体发展规划等要求，进一步明确发展定位，优化产业布局和规模。</w:t>
                  </w:r>
                </w:p>
                <w:p w14:paraId="33D5DE4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6.</w:t>
                  </w:r>
                  <w:r>
                    <w:rPr>
                      <w:rFonts w:hint="eastAsia" w:ascii="Times New Roman" w:hAnsi="Times New Roman" w:eastAsia="宋体" w:cs="Times New Roman"/>
                      <w:vertAlign w:val="baseline"/>
                      <w:lang w:val="en-US" w:eastAsia="zh-CN"/>
                    </w:rPr>
                    <w:t>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30C2CA1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7.</w:t>
                  </w:r>
                  <w:r>
                    <w:rPr>
                      <w:rFonts w:hint="eastAsia" w:ascii="Times New Roman" w:hAnsi="Times New Roman" w:eastAsia="宋体" w:cs="Times New Roman"/>
                      <w:vertAlign w:val="baseline"/>
                      <w:lang w:val="en-US" w:eastAsia="zh-CN"/>
                    </w:rPr>
                    <w:t>禁止在流域上游新建、扩建重污染企业和项目。</w:t>
                  </w:r>
                </w:p>
                <w:p w14:paraId="1D67BFF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8.</w:t>
                  </w:r>
                  <w:r>
                    <w:rPr>
                      <w:rFonts w:hint="eastAsia" w:ascii="Times New Roman" w:hAnsi="Times New Roman" w:eastAsia="宋体" w:cs="Times New Roman"/>
                      <w:vertAlign w:val="baseline"/>
                      <w:lang w:val="en-US" w:eastAsia="zh-CN"/>
                    </w:rPr>
                    <w:t>重要敏感水体及富营养化湖库生态缓冲带除相关政府部门批准的科学研究活动外，禁止其它可能对保护区构成危害或不良影响的大规模生产、建设活动。</w:t>
                  </w:r>
                </w:p>
                <w:p w14:paraId="5D98FCF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9.</w:t>
                  </w:r>
                  <w:r>
                    <w:rPr>
                      <w:rFonts w:hint="eastAsia" w:ascii="Times New Roman" w:hAnsi="Times New Roman" w:eastAsia="宋体" w:cs="Times New Roman"/>
                      <w:vertAlign w:val="baseline"/>
                      <w:lang w:val="en-US" w:eastAsia="zh-CN"/>
                    </w:rPr>
                    <w:t>新、改、扩建煤电、钢铁、建材、石化、化工等“两高”项目，严格落实国家、省、市产业规划、产业政策、“三线一单”、规划环评，以及产能置换、煤炭消费减量替代、区域污染削减等相关要求。</w:t>
                  </w:r>
                </w:p>
                <w:p w14:paraId="0018FA7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cs="Times New Roman"/>
                      <w:vertAlign w:val="baseline"/>
                      <w:lang w:val="en-US" w:eastAsia="zh-CN"/>
                    </w:rPr>
                    <w:t>10.</w:t>
                  </w:r>
                  <w:r>
                    <w:rPr>
                      <w:rFonts w:hint="eastAsia" w:ascii="Times New Roman" w:hAnsi="Times New Roman" w:eastAsia="宋体" w:cs="Times New Roman"/>
                      <w:vertAlign w:val="baseline"/>
                      <w:lang w:val="en-US" w:eastAsia="zh-CN"/>
                    </w:rPr>
                    <w:t>单元内涉及永久基本农田的，应按照《福建省基本农田保护条例》（2010年修正本）、《国土资源部关于全面实行永久共本农田特殊保护的通知》（国土资规〔2018〕1号）、《中共中央国务院关于加强耕地保护和改进占补平衡的意见》（2017年1月9日）等相关文件要求进</w:t>
                  </w:r>
                  <w:r>
                    <w:rPr>
                      <w:rFonts w:hint="eastAsia" w:cs="Times New Roman"/>
                      <w:vertAlign w:val="baseline"/>
                      <w:lang w:val="en-US" w:eastAsia="zh-CN"/>
                    </w:rPr>
                    <w:t>行严</w:t>
                  </w:r>
                  <w:r>
                    <w:rPr>
                      <w:rFonts w:hint="eastAsia" w:ascii="Times New Roman" w:hAnsi="Times New Roman" w:eastAsia="宋体" w:cs="Times New Roman"/>
                      <w:vertAlign w:val="baseline"/>
                      <w:lang w:val="en-US" w:eastAsia="zh-CN"/>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076" w:type="pct"/>
                  <w:tcBorders>
                    <w:tl2br w:val="nil"/>
                    <w:tr2bl w:val="nil"/>
                  </w:tcBorders>
                  <w:vAlign w:val="center"/>
                </w:tcPr>
                <w:p w14:paraId="43A48B57">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本项目不属于石化植物制浆、印染、合成革及人造革、电镀项目，不涉及油墨、涂料、胶粘剂的使用，不属于陶瓷企业。不属于煤电、钢铁、建材、石化、化工等“两高”项目；</w:t>
                  </w:r>
                </w:p>
                <w:p w14:paraId="06400EDD">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vertAlign w:val="baseli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项目不属于</w:t>
                  </w:r>
                  <w:r>
                    <w:rPr>
                      <w:rFonts w:hint="eastAsia" w:ascii="Times New Roman" w:hAnsi="Times New Roman" w:eastAsia="宋体" w:cs="Times New Roman"/>
                      <w:vertAlign w:val="baseline"/>
                      <w:lang w:val="en-US" w:eastAsia="zh-CN"/>
                    </w:rPr>
                    <w:t>高VOCs含量有机溶剂型涂料、油墨和胶黏剂的项目；</w:t>
                  </w:r>
                </w:p>
                <w:p w14:paraId="780A967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项目所在地属于工业用地，不涉及基本农田、永久基本农田、防风固沙林和农田保护林等。</w:t>
                  </w:r>
                </w:p>
              </w:tc>
              <w:tc>
                <w:tcPr>
                  <w:tcW w:w="353" w:type="pct"/>
                  <w:tcBorders>
                    <w:tl2br w:val="nil"/>
                    <w:tr2bl w:val="nil"/>
                  </w:tcBorders>
                  <w:vAlign w:val="center"/>
                </w:tcPr>
                <w:p w14:paraId="7C9504B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06D1E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7E7C075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tcBorders>
                    <w:tl2br w:val="nil"/>
                    <w:tr2bl w:val="nil"/>
                  </w:tcBorders>
                  <w:vAlign w:val="center"/>
                </w:tcPr>
                <w:p w14:paraId="4A51934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vertAlign w:val="baseline"/>
                      <w:lang w:val="en-US" w:eastAsia="zh-CN"/>
                    </w:rPr>
                    <w:t>污染物排放管控</w:t>
                  </w:r>
                </w:p>
              </w:tc>
              <w:tc>
                <w:tcPr>
                  <w:tcW w:w="2927" w:type="pct"/>
                  <w:tcBorders>
                    <w:tl2br w:val="nil"/>
                    <w:tr2bl w:val="nil"/>
                  </w:tcBorders>
                  <w:vAlign w:val="center"/>
                </w:tcPr>
                <w:p w14:paraId="7AA93DE8">
                  <w:pPr>
                    <w:keepNext w:val="0"/>
                    <w:keepLines w:val="0"/>
                    <w:pageBreakBefore w:val="0"/>
                    <w:widowControl w:val="0"/>
                    <w:numPr>
                      <w:ilvl w:val="0"/>
                      <w:numId w:val="3"/>
                    </w:numPr>
                    <w:kinsoku/>
                    <w:wordWrap/>
                    <w:overflowPunct/>
                    <w:topLinePunct w:val="0"/>
                    <w:autoSpaceDE/>
                    <w:autoSpaceDN/>
                    <w:bidi w:val="0"/>
                    <w:adjustRightInd/>
                    <w:snapToGrid/>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工业类新（改、扩）建项目新增主要污染物（水污染物化学需氧量、氨氮和大气污染物二氧化硫、氮氧化物）排放总量指标应符合区域环境质量和总量控制要求，立足于通过</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以新带老</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、削减存量，努力实现区域、企业自身总量平衡。总量指标来源、审核和监督管理按照“榕环保综〔2017〕90号</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等相关文件执行。</w:t>
                  </w:r>
                </w:p>
                <w:p w14:paraId="0066DB96">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新、改、扩建涉VOCs排放项目，应从源头加强控制，使用低（无）VOCs含量的原辅材料，实施新建项目VOCs排放区域内1.2及以上倍量替代。</w:t>
                  </w:r>
                </w:p>
                <w:p w14:paraId="49399F13">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1BD30C4F">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氟化工、印染、电镀等行业企业实行水污染物特别排放限值。</w:t>
                  </w:r>
                </w:p>
                <w:p w14:paraId="34B90F8F">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新、改、扩建重点行业［2］建设项目要遵循重点重金属污染物排放“等量替代”原则，总量来源原则上应是同一重点行业内的削减量，当同一重点行业无法满足时可从其他重点行业调剂。</w:t>
                  </w:r>
                </w:p>
                <w:p w14:paraId="3C4EF0F2">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每小时35（含）—65蒸吨燃煤锅炉和位于县级及以上城市建成区内保留的燃煤、燃油、燃生物质锅炉，原则上2024年底前必须全面实现超低排放。</w:t>
                  </w:r>
                </w:p>
                <w:p w14:paraId="04CDC0E3">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水泥行业新改扩建项目严格对照超低排放、能效标杆水平建设实施；现有项目超低排放改造应按文件（闽环规〔2023〕2号）的时限要求分步推进，2025年底前全面完成［3］［4］。</w:t>
                  </w:r>
                </w:p>
                <w:p w14:paraId="0059D56A">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076" w:type="pct"/>
                  <w:tcBorders>
                    <w:tl2br w:val="nil"/>
                    <w:tr2bl w:val="nil"/>
                  </w:tcBorders>
                  <w:vAlign w:val="center"/>
                </w:tcPr>
                <w:p w14:paraId="1598D140">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sz w:val="21"/>
                      <w:szCs w:val="21"/>
                      <w:u w:val="none"/>
                      <w:lang w:val="en-US" w:eastAsia="zh-CN"/>
                    </w:rPr>
                    <w:t>1.本项目不新增</w:t>
                  </w:r>
                  <w:r>
                    <w:rPr>
                      <w:rFonts w:hint="eastAsia"/>
                      <w:color w:val="auto"/>
                      <w:u w:val="none"/>
                      <w:vertAlign w:val="baseline"/>
                      <w:lang w:val="en-US" w:eastAsia="zh-CN"/>
                    </w:rPr>
                    <w:t>水污染物化学需氧量、氨氮和大气污染物二氧化硫、氮氧化物的排放；</w:t>
                  </w:r>
                </w:p>
                <w:p w14:paraId="1E36DD34">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2.本项目新增VOCs排放，区域内实行倍量替代；</w:t>
                  </w:r>
                </w:p>
                <w:p w14:paraId="54CDA67E">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3.本项目不属于钢铁、水泥、平板玻璃、有色金属冶炼、化工等工业项目；</w:t>
                  </w:r>
                </w:p>
                <w:p w14:paraId="3588B8C2">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4.本项目不属于氟化工、印染、电镀等行业企业；</w:t>
                  </w:r>
                </w:p>
                <w:p w14:paraId="3CE534AC">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5.本项目不涉及重点污染物排放；</w:t>
                  </w:r>
                </w:p>
                <w:p w14:paraId="34ECAE81">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6.本项目不设置锅炉，不燃煤、燃油、生物质和其他使用高污染燃料的锅炉；</w:t>
                  </w:r>
                </w:p>
                <w:p w14:paraId="24FDDC71">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7.本项目不属于水泥行业；</w:t>
                  </w:r>
                </w:p>
                <w:p w14:paraId="7BF7120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olor w:val="auto"/>
                      <w:u w:val="none"/>
                      <w:vertAlign w:val="baseline"/>
                      <w:lang w:val="en-US" w:eastAsia="zh-CN"/>
                    </w:rPr>
                    <w:t>8.本项目不属于印染、皮革、农药、医药、涂料等企业，不涉及废药品、废农药以及抗生素生产过程中产生的废母液、废反应基和废培养基等废物的产生。</w:t>
                  </w:r>
                </w:p>
              </w:tc>
              <w:tc>
                <w:tcPr>
                  <w:tcW w:w="353" w:type="pct"/>
                  <w:tcBorders>
                    <w:tl2br w:val="nil"/>
                    <w:tr2bl w:val="nil"/>
                  </w:tcBorders>
                  <w:vAlign w:val="center"/>
                </w:tcPr>
                <w:p w14:paraId="60844FF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66CB8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7AA404E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tcBorders>
                    <w:tl2br w:val="nil"/>
                    <w:tr2bl w:val="nil"/>
                  </w:tcBorders>
                  <w:vAlign w:val="center"/>
                </w:tcPr>
                <w:p w14:paraId="6EA46BC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资源开发效率要求</w:t>
                  </w:r>
                </w:p>
              </w:tc>
              <w:tc>
                <w:tcPr>
                  <w:tcW w:w="2927" w:type="pct"/>
                  <w:tcBorders>
                    <w:tl2br w:val="nil"/>
                    <w:tr2bl w:val="nil"/>
                  </w:tcBorders>
                  <w:vAlign w:val="center"/>
                </w:tcPr>
                <w:p w14:paraId="0AFA832F">
                  <w:pPr>
                    <w:keepNext w:val="0"/>
                    <w:keepLines w:val="0"/>
                    <w:pageBreakBefore w:val="0"/>
                    <w:widowControl w:val="0"/>
                    <w:numPr>
                      <w:ilvl w:val="0"/>
                      <w:numId w:val="4"/>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29E28B3B">
                  <w:pPr>
                    <w:keepNext w:val="0"/>
                    <w:keepLines w:val="0"/>
                    <w:pageBreakBefore w:val="0"/>
                    <w:widowControl w:val="0"/>
                    <w:numPr>
                      <w:ilvl w:val="0"/>
                      <w:numId w:val="4"/>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按照</w:t>
                  </w:r>
                  <w:r>
                    <w:rPr>
                      <w:rFonts w:hint="eastAsia" w:ascii="Times New Roman" w:hAnsi="Times New Roman" w:eastAsia="宋体"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提气、转电、控煤</w:t>
                  </w:r>
                  <w:r>
                    <w:rPr>
                      <w:rFonts w:hint="eastAsia" w:ascii="Times New Roman" w:hAnsi="Times New Roman" w:eastAsia="宋体"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的发展思路，推动陶瓷行业进一步优化用能结构，实现能源消费清洁低碳化。</w:t>
                  </w:r>
                </w:p>
              </w:tc>
              <w:tc>
                <w:tcPr>
                  <w:tcW w:w="1076" w:type="pct"/>
                  <w:tcBorders>
                    <w:tl2br w:val="nil"/>
                    <w:tr2bl w:val="nil"/>
                  </w:tcBorders>
                  <w:vAlign w:val="center"/>
                </w:tcPr>
                <w:p w14:paraId="62BAD3C9">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sz w:val="21"/>
                      <w:szCs w:val="21"/>
                      <w:u w:val="none"/>
                      <w:lang w:val="en-US" w:eastAsia="zh-CN"/>
                    </w:rPr>
                    <w:t>1.</w:t>
                  </w:r>
                  <w:r>
                    <w:rPr>
                      <w:rFonts w:hint="eastAsia"/>
                      <w:color w:val="auto"/>
                      <w:u w:val="none"/>
                      <w:vertAlign w:val="baseline"/>
                      <w:lang w:val="en-US" w:eastAsia="zh-CN"/>
                    </w:rPr>
                    <w:t>本项目不设置锅炉，不燃煤、燃油、生物质和其他使用高污染燃料的锅炉；</w:t>
                  </w:r>
                </w:p>
                <w:p w14:paraId="519C2EE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olor w:val="auto"/>
                      <w:sz w:val="21"/>
                      <w:szCs w:val="21"/>
                      <w:u w:val="none"/>
                      <w:lang w:val="en-US" w:eastAsia="zh-CN"/>
                    </w:rPr>
                    <w:t>2.本项目不属于陶瓷行业。</w:t>
                  </w:r>
                </w:p>
              </w:tc>
              <w:tc>
                <w:tcPr>
                  <w:tcW w:w="353" w:type="pct"/>
                  <w:tcBorders>
                    <w:tl2br w:val="nil"/>
                    <w:tr2bl w:val="nil"/>
                  </w:tcBorders>
                  <w:vAlign w:val="center"/>
                </w:tcPr>
                <w:p w14:paraId="2670779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bl>
          <w:p w14:paraId="736E1AE2">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表1.1-4本项目与</w:t>
            </w:r>
            <w:r>
              <w:rPr>
                <w:rFonts w:hint="eastAsia" w:ascii="Times New Roman" w:hAnsi="Times New Roman" w:eastAsia="宋体" w:cs="Times New Roman"/>
                <w:b/>
                <w:bCs/>
                <w:color w:val="auto"/>
                <w:sz w:val="24"/>
                <w:szCs w:val="24"/>
                <w:highlight w:val="none"/>
                <w:lang w:val="en-US" w:eastAsia="zh-CN"/>
              </w:rPr>
              <w:t>福清市</w:t>
            </w:r>
            <w:r>
              <w:rPr>
                <w:rFonts w:hint="default" w:ascii="Times New Roman" w:hAnsi="Times New Roman" w:eastAsia="宋体" w:cs="Times New Roman"/>
                <w:b/>
                <w:bCs/>
                <w:color w:val="auto"/>
                <w:sz w:val="24"/>
                <w:szCs w:val="24"/>
                <w:highlight w:val="none"/>
                <w:lang w:val="en-US" w:eastAsia="zh-CN"/>
              </w:rPr>
              <w:t>重点管控单元</w:t>
            </w: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环境管控单元准入要求</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6"/>
              <w:gridCol w:w="1085"/>
              <w:gridCol w:w="758"/>
              <w:gridCol w:w="692"/>
              <w:gridCol w:w="5611"/>
              <w:gridCol w:w="2071"/>
              <w:gridCol w:w="725"/>
            </w:tblGrid>
            <w:tr w14:paraId="2CDE6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tcBorders>
                    <w:tl2br w:val="nil"/>
                    <w:tr2bl w:val="nil"/>
                  </w:tcBorders>
                  <w:vAlign w:val="center"/>
                </w:tcPr>
                <w:p w14:paraId="083D63D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环境管控单位编码</w:t>
                  </w:r>
                </w:p>
              </w:tc>
              <w:tc>
                <w:tcPr>
                  <w:tcW w:w="430" w:type="pct"/>
                  <w:tcBorders>
                    <w:tl2br w:val="nil"/>
                    <w:tr2bl w:val="nil"/>
                  </w:tcBorders>
                  <w:vAlign w:val="center"/>
                </w:tcPr>
                <w:p w14:paraId="491F8F0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环境管控单元名称</w:t>
                  </w:r>
                </w:p>
              </w:tc>
              <w:tc>
                <w:tcPr>
                  <w:tcW w:w="300" w:type="pct"/>
                  <w:tcBorders>
                    <w:tl2br w:val="nil"/>
                    <w:tr2bl w:val="nil"/>
                  </w:tcBorders>
                  <w:vAlign w:val="center"/>
                </w:tcPr>
                <w:p w14:paraId="3DCFEC6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管控类别</w:t>
                  </w:r>
                </w:p>
              </w:tc>
              <w:tc>
                <w:tcPr>
                  <w:tcW w:w="2496" w:type="pct"/>
                  <w:gridSpan w:val="2"/>
                  <w:tcBorders>
                    <w:tl2br w:val="nil"/>
                    <w:tr2bl w:val="nil"/>
                  </w:tcBorders>
                  <w:vAlign w:val="center"/>
                </w:tcPr>
                <w:p w14:paraId="081502E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管控要求</w:t>
                  </w:r>
                </w:p>
              </w:tc>
              <w:tc>
                <w:tcPr>
                  <w:tcW w:w="820" w:type="pct"/>
                  <w:tcBorders>
                    <w:tl2br w:val="nil"/>
                    <w:tr2bl w:val="nil"/>
                  </w:tcBorders>
                  <w:vAlign w:val="center"/>
                </w:tcPr>
                <w:p w14:paraId="45CF0E7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本项目情况</w:t>
                  </w:r>
                </w:p>
              </w:tc>
              <w:tc>
                <w:tcPr>
                  <w:tcW w:w="287" w:type="pct"/>
                  <w:tcBorders>
                    <w:tl2br w:val="nil"/>
                    <w:tr2bl w:val="nil"/>
                  </w:tcBorders>
                  <w:vAlign w:val="center"/>
                </w:tcPr>
                <w:p w14:paraId="1151C59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符合性</w:t>
                  </w:r>
                </w:p>
              </w:tc>
            </w:tr>
            <w:tr w14:paraId="46CF2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restart"/>
                  <w:tcBorders>
                    <w:tl2br w:val="nil"/>
                    <w:tr2bl w:val="nil"/>
                  </w:tcBorders>
                  <w:vAlign w:val="center"/>
                </w:tcPr>
                <w:p w14:paraId="405D347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sz w:val="21"/>
                      <w:szCs w:val="21"/>
                      <w:vertAlign w:val="baseline"/>
                      <w:lang w:val="en-US" w:eastAsia="zh-CN"/>
                    </w:rPr>
                    <w:t>ZH35018120008</w:t>
                  </w:r>
                </w:p>
              </w:tc>
              <w:tc>
                <w:tcPr>
                  <w:tcW w:w="430" w:type="pct"/>
                  <w:vMerge w:val="restart"/>
                  <w:tcBorders>
                    <w:tl2br w:val="nil"/>
                    <w:tr2bl w:val="nil"/>
                  </w:tcBorders>
                  <w:vAlign w:val="center"/>
                </w:tcPr>
                <w:p w14:paraId="6CE4D8C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福清市重点管控单元1</w:t>
                  </w:r>
                </w:p>
              </w:tc>
              <w:tc>
                <w:tcPr>
                  <w:tcW w:w="300" w:type="pct"/>
                  <w:vMerge w:val="restart"/>
                  <w:tcBorders>
                    <w:tl2br w:val="nil"/>
                    <w:tr2bl w:val="nil"/>
                  </w:tcBorders>
                  <w:vAlign w:val="center"/>
                </w:tcPr>
                <w:p w14:paraId="5D12569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重点管控单位</w:t>
                  </w:r>
                </w:p>
              </w:tc>
              <w:tc>
                <w:tcPr>
                  <w:tcW w:w="274" w:type="pct"/>
                  <w:tcBorders>
                    <w:tl2br w:val="nil"/>
                    <w:tr2bl w:val="nil"/>
                  </w:tcBorders>
                  <w:vAlign w:val="center"/>
                </w:tcPr>
                <w:p w14:paraId="16B9F22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空间布局约束</w:t>
                  </w:r>
                </w:p>
              </w:tc>
              <w:tc>
                <w:tcPr>
                  <w:tcW w:w="2221" w:type="pct"/>
                  <w:tcBorders>
                    <w:tl2br w:val="nil"/>
                    <w:tr2bl w:val="nil"/>
                  </w:tcBorders>
                  <w:vAlign w:val="center"/>
                </w:tcPr>
                <w:p w14:paraId="3B263182">
                  <w:pPr>
                    <w:keepNext w:val="0"/>
                    <w:keepLines w:val="0"/>
                    <w:pageBreakBefore w:val="0"/>
                    <w:widowControl w:val="0"/>
                    <w:numPr>
                      <w:ilvl w:val="0"/>
                      <w:numId w:val="5"/>
                    </w:numPr>
                    <w:kinsoku/>
                    <w:wordWrap/>
                    <w:overflowPunct/>
                    <w:topLinePunct w:val="0"/>
                    <w:bidi w:val="0"/>
                    <w:adjustRightInd/>
                    <w:snapToGrid/>
                    <w:spacing w:line="240" w:lineRule="auto"/>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405676AF">
                  <w:pPr>
                    <w:keepNext w:val="0"/>
                    <w:keepLines w:val="0"/>
                    <w:pageBreakBefore w:val="0"/>
                    <w:widowControl w:val="0"/>
                    <w:numPr>
                      <w:ilvl w:val="0"/>
                      <w:numId w:val="5"/>
                    </w:numPr>
                    <w:kinsoku/>
                    <w:wordWrap/>
                    <w:overflowPunct/>
                    <w:topLinePunct w:val="0"/>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严格控制包装印刷、工业涂装、制鞋等高VOCs排放的项目建设，相关新建项目必须进入工业园区。</w:t>
                  </w:r>
                </w:p>
                <w:p w14:paraId="5301D5BE">
                  <w:pPr>
                    <w:keepNext w:val="0"/>
                    <w:keepLines w:val="0"/>
                    <w:pageBreakBefore w:val="0"/>
                    <w:widowControl w:val="0"/>
                    <w:numPr>
                      <w:ilvl w:val="0"/>
                      <w:numId w:val="0"/>
                    </w:numPr>
                    <w:kinsoku/>
                    <w:wordWrap/>
                    <w:overflowPunct/>
                    <w:topLinePunct w:val="0"/>
                    <w:bidi w:val="0"/>
                    <w:adjustRightInd/>
                    <w:snapToGrid/>
                    <w:spacing w:line="240" w:lineRule="auto"/>
                    <w:ind w:leftChars="0"/>
                    <w:jc w:val="left"/>
                    <w:textAlignment w:val="auto"/>
                    <w:rPr>
                      <w:rFonts w:hint="default" w:ascii="Times New Roman" w:hAnsi="Times New Roman" w:eastAsia="宋体" w:cs="Times New Roman"/>
                      <w:sz w:val="21"/>
                      <w:szCs w:val="21"/>
                      <w:vertAlign w:val="baseline"/>
                      <w:lang w:val="en-US" w:eastAsia="zh-CN"/>
                    </w:rPr>
                  </w:pPr>
                  <w:r>
                    <w:rPr>
                      <w:rFonts w:hint="eastAsia" w:cs="Times New Roman"/>
                      <w:b w:val="0"/>
                      <w:bCs w:val="0"/>
                      <w:sz w:val="21"/>
                      <w:szCs w:val="21"/>
                      <w:vertAlign w:val="baseline"/>
                      <w:lang w:val="en-US" w:eastAsia="zh-CN"/>
                    </w:rPr>
                    <w:t>3.</w:t>
                  </w:r>
                  <w:r>
                    <w:rPr>
                      <w:rFonts w:hint="default" w:ascii="Times New Roman" w:hAnsi="Times New Roman" w:eastAsia="宋体" w:cs="Times New Roman"/>
                      <w:b w:val="0"/>
                      <w:bCs w:val="0"/>
                      <w:sz w:val="21"/>
                      <w:szCs w:val="21"/>
                      <w:vertAlign w:val="baseline"/>
                      <w:lang w:val="en-US" w:eastAsia="zh-CN"/>
                    </w:rPr>
                    <w:t>禁止开发利用未经评估和无害化处理的列入建设用地污染地块名录及开发利用负面清单的土地。</w:t>
                  </w:r>
                </w:p>
              </w:tc>
              <w:tc>
                <w:tcPr>
                  <w:tcW w:w="820" w:type="pct"/>
                  <w:tcBorders>
                    <w:tl2br w:val="nil"/>
                    <w:tr2bl w:val="nil"/>
                  </w:tcBorders>
                  <w:vAlign w:val="center"/>
                </w:tcPr>
                <w:p w14:paraId="14D93C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val="en-US" w:eastAsia="zh-CN"/>
                    </w:rPr>
                    <w:t>本项目不属于危险化学品生产企业，不属于有色金属、印染、原料药制造、化工等企业；本项目位于</w:t>
                  </w:r>
                  <w:r>
                    <w:rPr>
                      <w:rFonts w:hint="default" w:ascii="Times New Roman" w:hAnsi="Times New Roman" w:eastAsia="宋体" w:cs="Times New Roman"/>
                      <w:color w:val="auto"/>
                      <w:sz w:val="21"/>
                      <w:szCs w:val="21"/>
                      <w:u w:val="none"/>
                      <w:lang w:eastAsia="zh-CN"/>
                    </w:rPr>
                    <w:t>福清融侨经济技术开发区内。</w:t>
                  </w:r>
                </w:p>
              </w:tc>
              <w:tc>
                <w:tcPr>
                  <w:tcW w:w="287" w:type="pct"/>
                  <w:tcBorders>
                    <w:tl2br w:val="nil"/>
                    <w:tr2bl w:val="nil"/>
                  </w:tcBorders>
                  <w:vAlign w:val="center"/>
                </w:tcPr>
                <w:p w14:paraId="3D981BB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53FFC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tcBorders>
                    <w:tl2br w:val="nil"/>
                    <w:tr2bl w:val="nil"/>
                  </w:tcBorders>
                  <w:vAlign w:val="center"/>
                </w:tcPr>
                <w:p w14:paraId="63B401F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30" w:type="pct"/>
                  <w:vMerge w:val="continue"/>
                  <w:tcBorders>
                    <w:tl2br w:val="nil"/>
                    <w:tr2bl w:val="nil"/>
                  </w:tcBorders>
                  <w:vAlign w:val="center"/>
                </w:tcPr>
                <w:p w14:paraId="301C7A7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00" w:type="pct"/>
                  <w:vMerge w:val="continue"/>
                  <w:tcBorders>
                    <w:tl2br w:val="nil"/>
                    <w:tr2bl w:val="nil"/>
                  </w:tcBorders>
                  <w:vAlign w:val="center"/>
                </w:tcPr>
                <w:p w14:paraId="0B95009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6A8AF73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污染物排放管控</w:t>
                  </w:r>
                </w:p>
              </w:tc>
              <w:tc>
                <w:tcPr>
                  <w:tcW w:w="2221" w:type="pct"/>
                  <w:tcBorders>
                    <w:tl2br w:val="nil"/>
                    <w:tr2bl w:val="nil"/>
                  </w:tcBorders>
                  <w:vAlign w:val="center"/>
                </w:tcPr>
                <w:p w14:paraId="1F7AE86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落实新增二氧化硫、氮氧化物和VOCs排放总量控制要求。</w:t>
                  </w:r>
                </w:p>
              </w:tc>
              <w:tc>
                <w:tcPr>
                  <w:tcW w:w="820" w:type="pct"/>
                  <w:tcBorders>
                    <w:tl2br w:val="nil"/>
                    <w:tr2bl w:val="nil"/>
                  </w:tcBorders>
                  <w:vAlign w:val="center"/>
                </w:tcPr>
                <w:p w14:paraId="662FC8C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kern w:val="0"/>
                      <w:sz w:val="21"/>
                      <w:szCs w:val="21"/>
                      <w:u w:val="none"/>
                      <w:lang w:val="en-US" w:eastAsia="zh-CN" w:bidi="ar"/>
                    </w:rPr>
                    <w:t>本项目不涉及</w:t>
                  </w:r>
                  <w:r>
                    <w:rPr>
                      <w:rFonts w:hint="default" w:ascii="Times New Roman" w:hAnsi="Times New Roman" w:eastAsia="宋体" w:cs="Times New Roman"/>
                      <w:color w:val="auto"/>
                      <w:sz w:val="21"/>
                      <w:szCs w:val="21"/>
                      <w:u w:val="none"/>
                      <w:vertAlign w:val="baseline"/>
                      <w:lang w:val="en-US" w:eastAsia="zh-CN"/>
                    </w:rPr>
                    <w:t>新增二氧化硫、氮氧化物的排放，</w:t>
                  </w:r>
                  <w:r>
                    <w:rPr>
                      <w:rFonts w:hint="default" w:ascii="Times New Roman" w:hAnsi="Times New Roman" w:eastAsia="宋体" w:cs="Times New Roman"/>
                      <w:color w:val="auto"/>
                      <w:kern w:val="0"/>
                      <w:sz w:val="21"/>
                      <w:szCs w:val="21"/>
                      <w:u w:val="none"/>
                      <w:lang w:val="en-US" w:eastAsia="zh-CN" w:bidi="ar"/>
                    </w:rPr>
                    <w:t>本项目涉及</w:t>
                  </w:r>
                  <w:r>
                    <w:rPr>
                      <w:rFonts w:hint="default" w:ascii="Times New Roman" w:hAnsi="Times New Roman" w:eastAsia="宋体" w:cs="Times New Roman"/>
                      <w:color w:val="auto"/>
                      <w:sz w:val="21"/>
                      <w:szCs w:val="21"/>
                      <w:highlight w:val="none"/>
                      <w:u w:val="none"/>
                      <w:vertAlign w:val="baseline"/>
                      <w:lang w:eastAsia="zh-CN"/>
                    </w:rPr>
                    <w:t>新增</w:t>
                  </w:r>
                  <w:r>
                    <w:rPr>
                      <w:rFonts w:hint="default" w:ascii="Times New Roman" w:hAnsi="Times New Roman" w:eastAsia="宋体" w:cs="Times New Roman"/>
                      <w:color w:val="auto"/>
                      <w:sz w:val="21"/>
                      <w:szCs w:val="21"/>
                      <w:u w:val="none"/>
                    </w:rPr>
                    <w:t>VOCs排放，VOCs排放实行区域内倍量替代</w:t>
                  </w:r>
                  <w:r>
                    <w:rPr>
                      <w:rFonts w:hint="default" w:ascii="Times New Roman" w:hAnsi="Times New Roman" w:eastAsia="宋体" w:cs="Times New Roman"/>
                      <w:color w:val="auto"/>
                      <w:sz w:val="21"/>
                      <w:szCs w:val="21"/>
                      <w:u w:val="none"/>
                      <w:lang w:eastAsia="zh-CN"/>
                    </w:rPr>
                    <w:t>。</w:t>
                  </w:r>
                </w:p>
              </w:tc>
              <w:tc>
                <w:tcPr>
                  <w:tcW w:w="287" w:type="pct"/>
                  <w:tcBorders>
                    <w:tl2br w:val="nil"/>
                    <w:tr2bl w:val="nil"/>
                  </w:tcBorders>
                  <w:vAlign w:val="center"/>
                </w:tcPr>
                <w:p w14:paraId="350CD76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71005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tcBorders>
                    <w:tl2br w:val="nil"/>
                    <w:tr2bl w:val="nil"/>
                  </w:tcBorders>
                  <w:vAlign w:val="center"/>
                </w:tcPr>
                <w:p w14:paraId="2775845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30" w:type="pct"/>
                  <w:vMerge w:val="continue"/>
                  <w:tcBorders>
                    <w:tl2br w:val="nil"/>
                    <w:tr2bl w:val="nil"/>
                  </w:tcBorders>
                  <w:vAlign w:val="center"/>
                </w:tcPr>
                <w:p w14:paraId="574F305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00" w:type="pct"/>
                  <w:vMerge w:val="continue"/>
                  <w:tcBorders>
                    <w:tl2br w:val="nil"/>
                    <w:tr2bl w:val="nil"/>
                  </w:tcBorders>
                  <w:vAlign w:val="center"/>
                </w:tcPr>
                <w:p w14:paraId="2824B1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0054D1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环境风险防控</w:t>
                  </w:r>
                </w:p>
              </w:tc>
              <w:tc>
                <w:tcPr>
                  <w:tcW w:w="2221" w:type="pct"/>
                  <w:tcBorders>
                    <w:tl2br w:val="nil"/>
                    <w:tr2bl w:val="nil"/>
                  </w:tcBorders>
                  <w:vAlign w:val="center"/>
                </w:tcPr>
                <w:p w14:paraId="28F5F621">
                  <w:pPr>
                    <w:keepNext w:val="0"/>
                    <w:keepLines w:val="0"/>
                    <w:pageBreakBefore w:val="0"/>
                    <w:widowControl w:val="0"/>
                    <w:kinsoku/>
                    <w:wordWrap/>
                    <w:overflowPunct/>
                    <w:topLinePunct w:val="0"/>
                    <w:bidi w:val="0"/>
                    <w:adjustRightInd/>
                    <w:snapToGrid/>
                    <w:spacing w:line="240" w:lineRule="auto"/>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820" w:type="pct"/>
                  <w:tcBorders>
                    <w:tl2br w:val="nil"/>
                    <w:tr2bl w:val="nil"/>
                  </w:tcBorders>
                  <w:vAlign w:val="center"/>
                </w:tcPr>
                <w:p w14:paraId="5987F4E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kern w:val="0"/>
                      <w:sz w:val="21"/>
                      <w:szCs w:val="21"/>
                      <w:u w:val="none"/>
                      <w:lang w:val="en-US" w:eastAsia="zh-CN" w:bidi="ar"/>
                    </w:rPr>
                  </w:pPr>
                  <w:r>
                    <w:rPr>
                      <w:rFonts w:hint="eastAsia"/>
                    </w:rPr>
                    <w:t>不涉及</w:t>
                  </w:r>
                </w:p>
              </w:tc>
              <w:tc>
                <w:tcPr>
                  <w:tcW w:w="287" w:type="pct"/>
                  <w:tcBorders>
                    <w:tl2br w:val="nil"/>
                    <w:tr2bl w:val="nil"/>
                  </w:tcBorders>
                  <w:vAlign w:val="center"/>
                </w:tcPr>
                <w:p w14:paraId="5B01814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符合</w:t>
                  </w:r>
                </w:p>
              </w:tc>
            </w:tr>
            <w:tr w14:paraId="50165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pct"/>
                  <w:vMerge w:val="continue"/>
                  <w:tcBorders>
                    <w:tl2br w:val="nil"/>
                    <w:tr2bl w:val="nil"/>
                  </w:tcBorders>
                  <w:vAlign w:val="center"/>
                </w:tcPr>
                <w:p w14:paraId="44279F4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30" w:type="pct"/>
                  <w:vMerge w:val="continue"/>
                  <w:tcBorders>
                    <w:tl2br w:val="nil"/>
                    <w:tr2bl w:val="nil"/>
                  </w:tcBorders>
                  <w:vAlign w:val="center"/>
                </w:tcPr>
                <w:p w14:paraId="6D0D91F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00" w:type="pct"/>
                  <w:vMerge w:val="continue"/>
                  <w:tcBorders>
                    <w:tl2br w:val="nil"/>
                    <w:tr2bl w:val="nil"/>
                  </w:tcBorders>
                  <w:vAlign w:val="center"/>
                </w:tcPr>
                <w:p w14:paraId="36FDCF7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0BA001A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资源开发效率要求</w:t>
                  </w:r>
                </w:p>
              </w:tc>
              <w:tc>
                <w:tcPr>
                  <w:tcW w:w="2221" w:type="pct"/>
                  <w:tcBorders>
                    <w:tl2br w:val="nil"/>
                    <w:tr2bl w:val="nil"/>
                  </w:tcBorders>
                  <w:vAlign w:val="center"/>
                </w:tcPr>
                <w:p w14:paraId="0B58FAB4">
                  <w:pPr>
                    <w:keepNext w:val="0"/>
                    <w:keepLines w:val="0"/>
                    <w:pageBreakBefore w:val="0"/>
                    <w:widowControl w:val="0"/>
                    <w:kinsoku/>
                    <w:wordWrap/>
                    <w:overflowPunct/>
                    <w:topLinePunct w:val="0"/>
                    <w:bidi w:val="0"/>
                    <w:adjustRightInd/>
                    <w:snapToGrid/>
                    <w:spacing w:line="240" w:lineRule="auto"/>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高污染燃料禁燃区内禁止燃用高污染燃料，禁止新建、扩建燃用高污染燃料的设施。已建的燃用高污染燃料设施，限期改用电、天然气、液化石油气等清洁能源。</w:t>
                  </w:r>
                </w:p>
              </w:tc>
              <w:tc>
                <w:tcPr>
                  <w:tcW w:w="820" w:type="pct"/>
                  <w:tcBorders>
                    <w:tl2br w:val="nil"/>
                    <w:tr2bl w:val="nil"/>
                  </w:tcBorders>
                  <w:vAlign w:val="center"/>
                </w:tcPr>
                <w:p w14:paraId="52BD2B8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kern w:val="0"/>
                      <w:sz w:val="21"/>
                      <w:szCs w:val="21"/>
                      <w:u w:val="none"/>
                      <w:lang w:val="en-US" w:eastAsia="zh-CN" w:bidi="ar"/>
                    </w:rPr>
                  </w:pPr>
                  <w:r>
                    <w:t>项目用电作为能源，未使用高污染燃料</w:t>
                  </w:r>
                </w:p>
              </w:tc>
              <w:tc>
                <w:tcPr>
                  <w:tcW w:w="287" w:type="pct"/>
                  <w:tcBorders>
                    <w:tl2br w:val="nil"/>
                    <w:tr2bl w:val="nil"/>
                  </w:tcBorders>
                  <w:vAlign w:val="center"/>
                </w:tcPr>
                <w:p w14:paraId="0A73603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符合</w:t>
                  </w:r>
                </w:p>
              </w:tc>
            </w:tr>
          </w:tbl>
          <w:p w14:paraId="744776BC">
            <w:pPr>
              <w:pStyle w:val="20"/>
              <w:keepLines w:val="0"/>
              <w:pageBreakBefore w:val="0"/>
              <w:wordWrap/>
              <w:topLinePunct w:val="0"/>
              <w:bidi w:val="0"/>
              <w:spacing w:before="0" w:after="0" w:line="360" w:lineRule="auto"/>
              <w:ind w:left="0" w:right="0" w:firstLine="0" w:firstLineChars="0"/>
              <w:jc w:val="left"/>
              <w:rPr>
                <w:rFonts w:hint="default" w:ascii="Times New Roman" w:hAnsi="Times New Roman" w:eastAsia="宋体" w:cs="Times New Roman"/>
                <w:color w:val="auto"/>
                <w:sz w:val="24"/>
                <w:szCs w:val="24"/>
                <w:u w:val="none"/>
                <w:lang w:eastAsia="zh-CN"/>
              </w:rPr>
            </w:pPr>
          </w:p>
        </w:tc>
      </w:tr>
    </w:tbl>
    <w:p w14:paraId="453B23D9">
      <w:pPr>
        <w:jc w:val="both"/>
        <w:rPr>
          <w:rFonts w:hint="eastAsia" w:eastAsia="楷体_GB2312" w:cs="Times New Roman"/>
          <w:color w:val="auto"/>
          <w:sz w:val="36"/>
          <w:szCs w:val="36"/>
          <w:u w:val="none"/>
          <w:lang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8646"/>
      </w:tblGrid>
      <w:tr w14:paraId="2D0A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tcPr>
          <w:p w14:paraId="594F6A01">
            <w:pPr>
              <w:pStyle w:val="10"/>
              <w:rPr>
                <w:rFonts w:hint="eastAsia"/>
                <w:vertAlign w:val="baseline"/>
                <w:lang w:eastAsia="zh-CN"/>
              </w:rPr>
            </w:pPr>
          </w:p>
        </w:tc>
        <w:tc>
          <w:tcPr>
            <w:tcW w:w="4653" w:type="pct"/>
          </w:tcPr>
          <w:p w14:paraId="636E504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根据上述分析，本项目与《福建省人民政府关于实施</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三线一单</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生态环境分区管控的通知》</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闽政</w:t>
            </w:r>
            <w:r>
              <w:rPr>
                <w:rFonts w:hint="eastAsia" w:cs="Times New Roman"/>
                <w:color w:val="auto"/>
                <w:sz w:val="24"/>
                <w:szCs w:val="24"/>
                <w:u w:val="none"/>
                <w:lang w:eastAsia="zh-CN"/>
              </w:rPr>
              <w:t>〔2020〕12号</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中的相关规定是符合的。</w:t>
            </w:r>
          </w:p>
          <w:p w14:paraId="4442B9EA">
            <w:pPr>
              <w:pStyle w:val="33"/>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平面布局合理性分析</w:t>
            </w:r>
          </w:p>
          <w:p w14:paraId="304689A3">
            <w:pPr>
              <w:pStyle w:val="34"/>
              <w:keepNext w:val="0"/>
              <w:keepLines w:val="0"/>
              <w:pageBreakBefore w:val="0"/>
              <w:kinsoku/>
              <w:wordWrap/>
              <w:overflowPunct/>
              <w:topLinePunct w:val="0"/>
              <w:bidi w:val="0"/>
              <w:spacing w:line="360" w:lineRule="auto"/>
              <w:ind w:firstLine="480"/>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w:t>
            </w:r>
            <w:r>
              <w:rPr>
                <w:rFonts w:hint="eastAsia" w:cs="Times New Roman"/>
                <w:color w:val="auto"/>
                <w:sz w:val="24"/>
                <w:szCs w:val="24"/>
                <w:highlight w:val="none"/>
                <w:lang w:val="en-US" w:eastAsia="zh-CN"/>
              </w:rPr>
              <w:t>购置</w:t>
            </w:r>
            <w:r>
              <w:rPr>
                <w:rFonts w:hint="eastAsia" w:ascii="Times New Roman" w:hAnsi="Times New Roman" w:eastAsia="宋体" w:cs="Times New Roman"/>
                <w:color w:val="auto"/>
                <w:sz w:val="24"/>
                <w:szCs w:val="24"/>
                <w:u w:val="none"/>
                <w:lang w:val="en-US" w:eastAsia="zh-CN"/>
              </w:rPr>
              <w:t>均和云谷</w:t>
            </w:r>
            <w:r>
              <w:rPr>
                <w:rFonts w:hint="eastAsia" w:ascii="宋体" w:hAnsi="宋体" w:eastAsia="宋体" w:cs="宋体"/>
                <w:color w:val="auto"/>
                <w:sz w:val="24"/>
                <w:szCs w:val="24"/>
                <w:u w:val="none"/>
                <w:lang w:val="en-US" w:eastAsia="zh-CN"/>
              </w:rPr>
              <w:t>·福清科技港31栋厂房</w:t>
            </w:r>
            <w:r>
              <w:rPr>
                <w:rFonts w:hint="eastAsia" w:ascii="宋体" w:hAnsi="宋体" w:cs="宋体"/>
                <w:color w:val="auto"/>
                <w:sz w:val="24"/>
                <w:szCs w:val="24"/>
                <w:u w:val="none"/>
                <w:lang w:val="en-US" w:eastAsia="zh-CN"/>
              </w:rPr>
              <w:t>1-4</w:t>
            </w:r>
            <w:r>
              <w:rPr>
                <w:rFonts w:hint="eastAsia" w:ascii="宋体" w:hAnsi="宋体" w:eastAsia="宋体" w:cs="宋体"/>
                <w:color w:val="auto"/>
                <w:sz w:val="24"/>
                <w:szCs w:val="24"/>
                <w:u w:val="none"/>
                <w:lang w:val="en-US" w:eastAsia="zh-CN"/>
              </w:rPr>
              <w:t>层作为生产场所，合计面积3515.66m</w:t>
            </w:r>
            <w:r>
              <w:rPr>
                <w:rFonts w:hint="eastAsia" w:ascii="宋体" w:hAnsi="宋体" w:eastAsia="宋体" w:cs="宋体"/>
                <w:color w:val="auto"/>
                <w:sz w:val="24"/>
                <w:szCs w:val="24"/>
                <w:u w:val="none"/>
                <w:vertAlign w:val="superscript"/>
                <w:lang w:val="en-US" w:eastAsia="zh-CN"/>
              </w:rPr>
              <w:t>2</w:t>
            </w:r>
            <w:r>
              <w:rPr>
                <w:rFonts w:hint="eastAsia" w:ascii="宋体" w:hAnsi="宋体" w:eastAsia="宋体" w:cs="宋体"/>
                <w:color w:val="auto"/>
                <w:sz w:val="24"/>
                <w:szCs w:val="24"/>
                <w:highlight w:val="none"/>
                <w:u w:val="none"/>
                <w:lang w:val="en-US" w:eastAsia="zh-CN"/>
              </w:rPr>
              <w:t>（</w:t>
            </w:r>
            <w:r>
              <w:rPr>
                <w:rFonts w:hint="eastAsia" w:ascii="宋体" w:hAnsi="宋体" w:cs="宋体"/>
                <w:color w:val="auto"/>
                <w:sz w:val="24"/>
                <w:szCs w:val="24"/>
                <w:highlight w:val="none"/>
                <w:u w:val="none"/>
                <w:lang w:val="en-US" w:eastAsia="zh-CN"/>
              </w:rPr>
              <w:t>厂房</w:t>
            </w:r>
            <w:r>
              <w:rPr>
                <w:rFonts w:hint="eastAsia" w:ascii="宋体" w:hAnsi="宋体" w:eastAsia="宋体" w:cs="宋体"/>
                <w:color w:val="auto"/>
                <w:sz w:val="24"/>
                <w:szCs w:val="24"/>
                <w:highlight w:val="none"/>
                <w:u w:val="none"/>
                <w:lang w:val="en-US" w:eastAsia="zh-CN"/>
              </w:rPr>
              <w:t>购置合同详见</w:t>
            </w:r>
            <w:r>
              <w:rPr>
                <w:rFonts w:hint="eastAsia" w:ascii="宋体" w:hAnsi="宋体" w:eastAsia="宋体" w:cs="宋体"/>
                <w:b/>
                <w:bCs/>
                <w:color w:val="auto"/>
                <w:sz w:val="24"/>
                <w:szCs w:val="24"/>
                <w:highlight w:val="none"/>
                <w:u w:val="none"/>
                <w:lang w:val="en-US" w:eastAsia="zh-CN"/>
              </w:rPr>
              <w:t>附件</w:t>
            </w:r>
            <w:r>
              <w:rPr>
                <w:rFonts w:hint="eastAsia" w:ascii="宋体" w:hAnsi="宋体" w:cs="宋体"/>
                <w:b/>
                <w:bCs/>
                <w:color w:val="auto"/>
                <w:sz w:val="24"/>
                <w:szCs w:val="24"/>
                <w:highlight w:val="none"/>
                <w:u w:val="none"/>
                <w:lang w:val="en-US" w:eastAsia="zh-CN"/>
              </w:rPr>
              <w:t>五</w:t>
            </w:r>
            <w:r>
              <w:rPr>
                <w:rFonts w:hint="eastAsia" w:ascii="宋体" w:hAnsi="宋体" w:eastAsia="宋体" w:cs="宋体"/>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rPr>
              <w:t>厂区内厂房布置简单，</w:t>
            </w:r>
            <w:r>
              <w:rPr>
                <w:rFonts w:hint="eastAsia" w:cs="Times New Roman"/>
                <w:color w:val="auto"/>
                <w:sz w:val="24"/>
                <w:szCs w:val="24"/>
                <w:highlight w:val="none"/>
                <w:lang w:val="en-US" w:eastAsia="zh-CN"/>
              </w:rPr>
              <w:t>一层为汽车塑料配件，三层为原料仓库，四层为办公区。</w:t>
            </w:r>
            <w:r>
              <w:rPr>
                <w:rFonts w:hint="default" w:ascii="Times New Roman" w:hAnsi="Times New Roman" w:eastAsia="宋体" w:cs="Times New Roman"/>
                <w:color w:val="auto"/>
                <w:sz w:val="24"/>
                <w:szCs w:val="24"/>
                <w:highlight w:val="none"/>
              </w:rPr>
              <w:t>各功能分区明确，生产车间内平面布置基本上根据生产工艺需要和物料流向，各工序布置间距较近，便于生产操作，同时也避免物料来回运输消耗能源，厂区总平面布置基</w:t>
            </w:r>
            <w:r>
              <w:rPr>
                <w:rFonts w:hint="default" w:ascii="Times New Roman" w:hAnsi="Times New Roman" w:eastAsia="宋体" w:cs="Times New Roman"/>
                <w:color w:val="auto"/>
                <w:sz w:val="24"/>
                <w:szCs w:val="24"/>
                <w:highlight w:val="none"/>
                <w:lang w:val="en-US" w:eastAsia="zh-CN"/>
              </w:rPr>
              <w:t>本合理</w:t>
            </w:r>
            <w:r>
              <w:rPr>
                <w:rFonts w:hint="default" w:ascii="Times New Roman" w:hAnsi="Times New Roman" w:eastAsia="宋体" w:cs="Times New Roman"/>
                <w:color w:val="auto"/>
                <w:sz w:val="24"/>
                <w:szCs w:val="24"/>
                <w:highlight w:val="none"/>
              </w:rPr>
              <w:t>。</w:t>
            </w:r>
          </w:p>
          <w:p w14:paraId="07AFA48C">
            <w:pPr>
              <w:pStyle w:val="33"/>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与周边相容性分析</w:t>
            </w:r>
          </w:p>
          <w:p w14:paraId="72C61243">
            <w:pPr>
              <w:widowControl/>
              <w:spacing w:line="360" w:lineRule="auto"/>
              <w:ind w:firstLine="480" w:firstLineChars="200"/>
              <w:jc w:val="left"/>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szCs w:val="24"/>
                <w:u w:val="none"/>
                <w:lang w:eastAsia="zh-CN"/>
              </w:rPr>
              <w:t>本项目位于</w:t>
            </w:r>
            <w:r>
              <w:rPr>
                <w:rFonts w:hint="eastAsia" w:ascii="Times New Roman" w:hAnsi="Times New Roman" w:eastAsia="宋体" w:cs="Times New Roman"/>
                <w:color w:val="auto"/>
                <w:sz w:val="24"/>
                <w:szCs w:val="24"/>
                <w:highlight w:val="none"/>
                <w:u w:val="none"/>
                <w:lang w:val="en-US" w:eastAsia="zh-CN"/>
              </w:rPr>
              <w:t>福建省福州市福清市阳下街道上亭村</w:t>
            </w:r>
            <w:r>
              <w:rPr>
                <w:rFonts w:hint="default" w:ascii="Times New Roman" w:hAnsi="Times New Roman" w:eastAsia="宋体" w:cs="Times New Roman"/>
                <w:color w:val="auto"/>
                <w:sz w:val="24"/>
                <w:szCs w:val="24"/>
                <w:highlight w:val="none"/>
                <w:u w:val="none"/>
                <w:lang w:val="en-US" w:eastAsia="zh-CN"/>
              </w:rPr>
              <w:t>（</w:t>
            </w:r>
            <w:r>
              <w:rPr>
                <w:rFonts w:hint="eastAsia" w:cs="Times New Roman"/>
                <w:color w:val="auto"/>
                <w:sz w:val="24"/>
                <w:szCs w:val="24"/>
                <w:highlight w:val="none"/>
                <w:u w:val="none"/>
                <w:lang w:val="en-US" w:eastAsia="zh-CN"/>
              </w:rPr>
              <w:t>购置均和云谷·福清科技港31栋厂房1-4层），</w:t>
            </w:r>
            <w:r>
              <w:rPr>
                <w:rFonts w:hint="eastAsia" w:ascii="Times New Roman" w:hAnsi="Times New Roman" w:eastAsia="宋体" w:cs="Times New Roman"/>
                <w:color w:val="auto"/>
                <w:sz w:val="24"/>
                <w:lang w:val="en-US" w:eastAsia="zh-CN"/>
              </w:rPr>
              <w:t>根据调查项目厂址不位于自然保护区、风景名胜区、饮用水水源保护区和其他需要特别保护等法律法规禁止开发建设的区域，用地为工业用地，与区域内土地利用规划不冲突。</w:t>
            </w:r>
            <w:r>
              <w:rPr>
                <w:rFonts w:hint="default" w:ascii="Times New Roman" w:hAnsi="Times New Roman" w:eastAsia="宋体" w:cs="Times New Roman"/>
                <w:color w:val="auto"/>
                <w:sz w:val="24"/>
                <w:lang w:val="en-US" w:eastAsia="zh-CN"/>
              </w:rPr>
              <w:t>根据现场勘查，</w:t>
            </w:r>
            <w:r>
              <w:rPr>
                <w:rFonts w:hint="eastAsia" w:ascii="Times New Roman" w:hAnsi="Times New Roman" w:eastAsia="宋体" w:cs="Times New Roman"/>
                <w:color w:val="auto"/>
                <w:sz w:val="24"/>
                <w:lang w:val="en-US" w:eastAsia="zh-CN"/>
              </w:rPr>
              <w:t>项目</w:t>
            </w:r>
            <w:r>
              <w:rPr>
                <w:rFonts w:hint="eastAsia"/>
                <w:color w:val="auto"/>
                <w:sz w:val="24"/>
                <w:lang w:val="en-US" w:eastAsia="zh-CN"/>
              </w:rPr>
              <w:t>厂界外50米范围内不存在声环境保护目标，厂界</w:t>
            </w:r>
            <w:r>
              <w:rPr>
                <w:rFonts w:hint="eastAsia" w:ascii="Times New Roman" w:hAnsi="Times New Roman" w:eastAsia="宋体" w:cs="Times New Roman"/>
                <w:color w:val="auto"/>
                <w:sz w:val="24"/>
                <w:lang w:val="en-US" w:eastAsia="zh-CN"/>
              </w:rPr>
              <w:t>外500米范围内距离项目最近的西南侧约302m的下田村居民点，</w:t>
            </w:r>
            <w:r>
              <w:rPr>
                <w:rFonts w:hint="default" w:ascii="Times New Roman" w:hAnsi="Times New Roman" w:eastAsia="宋体" w:cs="Times New Roman"/>
                <w:color w:val="auto"/>
                <w:sz w:val="24"/>
                <w:lang w:eastAsia="zh-CN"/>
              </w:rPr>
              <w:t>周边</w:t>
            </w:r>
            <w:r>
              <w:rPr>
                <w:rFonts w:hint="eastAsia" w:ascii="Times New Roman" w:hAnsi="Times New Roman" w:eastAsia="宋体" w:cs="Times New Roman"/>
                <w:color w:val="auto"/>
                <w:sz w:val="24"/>
                <w:lang w:val="en-US" w:eastAsia="zh-CN"/>
              </w:rPr>
              <w:t>主要分</w:t>
            </w:r>
            <w:r>
              <w:rPr>
                <w:rFonts w:hint="eastAsia" w:cs="Times New Roman"/>
                <w:color w:val="auto"/>
                <w:sz w:val="24"/>
                <w:lang w:val="en-US" w:eastAsia="zh-CN"/>
              </w:rPr>
              <w:t>布以</w:t>
            </w:r>
            <w:r>
              <w:rPr>
                <w:rFonts w:hint="default" w:ascii="Times New Roman" w:hAnsi="Times New Roman" w:eastAsia="宋体" w:cs="Times New Roman"/>
                <w:color w:val="auto"/>
                <w:sz w:val="24"/>
                <w:lang w:eastAsia="zh-CN"/>
              </w:rPr>
              <w:t>工业企业</w:t>
            </w:r>
            <w:r>
              <w:rPr>
                <w:rFonts w:hint="eastAsia" w:ascii="Times New Roman" w:hAnsi="Times New Roman" w:eastAsia="宋体" w:cs="Times New Roman"/>
                <w:color w:val="auto"/>
                <w:sz w:val="24"/>
                <w:lang w:val="en-US" w:eastAsia="zh-CN"/>
              </w:rPr>
              <w:t>为主等</w:t>
            </w:r>
            <w:r>
              <w:rPr>
                <w:rFonts w:hint="eastAsia" w:ascii="Times New Roman" w:hAnsi="Times New Roman" w:eastAsia="宋体" w:cs="Times New Roman"/>
                <w:color w:val="auto"/>
                <w:sz w:val="24"/>
                <w:lang w:eastAsia="zh-CN"/>
              </w:rPr>
              <w:t>，项目</w:t>
            </w:r>
            <w:r>
              <w:rPr>
                <w:rFonts w:hint="eastAsia" w:ascii="Times New Roman" w:hAnsi="Times New Roman" w:eastAsia="宋体" w:cs="Times New Roman"/>
                <w:color w:val="auto"/>
                <w:sz w:val="24"/>
                <w:highlight w:val="none"/>
                <w:lang w:eastAsia="zh-CN"/>
              </w:rPr>
              <w:t>周边环境示意图</w:t>
            </w:r>
            <w:r>
              <w:rPr>
                <w:rFonts w:hint="eastAsia" w:cs="Times New Roman"/>
                <w:color w:val="auto"/>
                <w:sz w:val="24"/>
                <w:highlight w:val="none"/>
                <w:lang w:val="en-US" w:eastAsia="zh-CN"/>
              </w:rPr>
              <w:t>及保护目标</w:t>
            </w:r>
            <w:r>
              <w:rPr>
                <w:rFonts w:hint="eastAsia" w:ascii="Times New Roman" w:hAnsi="Times New Roman" w:eastAsia="宋体" w:cs="Times New Roman"/>
                <w:color w:val="auto"/>
                <w:sz w:val="24"/>
                <w:highlight w:val="none"/>
                <w:lang w:eastAsia="zh-CN"/>
              </w:rPr>
              <w:t>详见</w:t>
            </w:r>
            <w:r>
              <w:rPr>
                <w:rFonts w:hint="eastAsia" w:ascii="Times New Roman" w:hAnsi="Times New Roman" w:eastAsia="宋体" w:cs="Times New Roman"/>
                <w:b/>
                <w:bCs/>
                <w:color w:val="auto"/>
                <w:sz w:val="24"/>
                <w:highlight w:val="none"/>
                <w:lang w:eastAsia="zh-CN"/>
              </w:rPr>
              <w:t>附图</w:t>
            </w:r>
            <w:r>
              <w:rPr>
                <w:rFonts w:hint="eastAsia" w:cs="Times New Roman"/>
                <w:b/>
                <w:bCs/>
                <w:color w:val="auto"/>
                <w:sz w:val="24"/>
                <w:highlight w:val="none"/>
                <w:lang w:val="en-US" w:eastAsia="zh-CN"/>
              </w:rPr>
              <w:t>二</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pacing w:val="0"/>
                <w:sz w:val="24"/>
                <w:szCs w:val="24"/>
                <w:highlight w:val="none"/>
                <w:u w:val="none"/>
                <w:lang w:eastAsia="zh-CN"/>
              </w:rPr>
              <w:t>项目周边环境现状拍摄图详</w:t>
            </w:r>
            <w:r>
              <w:rPr>
                <w:rFonts w:hint="default" w:ascii="Times New Roman" w:hAnsi="Times New Roman" w:eastAsia="宋体" w:cs="Times New Roman"/>
                <w:color w:val="auto"/>
                <w:sz w:val="24"/>
                <w:highlight w:val="none"/>
                <w:lang w:eastAsia="zh-CN"/>
              </w:rPr>
              <w:t>见</w:t>
            </w:r>
            <w:r>
              <w:rPr>
                <w:rFonts w:hint="default" w:ascii="Times New Roman" w:hAnsi="Times New Roman" w:eastAsia="宋体" w:cs="Times New Roman"/>
                <w:b/>
                <w:bCs/>
                <w:color w:val="auto"/>
                <w:sz w:val="24"/>
                <w:highlight w:val="none"/>
                <w:lang w:eastAsia="zh-CN"/>
              </w:rPr>
              <w:t>附图</w:t>
            </w:r>
            <w:r>
              <w:rPr>
                <w:rFonts w:hint="eastAsia" w:cs="Times New Roman"/>
                <w:b/>
                <w:bCs/>
                <w:color w:val="auto"/>
                <w:sz w:val="24"/>
                <w:highlight w:val="none"/>
                <w:lang w:val="en-US" w:eastAsia="zh-CN"/>
              </w:rPr>
              <w:t>三</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lang w:eastAsia="zh-CN"/>
              </w:rPr>
              <w:t>建设单位在</w:t>
            </w:r>
            <w:r>
              <w:rPr>
                <w:rFonts w:hint="eastAsia" w:cs="Times New Roman"/>
                <w:color w:val="auto"/>
                <w:sz w:val="24"/>
                <w:lang w:eastAsia="zh-CN"/>
              </w:rPr>
              <w:t>切实落实</w:t>
            </w:r>
            <w:r>
              <w:rPr>
                <w:rFonts w:hint="default" w:ascii="Times New Roman" w:hAnsi="Times New Roman" w:eastAsia="宋体" w:cs="Times New Roman"/>
                <w:color w:val="auto"/>
                <w:sz w:val="24"/>
                <w:lang w:eastAsia="zh-CN"/>
              </w:rPr>
              <w:t>本评价提出的各项污染治理措施的前提下，可实现污染物达标排放</w:t>
            </w:r>
            <w:r>
              <w:rPr>
                <w:rFonts w:hint="eastAsia" w:cs="Times New Roman"/>
                <w:color w:val="auto"/>
                <w:sz w:val="24"/>
                <w:lang w:eastAsia="zh-CN"/>
              </w:rPr>
              <w:t>且</w:t>
            </w:r>
            <w:r>
              <w:rPr>
                <w:rFonts w:hint="default" w:ascii="Times New Roman" w:hAnsi="Times New Roman" w:eastAsia="宋体" w:cs="Times New Roman"/>
                <w:color w:val="auto"/>
                <w:sz w:val="24"/>
                <w:lang w:eastAsia="zh-CN"/>
              </w:rPr>
              <w:t>各污染物排放源强较低，运营期产生的</w:t>
            </w:r>
            <w:r>
              <w:rPr>
                <w:rFonts w:hint="eastAsia" w:cs="Times New Roman"/>
                <w:color w:val="auto"/>
                <w:sz w:val="24"/>
                <w:lang w:eastAsia="zh-CN"/>
              </w:rPr>
              <w:t>“</w:t>
            </w:r>
            <w:r>
              <w:rPr>
                <w:rFonts w:hint="default" w:ascii="Times New Roman" w:hAnsi="Times New Roman" w:eastAsia="宋体" w:cs="Times New Roman"/>
                <w:color w:val="auto"/>
                <w:sz w:val="24"/>
                <w:lang w:eastAsia="zh-CN"/>
              </w:rPr>
              <w:t>三废</w:t>
            </w:r>
            <w:r>
              <w:rPr>
                <w:rFonts w:hint="eastAsia" w:cs="Times New Roman"/>
                <w:color w:val="auto"/>
                <w:sz w:val="24"/>
                <w:lang w:eastAsia="zh-CN"/>
              </w:rPr>
              <w:t>”</w:t>
            </w:r>
            <w:r>
              <w:rPr>
                <w:rFonts w:hint="default" w:ascii="Times New Roman" w:hAnsi="Times New Roman" w:eastAsia="宋体" w:cs="Times New Roman"/>
                <w:color w:val="auto"/>
                <w:sz w:val="24"/>
                <w:lang w:eastAsia="zh-CN"/>
              </w:rPr>
              <w:t>及噪声对周边环境影响不明显，因此，项目建设与周边环境基本相容。</w:t>
            </w:r>
          </w:p>
          <w:p w14:paraId="33CA0927">
            <w:pPr>
              <w:widowControl/>
              <w:numPr>
                <w:ilvl w:val="0"/>
                <w:numId w:val="0"/>
              </w:numPr>
              <w:spacing w:line="360" w:lineRule="auto"/>
              <w:ind w:firstLine="482" w:firstLineChars="200"/>
              <w:jc w:val="left"/>
              <w:rPr>
                <w:b/>
                <w:bCs/>
                <w:color w:val="auto"/>
                <w:sz w:val="24"/>
              </w:rPr>
            </w:pPr>
            <w:r>
              <w:rPr>
                <w:rFonts w:hint="eastAsia"/>
                <w:b/>
                <w:bCs/>
                <w:color w:val="auto"/>
                <w:sz w:val="24"/>
                <w:lang w:val="en-US" w:eastAsia="zh-CN"/>
              </w:rPr>
              <w:t>7.</w:t>
            </w:r>
            <w:r>
              <w:rPr>
                <w:b/>
                <w:bCs/>
                <w:color w:val="auto"/>
                <w:sz w:val="24"/>
              </w:rPr>
              <w:t>与挥发性有机物污染防治相关政策符合性分析</w:t>
            </w:r>
          </w:p>
          <w:p w14:paraId="68FDA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s="宋体"/>
                <w:color w:val="auto"/>
                <w:sz w:val="24"/>
                <w:szCs w:val="24"/>
                <w:highlight w:val="none"/>
                <w:u w:val="none"/>
                <w:lang w:val="en-US" w:eastAsia="zh-CN" w:bidi="ar"/>
              </w:rPr>
            </w:pPr>
            <w:r>
              <w:rPr>
                <w:rFonts w:hint="eastAsia" w:cs="宋体"/>
                <w:color w:val="auto"/>
                <w:sz w:val="24"/>
                <w:szCs w:val="24"/>
                <w:highlight w:val="none"/>
                <w:u w:val="none"/>
                <w:lang w:bidi="ar"/>
              </w:rPr>
              <w:t>本项目与挥发性有机物污染防治政策相关内容符合性分析，符合性分析详见表</w:t>
            </w:r>
            <w:r>
              <w:rPr>
                <w:rFonts w:hint="eastAsia" w:cs="宋体"/>
                <w:color w:val="auto"/>
                <w:sz w:val="24"/>
                <w:szCs w:val="24"/>
                <w:highlight w:val="none"/>
                <w:u w:val="none"/>
                <w:lang w:val="en-US" w:eastAsia="zh-CN" w:bidi="ar"/>
              </w:rPr>
              <w:t>1.1-5</w:t>
            </w:r>
            <w:r>
              <w:rPr>
                <w:rFonts w:hint="eastAsia" w:cs="宋体"/>
                <w:color w:val="auto"/>
                <w:sz w:val="24"/>
                <w:szCs w:val="24"/>
                <w:highlight w:val="none"/>
                <w:u w:val="none"/>
                <w:lang w:bidi="ar"/>
              </w:rPr>
              <w:t>。</w:t>
            </w:r>
            <w:r>
              <w:rPr>
                <w:rFonts w:hint="eastAsia" w:cs="宋体"/>
                <w:color w:val="auto"/>
                <w:sz w:val="24"/>
                <w:szCs w:val="24"/>
                <w:highlight w:val="none"/>
                <w:u w:val="none"/>
                <w:lang w:eastAsia="zh-CN" w:bidi="ar"/>
              </w:rPr>
              <w:t>根据表</w:t>
            </w:r>
            <w:r>
              <w:rPr>
                <w:rFonts w:hint="eastAsia" w:cs="宋体"/>
                <w:color w:val="auto"/>
                <w:sz w:val="24"/>
                <w:szCs w:val="24"/>
                <w:highlight w:val="none"/>
                <w:u w:val="none"/>
                <w:lang w:val="en-US" w:eastAsia="zh-CN" w:bidi="ar"/>
              </w:rPr>
              <w:t>1.1-5的分析可知，本项目建设符合国家及地方的</w:t>
            </w:r>
            <w:r>
              <w:rPr>
                <w:rFonts w:hint="eastAsia" w:cs="宋体"/>
                <w:color w:val="auto"/>
                <w:sz w:val="24"/>
                <w:szCs w:val="24"/>
                <w:highlight w:val="none"/>
                <w:u w:val="none"/>
                <w:lang w:bidi="ar"/>
              </w:rPr>
              <w:t>挥发性有机物污染防治政策相关内容</w:t>
            </w:r>
            <w:r>
              <w:rPr>
                <w:rFonts w:hint="eastAsia" w:cs="宋体"/>
                <w:color w:val="auto"/>
                <w:sz w:val="24"/>
                <w:szCs w:val="24"/>
                <w:highlight w:val="none"/>
                <w:u w:val="none"/>
                <w:lang w:eastAsia="zh-CN" w:bidi="ar"/>
              </w:rPr>
              <w:t>的要求。</w:t>
            </w:r>
          </w:p>
          <w:p w14:paraId="2D00FFE7">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黑体" w:cs="Times New Roman"/>
                <w:color w:val="auto"/>
                <w:sz w:val="24"/>
                <w:highlight w:val="none"/>
                <w:u w:val="none"/>
              </w:rPr>
            </w:pPr>
            <w:r>
              <w:rPr>
                <w:rFonts w:hint="eastAsia" w:ascii="Times New Roman" w:hAnsi="Times New Roman" w:eastAsia="宋体" w:cs="Times New Roman"/>
                <w:b/>
                <w:bCs/>
                <w:color w:val="auto"/>
                <w:sz w:val="24"/>
                <w:szCs w:val="24"/>
                <w:highlight w:val="none"/>
                <w:lang w:val="en-US" w:eastAsia="zh-CN"/>
              </w:rPr>
              <w:t>表1.1-5 挥发性有机物污染防治政策相关内容</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4088"/>
              <w:gridCol w:w="2648"/>
              <w:gridCol w:w="423"/>
            </w:tblGrid>
            <w:tr w14:paraId="5BA77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52" w:type="pct"/>
                  <w:tcBorders>
                    <w:tl2br w:val="nil"/>
                    <w:tr2bl w:val="nil"/>
                  </w:tcBorders>
                  <w:vAlign w:val="center"/>
                </w:tcPr>
                <w:p w14:paraId="1B598B6B">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相关文件名称</w:t>
                  </w:r>
                </w:p>
              </w:tc>
              <w:tc>
                <w:tcPr>
                  <w:tcW w:w="2425" w:type="pct"/>
                  <w:tcBorders>
                    <w:tl2br w:val="nil"/>
                    <w:tr2bl w:val="nil"/>
                  </w:tcBorders>
                  <w:vAlign w:val="center"/>
                </w:tcPr>
                <w:p w14:paraId="537A018D">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相关内容</w:t>
                  </w:r>
                </w:p>
              </w:tc>
              <w:tc>
                <w:tcPr>
                  <w:tcW w:w="1571" w:type="pct"/>
                  <w:tcBorders>
                    <w:tl2br w:val="nil"/>
                    <w:tr2bl w:val="nil"/>
                  </w:tcBorders>
                  <w:vAlign w:val="center"/>
                </w:tcPr>
                <w:p w14:paraId="586BCE7C">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本项目内容</w:t>
                  </w:r>
                </w:p>
              </w:tc>
              <w:tc>
                <w:tcPr>
                  <w:tcW w:w="250" w:type="pct"/>
                  <w:tcBorders>
                    <w:tl2br w:val="nil"/>
                    <w:tr2bl w:val="nil"/>
                  </w:tcBorders>
                  <w:vAlign w:val="center"/>
                </w:tcPr>
                <w:p w14:paraId="74124BE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符合性</w:t>
                  </w:r>
                </w:p>
              </w:tc>
            </w:tr>
            <w:tr w14:paraId="7794E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shd w:val="clear" w:color="auto" w:fill="auto"/>
                  <w:vAlign w:val="center"/>
                </w:tcPr>
                <w:p w14:paraId="6768FAEE">
                  <w:pPr>
                    <w:pStyle w:val="35"/>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福建省“十四五”空气质量改善规划</w:t>
                  </w:r>
                  <w:r>
                    <w:rPr>
                      <w:rFonts w:hint="eastAsia" w:ascii="Times New Roman" w:hAnsi="Times New Roman" w:eastAsia="宋体" w:cs="Times New Roman"/>
                      <w:color w:val="auto"/>
                      <w:sz w:val="21"/>
                      <w:szCs w:val="21"/>
                      <w:lang w:eastAsia="zh-CN"/>
                    </w:rPr>
                    <w:t>》</w:t>
                  </w:r>
                </w:p>
                <w:p w14:paraId="5FD37625">
                  <w:pPr>
                    <w:pStyle w:val="35"/>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(2022年1月</w:t>
                  </w:r>
                  <w:r>
                    <w:rPr>
                      <w:rFonts w:hint="eastAsia" w:cs="Times New Roman"/>
                      <w:color w:val="auto"/>
                      <w:sz w:val="21"/>
                      <w:szCs w:val="21"/>
                      <w:lang w:val="en-US" w:eastAsia="zh-CN"/>
                    </w:rPr>
                    <w:t>）</w:t>
                  </w:r>
                </w:p>
              </w:tc>
              <w:tc>
                <w:tcPr>
                  <w:tcW w:w="2425" w:type="pct"/>
                  <w:tcBorders>
                    <w:tl2br w:val="nil"/>
                    <w:tr2bl w:val="nil"/>
                  </w:tcBorders>
                  <w:shd w:val="clear" w:color="auto" w:fill="auto"/>
                  <w:vAlign w:val="center"/>
                </w:tcPr>
                <w:p w14:paraId="489BAEBA">
                  <w:pPr>
                    <w:pStyle w:val="35"/>
                    <w:keepNext w:val="0"/>
                    <w:keepLines w:val="0"/>
                    <w:pageBreakBefore w:val="0"/>
                    <w:widowControl w:val="0"/>
                    <w:kinsoku/>
                    <w:wordWrap/>
                    <w:overflowPunct/>
                    <w:topLinePunct w:val="0"/>
                    <w:autoSpaceDE/>
                    <w:autoSpaceDN w:val="0"/>
                    <w:bidi w:val="0"/>
                    <w:adjustRightInd w:val="0"/>
                    <w:snapToGrid w:val="0"/>
                    <w:spacing w:line="320" w:lineRule="exact"/>
                    <w:jc w:val="both"/>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rPr>
                    <w:t>推广使用水性、高固体分、无溶剂、粉末等低VOCs含量涂料，</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电缆桥架</w:t>
                  </w:r>
                  <w:r>
                    <w:rPr>
                      <w:rFonts w:hint="eastAsia" w:ascii="Times New Roman" w:hAnsi="Times New Roman" w:eastAsia="宋体" w:cs="Times New Roman"/>
                      <w:color w:val="auto"/>
                      <w:sz w:val="21"/>
                      <w:szCs w:val="21"/>
                    </w:rPr>
                    <w:t>制造、</w:t>
                  </w:r>
                  <w:r>
                    <w:rPr>
                      <w:rFonts w:hint="eastAsia" w:ascii="Times New Roman" w:hAnsi="Times New Roman" w:eastAsia="宋体" w:cs="Times New Roman"/>
                      <w:b/>
                      <w:bCs/>
                      <w:color w:val="auto"/>
                      <w:sz w:val="21"/>
                      <w:szCs w:val="21"/>
                    </w:rPr>
                    <w:t>汽车零部件</w:t>
                  </w:r>
                  <w:r>
                    <w:rPr>
                      <w:rFonts w:hint="eastAsia" w:ascii="Times New Roman" w:hAnsi="Times New Roman" w:eastAsia="宋体" w:cs="Times New Roman"/>
                      <w:color w:val="auto"/>
                      <w:sz w:val="21"/>
                      <w:szCs w:val="21"/>
                    </w:rPr>
                    <w:t>、工程机械使用比例达到50%以上；</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严格执行涂料、油墨、胶粘剂、清洗剂VOCs含量限值标准，加大抽检力度，确保生产、销售、进口、使用符合标准的产品。严格涉VOCs建设项目环境影响评价，VOCs排放实行区域内等量替代，</w:t>
                  </w:r>
                  <w:r>
                    <w:rPr>
                      <w:rFonts w:hint="eastAsia" w:ascii="Times New Roman" w:hAnsi="Times New Roman" w:eastAsia="宋体" w:cs="Times New Roman"/>
                      <w:b/>
                      <w:bCs/>
                      <w:color w:val="auto"/>
                      <w:sz w:val="21"/>
                      <w:szCs w:val="21"/>
                    </w:rPr>
                    <w:t>福州</w:t>
                  </w:r>
                  <w:r>
                    <w:rPr>
                      <w:rFonts w:hint="eastAsia" w:ascii="Times New Roman" w:hAnsi="Times New Roman" w:eastAsia="宋体" w:cs="Times New Roman"/>
                      <w:color w:val="auto"/>
                      <w:sz w:val="21"/>
                      <w:szCs w:val="21"/>
                    </w:rPr>
                    <w:t>、厦门、漳州、泉州、莆田、宁德实施VOCs倍量替代。</w:t>
                  </w:r>
                </w:p>
              </w:tc>
              <w:tc>
                <w:tcPr>
                  <w:tcW w:w="1571" w:type="pct"/>
                  <w:vMerge w:val="restart"/>
                  <w:tcBorders>
                    <w:tl2br w:val="nil"/>
                    <w:tr2bl w:val="nil"/>
                  </w:tcBorders>
                  <w:vAlign w:val="center"/>
                </w:tcPr>
                <w:p w14:paraId="33BB7C9C">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b w:val="0"/>
                      <w:bCs w:val="0"/>
                      <w:color w:val="auto"/>
                      <w:sz w:val="21"/>
                      <w:szCs w:val="21"/>
                      <w:lang w:eastAsia="zh-CN"/>
                    </w:rPr>
                  </w:pPr>
                  <w:r>
                    <w:rPr>
                      <w:rFonts w:hint="eastAsia" w:ascii="Times New Roman" w:hAnsi="Times New Roman" w:cs="Times New Roman"/>
                      <w:b w:val="0"/>
                      <w:bCs w:val="0"/>
                      <w:sz w:val="21"/>
                      <w:szCs w:val="21"/>
                      <w:vertAlign w:val="baseline"/>
                      <w:lang w:val="en-US" w:eastAsia="zh-CN"/>
                    </w:rPr>
                    <w:t>本项目属于汽车塑料零部件制造。生产过程中不涉及涂料使用，注塑所产生VOCs的排放量较小，</w:t>
                  </w:r>
                  <w:r>
                    <w:rPr>
                      <w:rFonts w:hint="default" w:ascii="Times New Roman" w:hAnsi="Times New Roman" w:cs="Times New Roman"/>
                      <w:color w:val="auto"/>
                      <w:kern w:val="2"/>
                      <w:sz w:val="21"/>
                      <w:szCs w:val="21"/>
                      <w:lang w:val="en-US" w:eastAsia="zh-CN" w:bidi="ar-SA"/>
                    </w:rPr>
                    <w:t>不需</w:t>
                  </w:r>
                  <w:r>
                    <w:rPr>
                      <w:rFonts w:hint="default" w:ascii="Times New Roman" w:hAnsi="Times New Roman" w:cs="Times New Roman"/>
                      <w:b w:val="0"/>
                      <w:bCs w:val="0"/>
                      <w:color w:val="auto"/>
                      <w:sz w:val="21"/>
                      <w:szCs w:val="21"/>
                    </w:rPr>
                    <w:t>安装VOCs在线监控设备</w:t>
                  </w:r>
                  <w:r>
                    <w:rPr>
                      <w:rFonts w:hint="eastAsia" w:ascii="Times New Roman" w:hAnsi="Times New Roman" w:cs="Times New Roman"/>
                      <w:b w:val="0"/>
                      <w:bCs w:val="0"/>
                      <w:color w:val="auto"/>
                      <w:sz w:val="21"/>
                      <w:szCs w:val="21"/>
                      <w:lang w:eastAsia="zh-CN"/>
                    </w:rPr>
                    <w:t>；</w:t>
                  </w:r>
                </w:p>
                <w:p w14:paraId="28D9A1FE">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color w:val="auto"/>
                      <w:sz w:val="21"/>
                      <w:szCs w:val="21"/>
                      <w:lang w:val="en-US" w:eastAsia="zh-CN"/>
                    </w:rPr>
                    <w:t>项目建设位置位于</w:t>
                  </w:r>
                  <w:r>
                    <w:rPr>
                      <w:rFonts w:hint="eastAsia" w:ascii="Times New Roman" w:hAnsi="Times New Roman" w:eastAsia="宋体" w:cs="Times New Roman"/>
                      <w:b w:val="0"/>
                      <w:bCs w:val="0"/>
                      <w:color w:val="auto"/>
                      <w:sz w:val="21"/>
                      <w:szCs w:val="21"/>
                      <w:lang w:val="en-US" w:eastAsia="zh-CN"/>
                    </w:rPr>
                    <w:t>福建省福州市福清市阳下街道上亭村（购置均和云谷·福清科技港31栋厂房1-4层），生产过</w:t>
                  </w:r>
                  <w:r>
                    <w:rPr>
                      <w:rFonts w:hint="eastAsia" w:cs="Times New Roman"/>
                      <w:b w:val="0"/>
                      <w:bCs w:val="0"/>
                      <w:color w:val="auto"/>
                      <w:sz w:val="21"/>
                      <w:szCs w:val="21"/>
                      <w:lang w:val="en-US" w:eastAsia="zh-CN"/>
                    </w:rPr>
                    <w:t>程中</w:t>
                  </w:r>
                  <w:r>
                    <w:rPr>
                      <w:rFonts w:hint="default" w:ascii="Times New Roman" w:hAnsi="Times New Roman" w:cs="Times New Roman"/>
                      <w:color w:val="auto"/>
                      <w:sz w:val="21"/>
                      <w:szCs w:val="21"/>
                    </w:rPr>
                    <w:t>排放的VOC</w:t>
                  </w:r>
                  <w:r>
                    <w:rPr>
                      <w:rFonts w:hint="eastAsia" w:ascii="Times New Roman" w:hAnsi="Times New Roman" w:cs="Times New Roman"/>
                      <w:color w:val="auto"/>
                      <w:sz w:val="21"/>
                      <w:szCs w:val="21"/>
                      <w:vertAlign w:val="subscript"/>
                      <w:lang w:val="en-US" w:eastAsia="zh-CN"/>
                    </w:rPr>
                    <w:t>s</w:t>
                  </w:r>
                  <w:r>
                    <w:rPr>
                      <w:rFonts w:hint="default" w:ascii="Times New Roman" w:hAnsi="Times New Roman" w:cs="Times New Roman"/>
                      <w:color w:val="auto"/>
                      <w:sz w:val="21"/>
                      <w:szCs w:val="21"/>
                    </w:rPr>
                    <w:t>由建设单位向生态环境主管部门申请倍量削减替代</w:t>
                  </w:r>
                </w:p>
              </w:tc>
              <w:tc>
                <w:tcPr>
                  <w:tcW w:w="250" w:type="pct"/>
                  <w:vMerge w:val="restart"/>
                  <w:tcBorders>
                    <w:tl2br w:val="nil"/>
                    <w:tr2bl w:val="nil"/>
                  </w:tcBorders>
                  <w:vAlign w:val="center"/>
                </w:tcPr>
                <w:p w14:paraId="0B33423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68FED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shd w:val="clear" w:color="auto" w:fill="auto"/>
                  <w:vAlign w:val="center"/>
                </w:tcPr>
                <w:p w14:paraId="310DF726">
                  <w:pPr>
                    <w:pStyle w:val="35"/>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2022年度福州市蓝天碧海净土保卫战行动计划通知</w:t>
                  </w:r>
                  <w:r>
                    <w:rPr>
                      <w:rFonts w:hint="default" w:ascii="Times New Roman" w:hAnsi="Times New Roman" w:cs="Times New Roman"/>
                      <w:color w:val="auto"/>
                      <w:sz w:val="21"/>
                      <w:szCs w:val="21"/>
                    </w:rPr>
                    <w:t>》</w:t>
                  </w:r>
                  <w:r>
                    <w:rPr>
                      <w:rFonts w:hint="eastAsia" w:cs="Times New Roman"/>
                      <w:color w:val="auto"/>
                      <w:sz w:val="21"/>
                      <w:szCs w:val="21"/>
                      <w:lang w:eastAsia="zh-CN"/>
                    </w:rPr>
                    <w:t>（</w:t>
                  </w:r>
                  <w:r>
                    <w:rPr>
                      <w:rFonts w:hint="default" w:ascii="Times New Roman" w:hAnsi="Times New Roman" w:cs="Times New Roman"/>
                      <w:color w:val="auto"/>
                      <w:sz w:val="21"/>
                      <w:szCs w:val="21"/>
                      <w:lang w:eastAsia="zh-CN"/>
                    </w:rPr>
                    <w:t>榕环委办</w:t>
                  </w:r>
                  <w:r>
                    <w:rPr>
                      <w:rFonts w:hint="eastAsia" w:ascii="Times New Roman" w:hAnsi="Times New Roman" w:cs="Times New Roman"/>
                      <w:color w:val="auto"/>
                      <w:sz w:val="21"/>
                      <w:szCs w:val="21"/>
                      <w:lang w:eastAsia="zh-CN"/>
                    </w:rPr>
                    <w:t>〔2022〕49号</w:t>
                  </w:r>
                  <w:r>
                    <w:rPr>
                      <w:rFonts w:hint="eastAsia" w:cs="Times New Roman"/>
                      <w:color w:val="auto"/>
                      <w:sz w:val="21"/>
                      <w:szCs w:val="21"/>
                      <w:lang w:eastAsia="zh-CN"/>
                    </w:rPr>
                    <w:t>）</w:t>
                  </w:r>
                </w:p>
              </w:tc>
              <w:tc>
                <w:tcPr>
                  <w:tcW w:w="2425" w:type="pct"/>
                  <w:tcBorders>
                    <w:tl2br w:val="nil"/>
                    <w:tr2bl w:val="nil"/>
                  </w:tcBorders>
                  <w:shd w:val="clear" w:color="auto" w:fill="auto"/>
                  <w:vAlign w:val="center"/>
                </w:tcPr>
                <w:p w14:paraId="11112126">
                  <w:pPr>
                    <w:pStyle w:val="35"/>
                    <w:keepNext w:val="0"/>
                    <w:keepLines w:val="0"/>
                    <w:pageBreakBefore w:val="0"/>
                    <w:widowControl w:val="0"/>
                    <w:kinsoku/>
                    <w:wordWrap/>
                    <w:overflowPunct/>
                    <w:topLinePunct w:val="0"/>
                    <w:autoSpaceDE/>
                    <w:autoSpaceDN w:val="0"/>
                    <w:bidi w:val="0"/>
                    <w:adjustRightInd w:val="0"/>
                    <w:snapToGrid w:val="0"/>
                    <w:spacing w:line="320" w:lineRule="exact"/>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四是严格涉VOCs建设项目环境影响评价审批。新、改、扩建涉VOCs排放项目，应使用低</w:t>
                  </w:r>
                  <w:r>
                    <w:rPr>
                      <w:rFonts w:hint="eastAsia" w:cs="Times New Roman"/>
                      <w:color w:val="auto"/>
                      <w:sz w:val="21"/>
                      <w:szCs w:val="21"/>
                      <w:lang w:eastAsia="zh-CN"/>
                    </w:rPr>
                    <w:t>（</w:t>
                  </w:r>
                  <w:r>
                    <w:rPr>
                      <w:rFonts w:hint="default" w:ascii="Times New Roman" w:hAnsi="Times New Roman" w:cs="Times New Roman"/>
                      <w:color w:val="auto"/>
                      <w:sz w:val="21"/>
                      <w:szCs w:val="21"/>
                    </w:rPr>
                    <w:t>无</w:t>
                  </w:r>
                  <w:r>
                    <w:rPr>
                      <w:rFonts w:hint="eastAsia" w:cs="Times New Roman"/>
                      <w:color w:val="auto"/>
                      <w:sz w:val="21"/>
                      <w:szCs w:val="21"/>
                      <w:lang w:eastAsia="zh-CN"/>
                    </w:rPr>
                    <w:t>）</w:t>
                  </w:r>
                  <w:r>
                    <w:rPr>
                      <w:rFonts w:hint="default" w:ascii="Times New Roman" w:hAnsi="Times New Roman" w:cs="Times New Roman"/>
                      <w:color w:val="auto"/>
                      <w:sz w:val="21"/>
                      <w:szCs w:val="21"/>
                    </w:rPr>
                    <w:t>VOCs涂料、粘胶剂等，实施新建项目VOCs排放区域内1.2及以上倍量替代。VOCs年排放量大于5吨的新建项目投运前应安装VOCs在线监控设备，并接入市生态云平台。</w:t>
                  </w:r>
                </w:p>
              </w:tc>
              <w:tc>
                <w:tcPr>
                  <w:tcW w:w="1571" w:type="pct"/>
                  <w:vMerge w:val="continue"/>
                  <w:tcBorders>
                    <w:tl2br w:val="nil"/>
                    <w:tr2bl w:val="nil"/>
                  </w:tcBorders>
                  <w:vAlign w:val="center"/>
                </w:tcPr>
                <w:p w14:paraId="66DA2B85">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sz w:val="21"/>
                      <w:szCs w:val="21"/>
                      <w:vertAlign w:val="baseline"/>
                      <w:lang w:val="en-US" w:eastAsia="zh-CN"/>
                    </w:rPr>
                  </w:pPr>
                </w:p>
              </w:tc>
              <w:tc>
                <w:tcPr>
                  <w:tcW w:w="250" w:type="pct"/>
                  <w:vMerge w:val="continue"/>
                  <w:tcBorders>
                    <w:tl2br w:val="nil"/>
                    <w:tr2bl w:val="nil"/>
                  </w:tcBorders>
                  <w:vAlign w:val="center"/>
                </w:tcPr>
                <w:p w14:paraId="78B39C7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p>
              </w:tc>
            </w:tr>
            <w:tr w14:paraId="04CDD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shd w:val="clear" w:color="auto" w:fill="auto"/>
                  <w:vAlign w:val="center"/>
                </w:tcPr>
                <w:p w14:paraId="093771CC">
                  <w:pPr>
                    <w:pStyle w:val="35"/>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福州市“十四五”生态环境保护规划</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榕政办〔2021〕123 号</w:t>
                  </w:r>
                  <w:r>
                    <w:rPr>
                      <w:rFonts w:hint="eastAsia" w:cs="Times New Roman"/>
                      <w:color w:val="auto"/>
                      <w:sz w:val="21"/>
                      <w:szCs w:val="21"/>
                      <w:lang w:eastAsia="zh-CN"/>
                    </w:rPr>
                    <w:t>）</w:t>
                  </w:r>
                </w:p>
              </w:tc>
              <w:tc>
                <w:tcPr>
                  <w:tcW w:w="2425" w:type="pct"/>
                  <w:tcBorders>
                    <w:tl2br w:val="nil"/>
                    <w:tr2bl w:val="nil"/>
                  </w:tcBorders>
                  <w:shd w:val="clear" w:color="auto" w:fill="auto"/>
                  <w:vAlign w:val="center"/>
                </w:tcPr>
                <w:p w14:paraId="686B29C0">
                  <w:pPr>
                    <w:pStyle w:val="35"/>
                    <w:keepNext w:val="0"/>
                    <w:keepLines w:val="0"/>
                    <w:pageBreakBefore w:val="0"/>
                    <w:widowControl w:val="0"/>
                    <w:kinsoku/>
                    <w:wordWrap/>
                    <w:overflowPunct/>
                    <w:topLinePunct w:val="0"/>
                    <w:autoSpaceDE/>
                    <w:autoSpaceDN w:val="0"/>
                    <w:bidi w:val="0"/>
                    <w:adjustRightInd w:val="0"/>
                    <w:snapToGrid w:val="0"/>
                    <w:spacing w:line="300" w:lineRule="exact"/>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强化挥发性有机物整治。</w:t>
                  </w:r>
                  <w:r>
                    <w:rPr>
                      <w:rFonts w:hint="default" w:ascii="Times New Roman" w:hAnsi="Times New Roman" w:cs="Times New Roman"/>
                      <w:color w:val="auto"/>
                      <w:sz w:val="21"/>
                      <w:szCs w:val="21"/>
                      <w:lang w:val="en-US" w:eastAsia="zh-CN"/>
                    </w:rPr>
                    <w:t>......</w:t>
                  </w:r>
                  <w:r>
                    <w:rPr>
                      <w:rFonts w:hint="eastAsia" w:ascii="Times New Roman" w:hAnsi="Times New Roman" w:eastAsia="宋体" w:cs="Times New Roman"/>
                      <w:color w:val="auto"/>
                      <w:sz w:val="21"/>
                      <w:szCs w:val="21"/>
                    </w:rPr>
                    <w:t>实行挥发性有机物排放倍量替代。加大涉VOCs企业源头替代力度，推广使用低</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无</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VOCs原辅材料替代，禁止生产高VOCs含量有机溶剂型涂料、油墨和胶黏剂的新、改、扩建项目，推进重点企业“油改水”治理，提高有机溶剂回收率。”</w:t>
                  </w:r>
                </w:p>
              </w:tc>
              <w:tc>
                <w:tcPr>
                  <w:tcW w:w="1571" w:type="pct"/>
                  <w:vMerge w:val="continue"/>
                  <w:tcBorders>
                    <w:tl2br w:val="nil"/>
                    <w:tr2bl w:val="nil"/>
                  </w:tcBorders>
                  <w:vAlign w:val="center"/>
                </w:tcPr>
                <w:p w14:paraId="248E3FB2">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sz w:val="21"/>
                      <w:szCs w:val="21"/>
                      <w:vertAlign w:val="baseline"/>
                      <w:lang w:val="en-US" w:eastAsia="zh-CN"/>
                    </w:rPr>
                  </w:pPr>
                </w:p>
              </w:tc>
              <w:tc>
                <w:tcPr>
                  <w:tcW w:w="250" w:type="pct"/>
                  <w:vMerge w:val="continue"/>
                  <w:tcBorders>
                    <w:tl2br w:val="nil"/>
                    <w:tr2bl w:val="nil"/>
                  </w:tcBorders>
                  <w:vAlign w:val="center"/>
                </w:tcPr>
                <w:p w14:paraId="45D9DC4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p>
              </w:tc>
            </w:tr>
            <w:tr w14:paraId="572B2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shd w:val="clear" w:color="auto" w:fill="auto"/>
                  <w:vAlign w:val="center"/>
                </w:tcPr>
                <w:p w14:paraId="299361A2">
                  <w:pPr>
                    <w:pStyle w:val="35"/>
                    <w:adjustRightInd w:val="0"/>
                    <w:snapToGrid w:val="0"/>
                    <w:spacing w:line="340" w:lineRule="exact"/>
                    <w:jc w:val="center"/>
                    <w:rPr>
                      <w:rFonts w:hint="eastAsia" w:ascii="Times New Roman" w:hAnsi="Times New Roman" w:eastAsia="宋体" w:cs="Times New Roman"/>
                      <w:kern w:val="2"/>
                      <w:sz w:val="21"/>
                      <w:szCs w:val="24"/>
                      <w:lang w:val="en-US" w:eastAsia="zh-CN" w:bidi="ar-SA"/>
                    </w:rPr>
                  </w:pPr>
                  <w:r>
                    <w:rPr>
                      <w:rFonts w:hint="eastAsia"/>
                    </w:rPr>
                    <w:t>榕环保综</w:t>
                  </w:r>
                  <w:r>
                    <w:rPr>
                      <w:rFonts w:hint="eastAsia"/>
                      <w:lang w:eastAsia="zh-CN"/>
                    </w:rPr>
                    <w:t>〔2021〕100号</w:t>
                  </w:r>
                  <w:r>
                    <w:rPr>
                      <w:rFonts w:hint="eastAsia"/>
                    </w:rPr>
                    <w:t>《关于开展福州市重点行业挥发性有机物综合治理工作（VOCs2.0）》</w:t>
                  </w:r>
                </w:p>
              </w:tc>
              <w:tc>
                <w:tcPr>
                  <w:tcW w:w="2425" w:type="pct"/>
                  <w:tcBorders>
                    <w:tl2br w:val="nil"/>
                    <w:tr2bl w:val="nil"/>
                  </w:tcBorders>
                  <w:shd w:val="clear" w:color="auto" w:fill="auto"/>
                  <w:vAlign w:val="center"/>
                </w:tcPr>
                <w:p w14:paraId="547C5F36">
                  <w:pPr>
                    <w:pStyle w:val="36"/>
                    <w:jc w:val="both"/>
                    <w:rPr>
                      <w:color w:val="auto"/>
                      <w:highlight w:val="none"/>
                    </w:rPr>
                  </w:pPr>
                  <w:r>
                    <w:rPr>
                      <w:rFonts w:hint="eastAsia"/>
                      <w:color w:val="auto"/>
                      <w:highlight w:val="none"/>
                    </w:rPr>
                    <w:t>（三）严格审批，加强管控</w:t>
                  </w:r>
                </w:p>
                <w:p w14:paraId="276BCCE5">
                  <w:pPr>
                    <w:pStyle w:val="35"/>
                    <w:adjustRightInd w:val="0"/>
                    <w:snapToGrid w:val="0"/>
                    <w:spacing w:line="340" w:lineRule="exact"/>
                    <w:jc w:val="both"/>
                    <w:rPr>
                      <w:rFonts w:hint="eastAsia" w:ascii="Times New Roman" w:hAnsi="Times New Roman" w:eastAsia="宋体" w:cs="Times New Roman"/>
                      <w:kern w:val="2"/>
                      <w:sz w:val="21"/>
                      <w:szCs w:val="24"/>
                      <w:lang w:val="en-US" w:eastAsia="zh-CN" w:bidi="ar-SA"/>
                    </w:rPr>
                  </w:pPr>
                  <w:r>
                    <w:rPr>
                      <w:rFonts w:hint="eastAsia"/>
                      <w:color w:val="auto"/>
                      <w:highlight w:val="none"/>
                    </w:rPr>
                    <w:t>1.严格涉挥发性有机物建设项目环境影响评价审批。新、改、扩建排放挥发性有机物的建设项目实行</w:t>
                  </w:r>
                  <w:r>
                    <w:rPr>
                      <w:rFonts w:hint="eastAsia"/>
                      <w:color w:val="auto"/>
                      <w:highlight w:val="none"/>
                      <w:shd w:val="clear" w:color="auto" w:fill="FFFFFF"/>
                    </w:rPr>
                    <w:t>倍量</w:t>
                  </w:r>
                  <w:r>
                    <w:rPr>
                      <w:rFonts w:hint="eastAsia"/>
                      <w:color w:val="auto"/>
                      <w:highlight w:val="none"/>
                    </w:rPr>
                    <w:t>替代。鼓励使用低（无）挥发性有机物含量的原辅材料</w:t>
                  </w:r>
                </w:p>
              </w:tc>
              <w:tc>
                <w:tcPr>
                  <w:tcW w:w="1571" w:type="pct"/>
                  <w:vMerge w:val="continue"/>
                  <w:tcBorders>
                    <w:tl2br w:val="nil"/>
                    <w:tr2bl w:val="nil"/>
                  </w:tcBorders>
                  <w:vAlign w:val="center"/>
                </w:tcPr>
                <w:p w14:paraId="30F18106">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1"/>
                      <w:szCs w:val="21"/>
                    </w:rPr>
                  </w:pPr>
                </w:p>
              </w:tc>
              <w:tc>
                <w:tcPr>
                  <w:tcW w:w="250" w:type="pct"/>
                  <w:vMerge w:val="continue"/>
                  <w:tcBorders>
                    <w:tl2br w:val="nil"/>
                    <w:tr2bl w:val="nil"/>
                  </w:tcBorders>
                  <w:vAlign w:val="center"/>
                </w:tcPr>
                <w:p w14:paraId="0CF520AF">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p>
              </w:tc>
            </w:tr>
            <w:tr w14:paraId="57B6C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vAlign w:val="center"/>
                </w:tcPr>
                <w:p w14:paraId="73F0C9D2">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color w:val="auto"/>
                      <w:highlight w:val="none"/>
                    </w:rPr>
                    <w:t>《福建省2020年挥发性有机物治理攻坚实施方案》的通知</w:t>
                  </w:r>
                  <w:r>
                    <w:rPr>
                      <w:rFonts w:hint="eastAsia"/>
                      <w:color w:val="auto"/>
                      <w:highlight w:val="none"/>
                    </w:rPr>
                    <w:t>（</w:t>
                  </w:r>
                  <w:r>
                    <w:rPr>
                      <w:color w:val="auto"/>
                      <w:highlight w:val="none"/>
                    </w:rPr>
                    <w:t>闽环保大气〔2020〕6号</w:t>
                  </w:r>
                  <w:r>
                    <w:rPr>
                      <w:rFonts w:hint="eastAsia"/>
                      <w:color w:val="auto"/>
                      <w:highlight w:val="none"/>
                    </w:rPr>
                    <w:t>）</w:t>
                  </w:r>
                </w:p>
              </w:tc>
              <w:tc>
                <w:tcPr>
                  <w:tcW w:w="2425" w:type="pct"/>
                  <w:tcBorders>
                    <w:tl2br w:val="nil"/>
                    <w:tr2bl w:val="nil"/>
                  </w:tcBorders>
                  <w:shd w:val="clear" w:color="auto" w:fill="auto"/>
                  <w:vAlign w:val="center"/>
                </w:tcPr>
                <w:p w14:paraId="28CE4856">
                  <w:pPr>
                    <w:pStyle w:val="36"/>
                    <w:jc w:val="both"/>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大力推进源头替代，有效减少VOCs产生；</w:t>
                  </w:r>
                </w:p>
                <w:p w14:paraId="0F2D6DE3">
                  <w:pPr>
                    <w:pStyle w:val="36"/>
                    <w:jc w:val="both"/>
                    <w:rPr>
                      <w:color w:val="auto"/>
                      <w:highlight w:val="none"/>
                    </w:rPr>
                  </w:pPr>
                  <w:r>
                    <w:rPr>
                      <w:rFonts w:hint="eastAsia"/>
                      <w:color w:val="auto"/>
                      <w:highlight w:val="none"/>
                    </w:rPr>
                    <w:t>（</w:t>
                  </w:r>
                  <w:r>
                    <w:rPr>
                      <w:color w:val="auto"/>
                      <w:highlight w:val="none"/>
                    </w:rPr>
                    <w:t>2</w:t>
                  </w:r>
                  <w:r>
                    <w:rPr>
                      <w:rFonts w:hint="eastAsia"/>
                      <w:color w:val="auto"/>
                      <w:highlight w:val="none"/>
                    </w:rPr>
                    <w:t>）</w:t>
                  </w:r>
                  <w:r>
                    <w:rPr>
                      <w:color w:val="auto"/>
                      <w:highlight w:val="none"/>
                    </w:rPr>
                    <w:t>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w:t>
                  </w:r>
                  <w:r>
                    <w:rPr>
                      <w:rFonts w:hint="eastAsia"/>
                      <w:color w:val="auto"/>
                      <w:highlight w:val="none"/>
                    </w:rPr>
                    <w:t>（</w:t>
                  </w:r>
                  <w:r>
                    <w:rPr>
                      <w:color w:val="auto"/>
                      <w:highlight w:val="none"/>
                    </w:rPr>
                    <w:t>渣、液</w:t>
                  </w:r>
                  <w:r>
                    <w:rPr>
                      <w:rFonts w:hint="eastAsia"/>
                      <w:color w:val="auto"/>
                      <w:highlight w:val="none"/>
                    </w:rPr>
                    <w:t>）</w:t>
                  </w:r>
                  <w:r>
                    <w:rPr>
                      <w:color w:val="auto"/>
                      <w:highlight w:val="none"/>
                    </w:rPr>
                    <w:t>、废吸附剂等通过加盖、封装等方式密闭，妥善存放，集中清运，交有资质的单位处置，不得随意丢弃；</w:t>
                  </w:r>
                </w:p>
                <w:p w14:paraId="6CBE8DF8">
                  <w:pPr>
                    <w:pStyle w:val="36"/>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rPr>
                    <w:t>（</w:t>
                  </w:r>
                  <w:r>
                    <w:rPr>
                      <w:color w:val="auto"/>
                      <w:highlight w:val="none"/>
                    </w:rPr>
                    <w:t>3</w:t>
                  </w:r>
                  <w:r>
                    <w:rPr>
                      <w:rFonts w:hint="eastAsia"/>
                      <w:color w:val="auto"/>
                      <w:highlight w:val="none"/>
                    </w:rPr>
                    <w:t>）</w:t>
                  </w:r>
                  <w:r>
                    <w:rPr>
                      <w:color w:val="auto"/>
                      <w:highlight w:val="none"/>
                    </w:rPr>
                    <w:t>聚焦治污设施</w:t>
                  </w:r>
                  <w:r>
                    <w:rPr>
                      <w:rFonts w:hint="eastAsia"/>
                      <w:color w:val="auto"/>
                      <w:highlight w:val="none"/>
                    </w:rPr>
                    <w:t>“</w:t>
                  </w:r>
                  <w:r>
                    <w:rPr>
                      <w:color w:val="auto"/>
                      <w:highlight w:val="none"/>
                    </w:rPr>
                    <w:t>三率</w:t>
                  </w:r>
                  <w:r>
                    <w:rPr>
                      <w:rFonts w:hint="eastAsia"/>
                      <w:color w:val="auto"/>
                      <w:highlight w:val="none"/>
                    </w:rPr>
                    <w:t>”</w:t>
                  </w:r>
                  <w:r>
                    <w:rPr>
                      <w:color w:val="auto"/>
                      <w:highlight w:val="none"/>
                    </w:rPr>
                    <w:t>，提升综合治理效率</w:t>
                  </w:r>
                  <w:r>
                    <w:rPr>
                      <w:color w:val="auto"/>
                      <w:highlight w:val="none"/>
                      <w:shd w:val="clear" w:color="auto" w:fill="FFFFFF"/>
                    </w:rPr>
                    <w:t>。.</w:t>
                  </w:r>
                  <w:r>
                    <w:rPr>
                      <w:color w:val="auto"/>
                      <w:highlight w:val="none"/>
                    </w:rPr>
                    <w:t>....</w:t>
                  </w:r>
                  <w:r>
                    <w:rPr>
                      <w:color w:val="auto"/>
                      <w:highlight w:val="none"/>
                      <w:shd w:val="clear" w:color="auto" w:fill="FFFFFF"/>
                    </w:rPr>
                    <w:t>.</w:t>
                  </w:r>
                  <w:r>
                    <w:rPr>
                      <w:color w:val="auto"/>
                      <w:highlight w:val="none"/>
                    </w:rPr>
                    <w:t>除恶臭异味治理外，一般不采用低温等离子、光催化、光氧化等技术。优先采用密闭设备、在密闭空间中操作或采用全密闭集气罩收集方式；</w:t>
                  </w:r>
                  <w:r>
                    <w:rPr>
                      <w:rFonts w:hint="eastAsia"/>
                      <w:color w:val="auto"/>
                      <w:highlight w:val="none"/>
                      <w:lang w:eastAsia="zh-CN"/>
                    </w:rPr>
                    <w:t>……</w:t>
                  </w:r>
                  <w:r>
                    <w:rPr>
                      <w:color w:val="auto"/>
                      <w:highlight w:val="none"/>
                    </w:rPr>
                    <w:t>采用活性炭吸附技术的，应选择碘值不低于800毫克/克的活性炭，并按设计要求足量添加</w:t>
                  </w:r>
                  <w:r>
                    <w:rPr>
                      <w:rFonts w:hint="eastAsia"/>
                      <w:color w:val="auto"/>
                      <w:highlight w:val="none"/>
                      <w:lang w:eastAsia="zh-CN"/>
                    </w:rPr>
                    <w:t>及</w:t>
                  </w:r>
                  <w:r>
                    <w:rPr>
                      <w:color w:val="auto"/>
                      <w:highlight w:val="none"/>
                    </w:rPr>
                    <w:t>时更换。</w:t>
                  </w:r>
                </w:p>
              </w:tc>
              <w:tc>
                <w:tcPr>
                  <w:tcW w:w="1571" w:type="pct"/>
                  <w:tcBorders>
                    <w:tl2br w:val="nil"/>
                    <w:tr2bl w:val="nil"/>
                  </w:tcBorders>
                  <w:shd w:val="clear" w:color="auto" w:fill="auto"/>
                  <w:vAlign w:val="center"/>
                </w:tcPr>
                <w:p w14:paraId="18FD2FBB">
                  <w:pPr>
                    <w:pStyle w:val="35"/>
                    <w:keepNext w:val="0"/>
                    <w:keepLines w:val="0"/>
                    <w:pageBreakBefore w:val="0"/>
                    <w:widowControl w:val="0"/>
                    <w:kinsoku/>
                    <w:wordWrap/>
                    <w:overflowPunct/>
                    <w:topLinePunct w:val="0"/>
                    <w:bidi w:val="0"/>
                    <w:adjustRightInd w:val="0"/>
                    <w:snapToGrid w:val="0"/>
                    <w:spacing w:line="320" w:lineRule="exact"/>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（1）项目使用PP、ABS、PP颗粒作为原料，VOCs含量低；常温下不产生VOCs。</w:t>
                  </w:r>
                </w:p>
                <w:p w14:paraId="21B903FF">
                  <w:pPr>
                    <w:pStyle w:val="35"/>
                    <w:keepNext w:val="0"/>
                    <w:keepLines w:val="0"/>
                    <w:pageBreakBefore w:val="0"/>
                    <w:widowControl w:val="0"/>
                    <w:kinsoku/>
                    <w:wordWrap/>
                    <w:overflowPunct/>
                    <w:topLinePunct w:val="0"/>
                    <w:bidi w:val="0"/>
                    <w:adjustRightInd w:val="0"/>
                    <w:snapToGrid w:val="0"/>
                    <w:spacing w:line="320" w:lineRule="exact"/>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eastAsia="宋体" w:cs="Times New Roman"/>
                      <w:color w:val="auto"/>
                      <w:kern w:val="2"/>
                      <w:sz w:val="21"/>
                      <w:szCs w:val="21"/>
                      <w:highlight w:val="none"/>
                      <w:lang w:val="en-US" w:eastAsia="zh-CN" w:bidi="ar-SA"/>
                    </w:rPr>
                    <w:t>PP、ABS、PP塑料颗粒采用密闭袋装暂存</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项目设备加热过程为密闭；注塑机配套顶吸式半密闭集气罩收集有机废气，收集效率80%，拟将更换的废活性炭当作危险废物，</w:t>
                  </w:r>
                  <w:r>
                    <w:rPr>
                      <w:rFonts w:hint="default" w:ascii="Times New Roman" w:hAnsi="Times New Roman" w:eastAsia="宋体" w:cs="Times New Roman"/>
                      <w:color w:val="auto"/>
                      <w:kern w:val="2"/>
                      <w:sz w:val="21"/>
                      <w:szCs w:val="21"/>
                      <w:highlight w:val="none"/>
                      <w:lang w:val="en-US" w:eastAsia="zh-CN" w:bidi="ar-SA"/>
                    </w:rPr>
                    <w:t>密闭暂存于</w:t>
                  </w:r>
                  <w:r>
                    <w:rPr>
                      <w:rFonts w:hint="eastAsia" w:ascii="Times New Roman" w:hAnsi="Times New Roman" w:eastAsia="宋体" w:cs="Times New Roman"/>
                      <w:color w:val="auto"/>
                      <w:kern w:val="2"/>
                      <w:sz w:val="21"/>
                      <w:szCs w:val="21"/>
                      <w:highlight w:val="none"/>
                      <w:lang w:val="en-US" w:eastAsia="zh-CN" w:bidi="ar-SA"/>
                    </w:rPr>
                    <w:t>危险废物贮存库</w:t>
                  </w:r>
                  <w:r>
                    <w:rPr>
                      <w:rFonts w:hint="default" w:ascii="Times New Roman" w:hAnsi="Times New Roman" w:eastAsia="宋体" w:cs="Times New Roman"/>
                      <w:color w:val="auto"/>
                      <w:kern w:val="2"/>
                      <w:sz w:val="21"/>
                      <w:szCs w:val="21"/>
                      <w:highlight w:val="none"/>
                      <w:lang w:val="en-US" w:eastAsia="zh-CN" w:bidi="ar-SA"/>
                    </w:rPr>
                    <w:t>内</w:t>
                  </w:r>
                  <w:r>
                    <w:rPr>
                      <w:rFonts w:hint="eastAsia" w:ascii="Times New Roman" w:hAnsi="Times New Roman" w:eastAsia="宋体" w:cs="Times New Roman"/>
                      <w:color w:val="auto"/>
                      <w:kern w:val="2"/>
                      <w:sz w:val="21"/>
                      <w:szCs w:val="21"/>
                      <w:highlight w:val="none"/>
                      <w:lang w:val="en-US" w:eastAsia="zh-CN" w:bidi="ar-SA"/>
                    </w:rPr>
                    <w:t>，定期委托有资质单位统一处置；（3）本项目将</w:t>
                  </w:r>
                  <w:r>
                    <w:rPr>
                      <w:rFonts w:hint="default" w:ascii="Times New Roman" w:hAnsi="Times New Roman" w:eastAsia="宋体" w:cs="Times New Roman"/>
                      <w:color w:val="auto"/>
                      <w:kern w:val="2"/>
                      <w:sz w:val="21"/>
                      <w:szCs w:val="21"/>
                      <w:highlight w:val="none"/>
                      <w:lang w:val="en-US" w:eastAsia="zh-CN" w:bidi="ar-SA"/>
                    </w:rPr>
                    <w:t>产生的VOCs收集</w:t>
                  </w:r>
                  <w:r>
                    <w:rPr>
                      <w:rFonts w:hint="eastAsia" w:ascii="Times New Roman" w:hAnsi="Times New Roman" w:eastAsia="宋体" w:cs="Times New Roman"/>
                      <w:color w:val="auto"/>
                      <w:kern w:val="2"/>
                      <w:sz w:val="21"/>
                      <w:szCs w:val="21"/>
                      <w:highlight w:val="none"/>
                      <w:lang w:val="en-US" w:eastAsia="zh-CN" w:bidi="ar-SA"/>
                    </w:rPr>
                    <w:t>后通过1套活性炭吸附装置</w:t>
                  </w:r>
                  <w:r>
                    <w:rPr>
                      <w:rFonts w:hint="default" w:ascii="Times New Roman" w:hAnsi="Times New Roman" w:eastAsia="宋体" w:cs="Times New Roman"/>
                      <w:color w:val="auto"/>
                      <w:kern w:val="2"/>
                      <w:sz w:val="21"/>
                      <w:szCs w:val="21"/>
                      <w:highlight w:val="none"/>
                      <w:lang w:val="en-US" w:eastAsia="zh-CN" w:bidi="ar-SA"/>
                    </w:rPr>
                    <w:t>处理后排放</w:t>
                  </w:r>
                  <w:r>
                    <w:rPr>
                      <w:rFonts w:hint="eastAsia" w:ascii="Times New Roman" w:hAnsi="Times New Roman" w:eastAsia="宋体" w:cs="Times New Roman"/>
                      <w:color w:val="auto"/>
                      <w:kern w:val="2"/>
                      <w:sz w:val="21"/>
                      <w:szCs w:val="21"/>
                      <w:highlight w:val="none"/>
                      <w:lang w:val="en-US" w:eastAsia="zh-CN" w:bidi="ar-SA"/>
                    </w:rPr>
                    <w:t>，</w:t>
                  </w:r>
                  <w:r>
                    <w:rPr>
                      <w:color w:val="000000"/>
                      <w:szCs w:val="21"/>
                    </w:rPr>
                    <w:t>项目生产设备除进出料口全部密闭，</w:t>
                  </w:r>
                  <w:r>
                    <w:rPr>
                      <w:rFonts w:hint="default" w:ascii="Times New Roman" w:hAnsi="Times New Roman" w:eastAsia="宋体" w:cs="Times New Roman"/>
                      <w:color w:val="auto"/>
                      <w:kern w:val="2"/>
                      <w:sz w:val="21"/>
                      <w:szCs w:val="21"/>
                      <w:highlight w:val="none"/>
                      <w:lang w:val="en-US" w:eastAsia="zh-CN" w:bidi="ar-SA"/>
                    </w:rPr>
                    <w:t>VOCs</w:t>
                  </w:r>
                  <w:r>
                    <w:rPr>
                      <w:rFonts w:hint="eastAsia" w:ascii="Times New Roman" w:hAnsi="Times New Roman" w:eastAsia="宋体" w:cs="Times New Roman"/>
                      <w:color w:val="auto"/>
                      <w:kern w:val="2"/>
                      <w:sz w:val="21"/>
                      <w:szCs w:val="21"/>
                      <w:highlight w:val="none"/>
                      <w:lang w:val="en-US" w:eastAsia="zh-CN" w:bidi="ar-SA"/>
                    </w:rPr>
                    <w:t>采用集气罩收集，采用碘值不低于800毫克/克的活性炭，并定期更换</w:t>
                  </w:r>
                  <w:r>
                    <w:rPr>
                      <w:color w:val="auto"/>
                      <w:highlight w:val="none"/>
                    </w:rPr>
                    <w:t>。</w:t>
                  </w:r>
                </w:p>
              </w:tc>
              <w:tc>
                <w:tcPr>
                  <w:tcW w:w="250" w:type="pct"/>
                  <w:tcBorders>
                    <w:tl2br w:val="nil"/>
                    <w:tr2bl w:val="nil"/>
                  </w:tcBorders>
                  <w:vAlign w:val="center"/>
                </w:tcPr>
                <w:p w14:paraId="49AE23C0">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2E99F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vAlign w:val="center"/>
                </w:tcPr>
                <w:p w14:paraId="37E2F7C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color w:val="auto"/>
                      <w:sz w:val="21"/>
                      <w:szCs w:val="21"/>
                      <w:lang w:val="en-US" w:eastAsia="zh-CN"/>
                    </w:rPr>
                    <w:t>《福建省重点行业挥发性有机物排放控制要求</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试行</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的通知》</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闽环保大气〔2017〕9号</w:t>
                  </w:r>
                  <w:r>
                    <w:rPr>
                      <w:rFonts w:hint="eastAsia" w:cs="Times New Roman"/>
                      <w:color w:val="auto"/>
                      <w:sz w:val="21"/>
                      <w:szCs w:val="21"/>
                      <w:lang w:val="en-US" w:eastAsia="zh-CN"/>
                    </w:rPr>
                    <w:t>）</w:t>
                  </w:r>
                </w:p>
              </w:tc>
              <w:tc>
                <w:tcPr>
                  <w:tcW w:w="2425" w:type="pct"/>
                  <w:tcBorders>
                    <w:tl2br w:val="nil"/>
                    <w:tr2bl w:val="nil"/>
                  </w:tcBorders>
                  <w:vAlign w:val="center"/>
                </w:tcPr>
                <w:p w14:paraId="0D84D159">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r>
                    <w:rPr>
                      <w:rFonts w:hint="default" w:ascii="Times New Roman" w:hAnsi="Times New Roman" w:eastAsia="宋体" w:cs="Times New Roman"/>
                      <w:b w:val="0"/>
                      <w:bCs w:val="0"/>
                      <w:sz w:val="21"/>
                      <w:szCs w:val="21"/>
                      <w:vertAlign w:val="baseline"/>
                      <w:lang w:val="en-US" w:eastAsia="zh-CN"/>
                    </w:rPr>
                    <w:t>工艺过程控制要求</w:t>
                  </w:r>
                </w:p>
                <w:p w14:paraId="408669A3">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含VOCs物料应储存于密闭容器中。盛装含VOCs物料的容器应存放于储存室内，或至少设置遮阳挡雨等设施</w:t>
                  </w:r>
                  <w:r>
                    <w:rPr>
                      <w:rFonts w:hint="eastAsia" w:ascii="Times New Roman" w:hAnsi="Times New Roman" w:eastAsia="宋体" w:cs="Times New Roman"/>
                      <w:b w:val="0"/>
                      <w:bCs w:val="0"/>
                      <w:sz w:val="21"/>
                      <w:szCs w:val="21"/>
                      <w:vertAlign w:val="baseline"/>
                      <w:lang w:val="en-US" w:eastAsia="zh-CN"/>
                    </w:rPr>
                    <w:t>。</w:t>
                  </w:r>
                </w:p>
                <w:p w14:paraId="45307575">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w:t>
                  </w:r>
                  <w:r>
                    <w:rPr>
                      <w:rFonts w:hint="default" w:ascii="Times New Roman" w:hAnsi="Times New Roman" w:eastAsia="宋体" w:cs="Times New Roman"/>
                      <w:b w:val="0"/>
                      <w:bCs w:val="0"/>
                      <w:sz w:val="21"/>
                      <w:szCs w:val="21"/>
                      <w:vertAlign w:val="baseline"/>
                      <w:lang w:val="en-US" w:eastAsia="zh-CN"/>
                    </w:rPr>
                    <w:t>其他控制要求</w:t>
                  </w:r>
                </w:p>
                <w:p w14:paraId="31A78B18">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产生有废气</w:t>
                  </w:r>
                  <w:r>
                    <w:rPr>
                      <w:rFonts w:hint="eastAsia" w:ascii="Times New Roman" w:hAnsi="Times New Roman" w:eastAsia="宋体" w:cs="Times New Roman"/>
                      <w:b w:val="0"/>
                      <w:bCs w:val="0"/>
                      <w:sz w:val="21"/>
                      <w:szCs w:val="21"/>
                      <w:vertAlign w:val="baseline"/>
                      <w:lang w:val="en-US" w:eastAsia="zh-CN"/>
                    </w:rPr>
                    <w:t>的</w:t>
                  </w:r>
                  <w:r>
                    <w:rPr>
                      <w:rFonts w:hint="default" w:ascii="Times New Roman" w:hAnsi="Times New Roman" w:eastAsia="宋体" w:cs="Times New Roman"/>
                      <w:b w:val="0"/>
                      <w:bCs w:val="0"/>
                      <w:sz w:val="21"/>
                      <w:szCs w:val="21"/>
                      <w:vertAlign w:val="baseline"/>
                      <w:lang w:val="en-US" w:eastAsia="zh-CN"/>
                    </w:rPr>
                    <w:t>生产工艺和装置均设有收集系统和净化处理装置；所有产生VOCs的生产车间</w:t>
                  </w:r>
                  <w:r>
                    <w:rPr>
                      <w:rFonts w:hint="eastAsia"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或生产设施</w:t>
                  </w:r>
                  <w:r>
                    <w:rPr>
                      <w:rFonts w:hint="eastAsia"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r>
                    <w:rPr>
                      <w:rFonts w:hint="eastAsia" w:ascii="Times New Roman" w:hAnsi="Times New Roman" w:eastAsia="宋体" w:cs="Times New Roman"/>
                      <w:b w:val="0"/>
                      <w:bCs w:val="0"/>
                      <w:sz w:val="21"/>
                      <w:szCs w:val="21"/>
                      <w:vertAlign w:val="baseline"/>
                      <w:lang w:val="en-US" w:eastAsia="zh-CN"/>
                    </w:rPr>
                    <w:t>。</w:t>
                  </w:r>
                </w:p>
              </w:tc>
              <w:tc>
                <w:tcPr>
                  <w:tcW w:w="1571" w:type="pct"/>
                  <w:tcBorders>
                    <w:tl2br w:val="nil"/>
                    <w:tr2bl w:val="nil"/>
                  </w:tcBorders>
                  <w:vAlign w:val="center"/>
                </w:tcPr>
                <w:p w14:paraId="18FC9D36">
                  <w:pPr>
                    <w:keepNext w:val="0"/>
                    <w:keepLines w:val="0"/>
                    <w:pageBreakBefore w:val="0"/>
                    <w:widowControl/>
                    <w:numPr>
                      <w:ilvl w:val="0"/>
                      <w:numId w:val="6"/>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项目含VOCs的原辅料均放置在原辅料仓库。</w:t>
                  </w:r>
                </w:p>
                <w:p w14:paraId="4EF6F29B">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（2）项目注塑过程中所产生的VOCs经集气罩收集后通过一套“</w:t>
                  </w:r>
                  <w:r>
                    <w:rPr>
                      <w:rFonts w:hint="eastAsia" w:ascii="Times New Roman" w:hAnsi="Times New Roman" w:eastAsia="宋体" w:cs="Times New Roman"/>
                      <w:b w:val="0"/>
                      <w:bCs w:val="0"/>
                      <w:sz w:val="21"/>
                      <w:szCs w:val="21"/>
                      <w:highlight w:val="none"/>
                      <w:vertAlign w:val="baseline"/>
                      <w:lang w:val="en-US" w:eastAsia="zh-CN"/>
                    </w:rPr>
                    <w:t>二级活性炭吸附装置+15m排气筒排放”，拟将更换的废活性炭</w:t>
                  </w:r>
                  <w:r>
                    <w:rPr>
                      <w:rFonts w:hint="eastAsia" w:ascii="Times New Roman" w:hAnsi="Times New Roman" w:cs="Times New Roman"/>
                      <w:color w:val="auto"/>
                      <w:sz w:val="21"/>
                      <w:szCs w:val="21"/>
                      <w:highlight w:val="none"/>
                      <w:lang w:val="en-US" w:eastAsia="zh-CN"/>
                    </w:rPr>
                    <w:t>属于</w:t>
                  </w:r>
                  <w:r>
                    <w:rPr>
                      <w:rFonts w:hint="eastAsia" w:ascii="Times New Roman" w:hAnsi="Times New Roman" w:cs="Times New Roman"/>
                      <w:color w:val="auto"/>
                      <w:sz w:val="21"/>
                      <w:szCs w:val="21"/>
                      <w:lang w:val="en-US" w:eastAsia="zh-CN"/>
                    </w:rPr>
                    <w:t>危险废物</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袋装密闭暂存于</w:t>
                  </w:r>
                  <w:r>
                    <w:rPr>
                      <w:rFonts w:hint="eastAsia" w:ascii="Times New Roman" w:hAnsi="Times New Roman" w:cs="Times New Roman"/>
                      <w:color w:val="auto"/>
                      <w:sz w:val="21"/>
                      <w:szCs w:val="21"/>
                      <w:lang w:eastAsia="zh-CN"/>
                    </w:rPr>
                    <w:t>危险废物贮存</w:t>
                  </w:r>
                  <w:r>
                    <w:rPr>
                      <w:rFonts w:hint="eastAsia" w:ascii="Times New Roman" w:hAnsi="Times New Roman" w:cs="Times New Roman"/>
                      <w:color w:val="auto"/>
                      <w:sz w:val="21"/>
                      <w:szCs w:val="21"/>
                      <w:lang w:val="en-US" w:eastAsia="zh-CN"/>
                    </w:rPr>
                    <w:t>间</w:t>
                  </w:r>
                  <w:r>
                    <w:rPr>
                      <w:rFonts w:hint="default" w:ascii="Times New Roman" w:hAnsi="Times New Roman" w:cs="Times New Roman"/>
                      <w:color w:val="auto"/>
                      <w:sz w:val="21"/>
                      <w:szCs w:val="21"/>
                    </w:rPr>
                    <w:t>内</w:t>
                  </w:r>
                  <w:r>
                    <w:rPr>
                      <w:rFonts w:hint="eastAsia" w:ascii="Times New Roman" w:hAnsi="Times New Roman" w:cs="Times New Roman"/>
                      <w:color w:val="auto"/>
                      <w:sz w:val="21"/>
                      <w:szCs w:val="21"/>
                      <w:lang w:val="en-US" w:eastAsia="zh-CN"/>
                    </w:rPr>
                    <w:t>，委托有资质的单位定期处置；</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采用密闭车间集气罩收集，集气效率为</w:t>
                  </w:r>
                  <w:r>
                    <w:rPr>
                      <w:rFonts w:hint="eastAsia" w:cs="Times New Roman"/>
                      <w:color w:val="auto"/>
                      <w:sz w:val="21"/>
                      <w:szCs w:val="21"/>
                      <w:lang w:val="en-US" w:eastAsia="zh-CN"/>
                    </w:rPr>
                    <w:t>8</w:t>
                  </w:r>
                  <w:r>
                    <w:rPr>
                      <w:rFonts w:hint="eastAsia" w:ascii="Times New Roman" w:hAnsi="Times New Roman" w:cs="Times New Roman"/>
                      <w:color w:val="auto"/>
                      <w:sz w:val="21"/>
                      <w:szCs w:val="21"/>
                      <w:lang w:val="en-US" w:eastAsia="zh-CN"/>
                    </w:rPr>
                    <w:t>0%左右≥</w:t>
                  </w: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eastAsia="zh-CN"/>
                    </w:rPr>
                    <w:t>。</w:t>
                  </w:r>
                </w:p>
              </w:tc>
              <w:tc>
                <w:tcPr>
                  <w:tcW w:w="250" w:type="pct"/>
                  <w:tcBorders>
                    <w:tl2br w:val="nil"/>
                    <w:tr2bl w:val="nil"/>
                  </w:tcBorders>
                  <w:vAlign w:val="center"/>
                </w:tcPr>
                <w:p w14:paraId="19AA0489">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479D5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vAlign w:val="center"/>
                </w:tcPr>
                <w:p w14:paraId="3ACC1DBB">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color w:val="auto"/>
                      <w:sz w:val="21"/>
                      <w:szCs w:val="21"/>
                    </w:rPr>
                    <w:t>福建省重点行业挥发性有机物污染防治工作方案</w:t>
                  </w:r>
                  <w:r>
                    <w:rPr>
                      <w:rFonts w:hint="eastAsia" w:cs="Times New Roman"/>
                      <w:color w:val="auto"/>
                      <w:sz w:val="21"/>
                      <w:szCs w:val="21"/>
                      <w:lang w:eastAsia="zh-CN"/>
                    </w:rPr>
                    <w:t>（</w:t>
                  </w:r>
                  <w:r>
                    <w:rPr>
                      <w:rFonts w:hint="default" w:ascii="Times New Roman" w:hAnsi="Times New Roman" w:cs="Times New Roman"/>
                      <w:color w:val="auto"/>
                      <w:sz w:val="21"/>
                      <w:szCs w:val="21"/>
                    </w:rPr>
                    <w:t>闽环保大气〔2017〕6号</w:t>
                  </w:r>
                  <w:r>
                    <w:rPr>
                      <w:rFonts w:hint="eastAsia" w:cs="Times New Roman"/>
                      <w:color w:val="auto"/>
                      <w:sz w:val="21"/>
                      <w:szCs w:val="21"/>
                      <w:lang w:eastAsia="zh-CN"/>
                    </w:rPr>
                    <w:t>）</w:t>
                  </w:r>
                </w:p>
              </w:tc>
              <w:tc>
                <w:tcPr>
                  <w:tcW w:w="2425" w:type="pct"/>
                  <w:tcBorders>
                    <w:tl2br w:val="nil"/>
                    <w:tr2bl w:val="nil"/>
                  </w:tcBorders>
                  <w:vAlign w:val="center"/>
                </w:tcPr>
                <w:p w14:paraId="10737397">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二、主要任务</w:t>
                  </w:r>
                </w:p>
                <w:p w14:paraId="17EF1B77">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（一）严格环境准入</w:t>
                  </w:r>
                </w:p>
                <w:p w14:paraId="68506BE1">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国家及地方明令禁止的落后工艺和设备。</w:t>
                  </w:r>
                </w:p>
                <w:p w14:paraId="6F600E6E">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（二）大力推进清洁生产</w:t>
                  </w:r>
                </w:p>
                <w:p w14:paraId="1BC39878">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在重点行业大力倡导环境标志产品生产及使用，尤其是水性涂料的生产和使用，从源头控制VOCs排放。</w:t>
                  </w:r>
                </w:p>
                <w:p w14:paraId="77F4CC3F">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（三）加快推进重点行业VOCs专项整治</w:t>
                  </w:r>
                </w:p>
                <w:p w14:paraId="46F01B6C">
                  <w:pPr>
                    <w:keepNext w:val="0"/>
                    <w:keepLines w:val="0"/>
                    <w:pageBreakBefore w:val="0"/>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（2）加强化工企业污染综合整治</w:t>
                  </w:r>
                </w:p>
                <w:p w14:paraId="16B0E54D">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sz w:val="21"/>
                      <w:szCs w:val="21"/>
                      <w:vertAlign w:val="baseline"/>
                      <w:lang w:val="en-US" w:eastAsia="zh-CN"/>
                    </w:rPr>
                  </w:pPr>
                  <w:r>
                    <w:rPr>
                      <w:rFonts w:hint="default"/>
                      <w:color w:val="auto"/>
                      <w:szCs w:val="21"/>
                      <w:highlight w:val="none"/>
                      <w:u w:val="none"/>
                    </w:rPr>
                    <w:t>提升有机化工（含有机化学原料、合成材料、日用化工、涂料、油墨、胶粘剂、染料、化学溶剂、试剂生产等）、医药化工、塑料制品企业装备水平，严格控制跑冒滴漏。原料、中间产品与成品应密闭储存，对于实际蒸汽压大于2.8千帕、容积大于100立方米的有机液体储罐，采用高效密封方式的浮顶罐或安装密闭排气系统进行净化处理。排放VOCs的生产工序要在密闭空间或设备中实施，产生的含VOCs废气需进行净化处理。</w:t>
                  </w:r>
                </w:p>
              </w:tc>
              <w:tc>
                <w:tcPr>
                  <w:tcW w:w="1571" w:type="pct"/>
                  <w:tcBorders>
                    <w:tl2br w:val="nil"/>
                    <w:tr2bl w:val="nil"/>
                  </w:tcBorders>
                  <w:vAlign w:val="center"/>
                </w:tcPr>
                <w:p w14:paraId="38642AB8">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eastAsia"/>
                      <w:color w:val="auto"/>
                      <w:szCs w:val="21"/>
                      <w:highlight w:val="none"/>
                      <w:u w:val="none"/>
                      <w:lang w:val="en-US" w:eastAsia="zh-CN"/>
                    </w:rPr>
                    <w:t>1.本项目从事汽车塑料配件加工生产，属于</w:t>
                  </w:r>
                  <w:r>
                    <w:rPr>
                      <w:rFonts w:hint="eastAsia" w:ascii="Times New Roman" w:hAnsi="Times New Roman" w:eastAsia="宋体" w:cs="Times New Roman"/>
                      <w:b w:val="0"/>
                      <w:bCs w:val="0"/>
                      <w:color w:val="auto"/>
                      <w:sz w:val="21"/>
                      <w:szCs w:val="21"/>
                      <w:highlight w:val="none"/>
                      <w:u w:val="none"/>
                      <w:lang w:val="en-US" w:eastAsia="zh-CN"/>
                    </w:rPr>
                    <w:t>塑料制品业和</w:t>
                  </w:r>
                  <w:r>
                    <w:rPr>
                      <w:rFonts w:hint="default" w:ascii="Times New Roman" w:hAnsi="Times New Roman" w:eastAsia="宋体" w:cs="Times New Roman"/>
                      <w:color w:val="auto"/>
                      <w:sz w:val="21"/>
                      <w:szCs w:val="21"/>
                      <w:u w:val="none"/>
                      <w:lang w:val="en-US" w:eastAsia="zh-CN"/>
                    </w:rPr>
                    <w:t>汽车</w:t>
                  </w:r>
                  <w:r>
                    <w:rPr>
                      <w:rFonts w:hint="eastAsia" w:ascii="Times New Roman" w:hAnsi="Times New Roman" w:eastAsia="宋体" w:cs="Times New Roman"/>
                      <w:color w:val="auto"/>
                      <w:sz w:val="21"/>
                      <w:szCs w:val="21"/>
                      <w:u w:val="none"/>
                      <w:lang w:val="en-US" w:eastAsia="zh-CN"/>
                    </w:rPr>
                    <w:t>零部件制造业，不属于文件中限制的</w:t>
                  </w:r>
                  <w:r>
                    <w:rPr>
                      <w:rFonts w:hint="default"/>
                      <w:color w:val="auto"/>
                      <w:szCs w:val="21"/>
                      <w:highlight w:val="none"/>
                      <w:u w:val="none"/>
                    </w:rPr>
                    <w:t>高VOCs排放建设项目</w:t>
                  </w:r>
                  <w:r>
                    <w:rPr>
                      <w:rFonts w:hint="eastAsia"/>
                      <w:color w:val="auto"/>
                      <w:szCs w:val="21"/>
                      <w:highlight w:val="none"/>
                      <w:u w:val="none"/>
                      <w:lang w:eastAsia="zh-CN"/>
                    </w:rPr>
                    <w:t>，本项目原辅材料为塑料新粒，不涉及高</w:t>
                  </w:r>
                  <w:r>
                    <w:rPr>
                      <w:rFonts w:hint="default"/>
                      <w:color w:val="auto"/>
                      <w:szCs w:val="21"/>
                      <w:highlight w:val="none"/>
                      <w:u w:val="none"/>
                    </w:rPr>
                    <w:t>VOCs含量原辅材料</w:t>
                  </w:r>
                  <w:r>
                    <w:rPr>
                      <w:rFonts w:hint="eastAsia"/>
                      <w:color w:val="auto"/>
                      <w:szCs w:val="21"/>
                      <w:highlight w:val="none"/>
                      <w:u w:val="none"/>
                      <w:lang w:eastAsia="zh-CN"/>
                    </w:rPr>
                    <w:t>且在采取有效的收集措施和治理措施后，通过排气筒达标排放。本项目不涉及</w:t>
                  </w:r>
                  <w:r>
                    <w:rPr>
                      <w:rFonts w:hint="default"/>
                      <w:color w:val="auto"/>
                      <w:szCs w:val="21"/>
                      <w:highlight w:val="none"/>
                      <w:u w:val="none"/>
                    </w:rPr>
                    <w:t>国家及地方明令禁止的落后工艺和设备。</w:t>
                  </w:r>
                </w:p>
                <w:p w14:paraId="2627F77D">
                  <w:pPr>
                    <w:pStyle w:val="35"/>
                    <w:widowControl/>
                    <w:numPr>
                      <w:ilvl w:val="0"/>
                      <w:numId w:val="0"/>
                    </w:numPr>
                    <w:adjustRightInd w:val="0"/>
                    <w:spacing w:line="340" w:lineRule="exact"/>
                    <w:jc w:val="both"/>
                    <w:rPr>
                      <w:rFonts w:hint="eastAsia"/>
                    </w:rPr>
                  </w:pPr>
                  <w:r>
                    <w:rPr>
                      <w:rFonts w:hint="eastAsia"/>
                      <w:lang w:val="en-US" w:eastAsia="zh-CN"/>
                    </w:rPr>
                    <w:t>2.</w:t>
                  </w:r>
                  <w:r>
                    <w:rPr>
                      <w:rFonts w:hint="eastAsia"/>
                    </w:rPr>
                    <w:t>本项目使用低VOCs含量原辅材料，</w:t>
                  </w:r>
                  <w:r>
                    <w:rPr>
                      <w:rFonts w:hint="eastAsia"/>
                      <w:bCs/>
                    </w:rPr>
                    <w:t>项目废气经集气装置收集后通过废气处理设施处理后达标排放</w:t>
                  </w:r>
                  <w:r>
                    <w:rPr>
                      <w:rFonts w:hint="eastAsia"/>
                    </w:rPr>
                    <w:t>。</w:t>
                  </w:r>
                </w:p>
                <w:p w14:paraId="19CABAAF">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sz w:val="21"/>
                      <w:szCs w:val="21"/>
                      <w:vertAlign w:val="baseline"/>
                      <w:lang w:val="en-US" w:eastAsia="zh-CN"/>
                    </w:rPr>
                  </w:pPr>
                  <w:r>
                    <w:rPr>
                      <w:rFonts w:hint="eastAsia"/>
                      <w:lang w:val="en-US" w:eastAsia="zh-CN"/>
                    </w:rPr>
                    <w:t>3.</w:t>
                  </w:r>
                  <w:r>
                    <w:rPr>
                      <w:rFonts w:hint="eastAsia"/>
                    </w:rPr>
                    <w:t>本项目废气产生点设备上方设置集气罩，拟将产生的VOCs收集后通过1套</w:t>
                  </w:r>
                  <w:r>
                    <w:rPr>
                      <w:rFonts w:hint="eastAsia"/>
                      <w:color w:val="auto"/>
                    </w:rPr>
                    <w:t>“二级活性炭吸附装置”</w:t>
                  </w:r>
                  <w:r>
                    <w:rPr>
                      <w:rFonts w:hint="eastAsia"/>
                    </w:rPr>
                    <w:t>处理后排放，设计净化效率</w:t>
                  </w:r>
                  <w:r>
                    <w:rPr>
                      <w:rFonts w:hint="eastAsia"/>
                      <w:lang w:val="en-US" w:eastAsia="zh-CN"/>
                    </w:rPr>
                    <w:t>为75</w:t>
                  </w:r>
                  <w:r>
                    <w:rPr>
                      <w:rFonts w:hint="eastAsia"/>
                    </w:rPr>
                    <w:t>%。</w:t>
                  </w:r>
                </w:p>
              </w:tc>
              <w:tc>
                <w:tcPr>
                  <w:tcW w:w="250" w:type="pct"/>
                  <w:tcBorders>
                    <w:tl2br w:val="nil"/>
                    <w:tr2bl w:val="nil"/>
                  </w:tcBorders>
                  <w:vAlign w:val="center"/>
                </w:tcPr>
                <w:p w14:paraId="0AFA5AE1">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03B6B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vMerge w:val="restart"/>
                  <w:tcBorders>
                    <w:tl2br w:val="nil"/>
                    <w:tr2bl w:val="nil"/>
                  </w:tcBorders>
                  <w:vAlign w:val="center"/>
                </w:tcPr>
                <w:p w14:paraId="3C50FC8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highlight w:val="none"/>
                      <w:lang w:val="en-US" w:eastAsia="zh-CN"/>
                    </w:rPr>
                    <w:t>《挥发性有机物无组织排放控制标准》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GB37822-2019)</w:t>
                  </w:r>
                </w:p>
              </w:tc>
              <w:tc>
                <w:tcPr>
                  <w:tcW w:w="2425" w:type="pct"/>
                  <w:tcBorders>
                    <w:tl2br w:val="nil"/>
                    <w:tr2bl w:val="nil"/>
                  </w:tcBorders>
                  <w:vAlign w:val="center"/>
                </w:tcPr>
                <w:p w14:paraId="2CFF3639">
                  <w:pPr>
                    <w:pStyle w:val="36"/>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5.1.1</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VOCs物料应储存于密闭的容器、包装袋、储罐、储库、料仓中。</w:t>
                  </w:r>
                </w:p>
                <w:p w14:paraId="44B3FD99">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color w:val="auto"/>
                      <w:szCs w:val="21"/>
                      <w:highlight w:val="none"/>
                      <w:u w:val="none"/>
                    </w:rPr>
                  </w:pPr>
                  <w:r>
                    <w:rPr>
                      <w:rFonts w:hint="default" w:ascii="Times New Roman" w:hAnsi="Times New Roman" w:eastAsia="宋体" w:cs="Times New Roman"/>
                      <w:color w:val="auto"/>
                      <w:highlight w:val="none"/>
                      <w:lang w:val="en-US" w:eastAsia="zh-CN"/>
                    </w:rPr>
                    <w:t>5.1.2 盛装VOCs物料的容器或包装袋应存放于室内，或存放于设置有雨棚、遮阳和防渗设施的专用场地。盛装VOCs物料的容器或包装袋在非取用状态时应加盖、封口，保持密闭。</w:t>
                  </w:r>
                </w:p>
              </w:tc>
              <w:tc>
                <w:tcPr>
                  <w:tcW w:w="1571" w:type="pct"/>
                  <w:tcBorders>
                    <w:tl2br w:val="nil"/>
                    <w:tr2bl w:val="nil"/>
                  </w:tcBorders>
                  <w:vAlign w:val="center"/>
                </w:tcPr>
                <w:p w14:paraId="13176CD4">
                  <w:pPr>
                    <w:pStyle w:val="35"/>
                    <w:keepNext w:val="0"/>
                    <w:keepLines w:val="0"/>
                    <w:pageBreakBefore w:val="0"/>
                    <w:widowControl w:val="0"/>
                    <w:kinsoku/>
                    <w:wordWrap/>
                    <w:overflowPunct/>
                    <w:topLinePunct w:val="0"/>
                    <w:bidi w:val="0"/>
                    <w:adjustRightInd w:val="0"/>
                    <w:snapToGrid w:val="0"/>
                    <w:spacing w:line="320" w:lineRule="exact"/>
                    <w:jc w:val="both"/>
                    <w:textAlignment w:val="auto"/>
                    <w:rPr>
                      <w:rFonts w:hint="eastAsia"/>
                      <w:lang w:val="en-US" w:eastAsia="zh-CN"/>
                    </w:rPr>
                  </w:pPr>
                  <w:r>
                    <w:rPr>
                      <w:rFonts w:hint="eastAsia" w:ascii="Times New Roman" w:hAnsi="Times New Roman" w:eastAsia="宋体" w:cs="Times New Roman"/>
                      <w:color w:val="auto"/>
                      <w:kern w:val="2"/>
                      <w:sz w:val="21"/>
                      <w:szCs w:val="21"/>
                      <w:highlight w:val="none"/>
                      <w:lang w:val="en-US" w:eastAsia="zh-CN" w:bidi="ar-SA"/>
                    </w:rPr>
                    <w:t>项目使用PP、ABS、PP颗粒作为原料采用密闭包装袋暂存在仓库中，VOCs含量低；常温下不产生VOCs。</w:t>
                  </w:r>
                </w:p>
              </w:tc>
              <w:tc>
                <w:tcPr>
                  <w:tcW w:w="250" w:type="pct"/>
                  <w:tcBorders>
                    <w:tl2br w:val="nil"/>
                    <w:tr2bl w:val="nil"/>
                  </w:tcBorders>
                  <w:vAlign w:val="center"/>
                </w:tcPr>
                <w:p w14:paraId="4022ADFD">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58580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vMerge w:val="continue"/>
                  <w:tcBorders>
                    <w:tl2br w:val="nil"/>
                    <w:tr2bl w:val="nil"/>
                  </w:tcBorders>
                  <w:vAlign w:val="center"/>
                </w:tcPr>
                <w:p w14:paraId="389F4325">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p>
              </w:tc>
              <w:tc>
                <w:tcPr>
                  <w:tcW w:w="2425" w:type="pct"/>
                  <w:tcBorders>
                    <w:tl2br w:val="nil"/>
                    <w:tr2bl w:val="nil"/>
                  </w:tcBorders>
                  <w:vAlign w:val="center"/>
                </w:tcPr>
                <w:p w14:paraId="74999520">
                  <w:pPr>
                    <w:pStyle w:val="36"/>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6.1.1 液态VOC物料应采用密闭管道输送。采用非管道输送方式转移液态VOC物料时，应采用密闭容器、罐车。</w:t>
                  </w:r>
                </w:p>
                <w:p w14:paraId="47BACCD3">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6.1.2 粉状、粒状VOCs物料应采用气力输送设备、管状带式输送机、螺旋输送机等密闭输送方式或者采用密闭的包装袋、容器或罐车进行物料转移。</w:t>
                  </w:r>
                </w:p>
              </w:tc>
              <w:tc>
                <w:tcPr>
                  <w:tcW w:w="1571" w:type="pct"/>
                  <w:tcBorders>
                    <w:tl2br w:val="nil"/>
                    <w:tr2bl w:val="nil"/>
                  </w:tcBorders>
                  <w:vAlign w:val="center"/>
                </w:tcPr>
                <w:p w14:paraId="252DA4A3">
                  <w:pPr>
                    <w:pStyle w:val="36"/>
                    <w:jc w:val="both"/>
                    <w:rPr>
                      <w:rFonts w:hint="eastAsia"/>
                      <w:lang w:val="en-US" w:eastAsia="zh-CN"/>
                    </w:rPr>
                  </w:pPr>
                  <w:r>
                    <w:rPr>
                      <w:rFonts w:hint="eastAsia" w:ascii="Times New Roman" w:hAnsi="Times New Roman" w:eastAsia="宋体" w:cs="Times New Roman"/>
                      <w:color w:val="auto"/>
                      <w:highlight w:val="none"/>
                      <w:lang w:val="en-US" w:eastAsia="zh-CN"/>
                    </w:rPr>
                    <w:t>项目不涉及液态VOC物料。项目不涉及</w:t>
                  </w:r>
                  <w:r>
                    <w:rPr>
                      <w:rFonts w:hint="default" w:ascii="Times New Roman" w:hAnsi="Times New Roman" w:eastAsia="宋体" w:cs="Times New Roman"/>
                      <w:color w:val="auto"/>
                      <w:highlight w:val="none"/>
                      <w:lang w:val="en-US" w:eastAsia="zh-CN"/>
                    </w:rPr>
                    <w:t>粉状VOCs物料</w:t>
                  </w:r>
                  <w:r>
                    <w:rPr>
                      <w:rFonts w:hint="eastAsia" w:ascii="Times New Roman" w:hAnsi="Times New Roman" w:eastAsia="宋体" w:cs="Times New Roman"/>
                      <w:color w:val="auto"/>
                      <w:highlight w:val="none"/>
                      <w:lang w:val="en-US" w:eastAsia="zh-CN"/>
                    </w:rPr>
                    <w:t>，项目</w:t>
                  </w:r>
                  <w:r>
                    <w:rPr>
                      <w:rFonts w:hint="eastAsia" w:ascii="Times New Roman" w:hAnsi="Times New Roman" w:eastAsia="宋体" w:cs="Times New Roman"/>
                      <w:color w:val="auto"/>
                      <w:kern w:val="2"/>
                      <w:sz w:val="21"/>
                      <w:szCs w:val="21"/>
                      <w:highlight w:val="none"/>
                      <w:lang w:val="en-US" w:eastAsia="zh-CN" w:bidi="ar-SA"/>
                    </w:rPr>
                    <w:t>PP、ABS、PP</w:t>
                  </w:r>
                  <w:r>
                    <w:rPr>
                      <w:rFonts w:hint="eastAsia" w:ascii="Times New Roman" w:hAnsi="Times New Roman" w:eastAsia="宋体" w:cs="Times New Roman"/>
                      <w:color w:val="auto"/>
                      <w:highlight w:val="none"/>
                      <w:lang w:val="en-US" w:eastAsia="zh-CN"/>
                    </w:rPr>
                    <w:t>塑料颗粒采用</w:t>
                  </w:r>
                  <w:r>
                    <w:rPr>
                      <w:rFonts w:hint="default" w:ascii="Times New Roman" w:hAnsi="Times New Roman" w:eastAsia="宋体" w:cs="Times New Roman"/>
                      <w:color w:val="auto"/>
                      <w:highlight w:val="none"/>
                      <w:lang w:val="en-US" w:eastAsia="zh-CN"/>
                    </w:rPr>
                    <w:t>密闭的包装袋、进行物料转移</w:t>
                  </w:r>
                </w:p>
              </w:tc>
              <w:tc>
                <w:tcPr>
                  <w:tcW w:w="250" w:type="pct"/>
                  <w:tcBorders>
                    <w:tl2br w:val="nil"/>
                    <w:tr2bl w:val="nil"/>
                  </w:tcBorders>
                  <w:vAlign w:val="center"/>
                </w:tcPr>
                <w:p w14:paraId="1066A707">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6C046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vMerge w:val="continue"/>
                  <w:tcBorders>
                    <w:tl2br w:val="nil"/>
                    <w:tr2bl w:val="nil"/>
                  </w:tcBorders>
                  <w:vAlign w:val="center"/>
                </w:tcPr>
                <w:p w14:paraId="57133E01">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p>
              </w:tc>
              <w:tc>
                <w:tcPr>
                  <w:tcW w:w="2425" w:type="pct"/>
                  <w:tcBorders>
                    <w:tl2br w:val="nil"/>
                    <w:tr2bl w:val="nil"/>
                  </w:tcBorders>
                  <w:shd w:val="clear" w:color="auto" w:fill="auto"/>
                  <w:vAlign w:val="center"/>
                </w:tcPr>
                <w:p w14:paraId="6E3C02E0">
                  <w:pPr>
                    <w:pStyle w:val="36"/>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7.3.1 企业应建立台账，记录含VOCs原辅材料和含VOCs产品的名称、使用量、回收量、废弃量、去向以及VOCs含量等信息。台账保存期限不少于3年。</w:t>
                  </w:r>
                </w:p>
                <w:p w14:paraId="4914082E">
                  <w:pPr>
                    <w:pStyle w:val="36"/>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7.3.3 载有VOC物料的设备及其管道在开停工车、检维修和清洗时，应在退料阶段将残存物料退净，并用密闭容器盛装，退料过程废气应排至VOCs废气收集处理系统</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清洗及吹扫过程排气应排至VOCs废气收集处理系统。</w:t>
                  </w:r>
                </w:p>
              </w:tc>
              <w:tc>
                <w:tcPr>
                  <w:tcW w:w="1571" w:type="pct"/>
                  <w:tcBorders>
                    <w:tl2br w:val="nil"/>
                    <w:tr2bl w:val="nil"/>
                  </w:tcBorders>
                  <w:vAlign w:val="center"/>
                </w:tcPr>
                <w:p w14:paraId="49468C3E">
                  <w:pPr>
                    <w:pStyle w:val="36"/>
                    <w:jc w:val="both"/>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项目将严格按照要求制定</w:t>
                  </w:r>
                  <w:r>
                    <w:rPr>
                      <w:rFonts w:hint="default" w:ascii="Times New Roman" w:hAnsi="Times New Roman" w:eastAsia="宋体" w:cs="Times New Roman"/>
                      <w:color w:val="auto"/>
                      <w:highlight w:val="none"/>
                      <w:lang w:val="en-US" w:eastAsia="zh-CN"/>
                    </w:rPr>
                    <w:t>含VOCs原辅材料</w:t>
                  </w:r>
                  <w:r>
                    <w:rPr>
                      <w:rFonts w:hint="eastAsia" w:ascii="Times New Roman" w:hAnsi="Times New Roman" w:eastAsia="宋体" w:cs="Times New Roman"/>
                      <w:color w:val="auto"/>
                      <w:highlight w:val="none"/>
                      <w:lang w:val="en-US" w:eastAsia="zh-CN"/>
                    </w:rPr>
                    <w:t>购买台账，</w:t>
                  </w:r>
                  <w:r>
                    <w:rPr>
                      <w:rFonts w:hint="default" w:ascii="Times New Roman" w:hAnsi="Times New Roman" w:eastAsia="宋体" w:cs="Times New Roman"/>
                      <w:color w:val="auto"/>
                      <w:highlight w:val="none"/>
                      <w:lang w:val="en-US" w:eastAsia="zh-CN"/>
                    </w:rPr>
                    <w:t>台账保存期限不少于3年</w:t>
                  </w:r>
                  <w:r>
                    <w:rPr>
                      <w:rFonts w:hint="eastAsia" w:ascii="Times New Roman" w:hAnsi="Times New Roman" w:eastAsia="宋体" w:cs="Times New Roman"/>
                      <w:color w:val="auto"/>
                      <w:highlight w:val="none"/>
                      <w:lang w:val="en-US" w:eastAsia="zh-CN"/>
                    </w:rPr>
                    <w:t>。</w:t>
                  </w:r>
                </w:p>
                <w:p w14:paraId="597626BB">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lang w:val="en-US" w:eastAsia="zh-CN"/>
                    </w:rPr>
                  </w:pPr>
                  <w:r>
                    <w:rPr>
                      <w:rFonts w:hint="eastAsia" w:ascii="Times New Roman" w:hAnsi="Times New Roman" w:eastAsia="宋体" w:cs="Times New Roman"/>
                      <w:color w:val="auto"/>
                      <w:highlight w:val="none"/>
                      <w:lang w:val="en-US" w:eastAsia="zh-CN"/>
                    </w:rPr>
                    <w:t>项目VOCs物料为</w:t>
                  </w:r>
                  <w:r>
                    <w:rPr>
                      <w:rFonts w:hint="eastAsia" w:ascii="Times New Roman" w:hAnsi="Times New Roman" w:eastAsia="宋体" w:cs="Times New Roman"/>
                      <w:color w:val="auto"/>
                      <w:kern w:val="2"/>
                      <w:sz w:val="21"/>
                      <w:szCs w:val="21"/>
                      <w:highlight w:val="none"/>
                      <w:lang w:val="en-US" w:eastAsia="zh-CN" w:bidi="ar-SA"/>
                    </w:rPr>
                    <w:t>PP、ABS、PP</w:t>
                  </w:r>
                  <w:r>
                    <w:rPr>
                      <w:rFonts w:hint="eastAsia" w:ascii="Times New Roman" w:hAnsi="Times New Roman" w:eastAsia="宋体" w:cs="Times New Roman"/>
                      <w:color w:val="auto"/>
                      <w:highlight w:val="none"/>
                      <w:lang w:val="en-US" w:eastAsia="zh-CN"/>
                    </w:rPr>
                    <w:t>塑料颗粒，在</w:t>
                  </w:r>
                  <w:r>
                    <w:rPr>
                      <w:rFonts w:hint="default" w:ascii="Times New Roman" w:hAnsi="Times New Roman" w:eastAsia="宋体" w:cs="Times New Roman"/>
                      <w:color w:val="auto"/>
                      <w:highlight w:val="none"/>
                      <w:lang w:val="en-US" w:eastAsia="zh-CN"/>
                    </w:rPr>
                    <w:t>退料过程废气</w:t>
                  </w:r>
                  <w:r>
                    <w:rPr>
                      <w:rFonts w:hint="eastAsia" w:ascii="Times New Roman" w:hAnsi="Times New Roman" w:eastAsia="宋体" w:cs="Times New Roman"/>
                      <w:color w:val="auto"/>
                      <w:highlight w:val="none"/>
                      <w:lang w:val="en-US" w:eastAsia="zh-CN"/>
                    </w:rPr>
                    <w:t>将</w:t>
                  </w:r>
                  <w:r>
                    <w:rPr>
                      <w:rFonts w:hint="default" w:ascii="Times New Roman" w:hAnsi="Times New Roman" w:eastAsia="宋体" w:cs="Times New Roman"/>
                      <w:color w:val="auto"/>
                      <w:highlight w:val="none"/>
                      <w:lang w:val="en-US" w:eastAsia="zh-CN"/>
                    </w:rPr>
                    <w:t>排至VOCs废气收集处理系统</w:t>
                  </w:r>
                  <w:r>
                    <w:rPr>
                      <w:rFonts w:hint="eastAsia" w:ascii="Times New Roman" w:hAnsi="Times New Roman" w:eastAsia="宋体" w:cs="Times New Roman"/>
                      <w:color w:val="auto"/>
                      <w:highlight w:val="none"/>
                      <w:lang w:val="en-US" w:eastAsia="zh-CN"/>
                    </w:rPr>
                    <w:t>；项目不涉及</w:t>
                  </w:r>
                  <w:r>
                    <w:rPr>
                      <w:rFonts w:hint="default" w:ascii="Times New Roman" w:hAnsi="Times New Roman" w:eastAsia="宋体" w:cs="Times New Roman"/>
                      <w:color w:val="auto"/>
                      <w:highlight w:val="none"/>
                      <w:lang w:val="en-US" w:eastAsia="zh-CN"/>
                    </w:rPr>
                    <w:t>清洗及吹扫过程</w:t>
                  </w:r>
                  <w:r>
                    <w:rPr>
                      <w:rFonts w:hint="eastAsia" w:ascii="Times New Roman" w:hAnsi="Times New Roman" w:eastAsia="宋体" w:cs="Times New Roman"/>
                      <w:color w:val="auto"/>
                      <w:highlight w:val="none"/>
                      <w:lang w:val="en-US" w:eastAsia="zh-CN"/>
                    </w:rPr>
                    <w:t>。</w:t>
                  </w:r>
                </w:p>
              </w:tc>
              <w:tc>
                <w:tcPr>
                  <w:tcW w:w="250" w:type="pct"/>
                  <w:tcBorders>
                    <w:tl2br w:val="nil"/>
                    <w:tr2bl w:val="nil"/>
                  </w:tcBorders>
                  <w:vAlign w:val="center"/>
                </w:tcPr>
                <w:p w14:paraId="7AB54711">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35E37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vMerge w:val="continue"/>
                  <w:vAlign w:val="center"/>
                </w:tcPr>
                <w:p w14:paraId="44F9066C">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p>
              </w:tc>
              <w:tc>
                <w:tcPr>
                  <w:tcW w:w="2425" w:type="pct"/>
                  <w:shd w:val="clear" w:color="auto" w:fill="auto"/>
                  <w:vAlign w:val="center"/>
                </w:tcPr>
                <w:p w14:paraId="69E3E474">
                  <w:pPr>
                    <w:pStyle w:val="36"/>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10.1.2 VOCs废气收集处理系统应与生产工艺设备同步运行。VOCs 废气收集处理系统发生故障或检修时，对应的生产工艺设备应停止运行，待检修完毕后同步投入使用</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生产工艺设备不能停止运行或不能及时停止运行的，应设置废气应急处理设施或采取其他替代措施。</w:t>
                  </w:r>
                </w:p>
                <w:p w14:paraId="51DB84FB">
                  <w:pPr>
                    <w:pStyle w:val="36"/>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10.2.1 企业应考虑生产工艺、操作方式、废气性质、处理方法等因素，对VOCs废气进行分类收集。</w:t>
                  </w:r>
                </w:p>
                <w:p w14:paraId="30B21C4F">
                  <w:pPr>
                    <w:pStyle w:val="36"/>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10.4 记录要求</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1571" w:type="pct"/>
                  <w:vAlign w:val="center"/>
                </w:tcPr>
                <w:p w14:paraId="08C5ED38">
                  <w:pPr>
                    <w:pStyle w:val="36"/>
                    <w:jc w:val="both"/>
                    <w:rPr>
                      <w:rFonts w:hint="eastAsia"/>
                      <w:lang w:val="en-US" w:eastAsia="zh-CN"/>
                    </w:rPr>
                  </w:pPr>
                  <w:r>
                    <w:rPr>
                      <w:rFonts w:hint="eastAsia"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lang w:val="en-US" w:eastAsia="zh-CN"/>
                    </w:rPr>
                    <w:t>废气收集处理系统</w:t>
                  </w:r>
                  <w:r>
                    <w:rPr>
                      <w:rFonts w:hint="eastAsia" w:ascii="Times New Roman" w:hAnsi="Times New Roman" w:eastAsia="宋体" w:cs="Times New Roman"/>
                      <w:color w:val="auto"/>
                      <w:highlight w:val="none"/>
                      <w:lang w:val="en-US" w:eastAsia="zh-CN"/>
                    </w:rPr>
                    <w:t>将</w:t>
                  </w:r>
                  <w:r>
                    <w:rPr>
                      <w:rFonts w:hint="default" w:ascii="Times New Roman" w:hAnsi="Times New Roman" w:eastAsia="宋体" w:cs="Times New Roman"/>
                      <w:color w:val="auto"/>
                      <w:highlight w:val="none"/>
                      <w:lang w:val="en-US" w:eastAsia="zh-CN"/>
                    </w:rPr>
                    <w:t>与生产工艺设备同步运行。VOCs废气收集处理系统发生故障或检修时，对应的生产工艺设备应停止运行，待检修完毕后同步投入使用</w:t>
                  </w:r>
                  <w:r>
                    <w:rPr>
                      <w:rFonts w:hint="eastAsia" w:ascii="Times New Roman" w:hAnsi="Times New Roman" w:eastAsia="宋体" w:cs="Times New Roman"/>
                      <w:color w:val="auto"/>
                      <w:highlight w:val="none"/>
                      <w:lang w:val="en-US" w:eastAsia="zh-CN"/>
                    </w:rPr>
                    <w:t>。项目有机废气拟收集后统一通过1套</w:t>
                  </w:r>
                  <w:r>
                    <w:rPr>
                      <w:rFonts w:hint="eastAsia" w:cs="Times New Roman"/>
                      <w:color w:val="auto"/>
                      <w:highlight w:val="none"/>
                      <w:lang w:val="en-US" w:eastAsia="zh-CN"/>
                    </w:rPr>
                    <w:t>二级</w:t>
                  </w:r>
                  <w:r>
                    <w:rPr>
                      <w:rFonts w:hint="eastAsia" w:ascii="Times New Roman" w:hAnsi="Times New Roman" w:eastAsia="宋体" w:cs="Times New Roman"/>
                      <w:color w:val="auto"/>
                      <w:highlight w:val="none"/>
                      <w:lang w:val="en-US" w:eastAsia="zh-CN"/>
                    </w:rPr>
                    <w:t>活性炭吸附装置处理后排放。项目将严格按照要求制定</w:t>
                  </w:r>
                  <w:r>
                    <w:rPr>
                      <w:rFonts w:hint="default" w:ascii="Times New Roman" w:hAnsi="Times New Roman" w:eastAsia="宋体" w:cs="Times New Roman"/>
                      <w:color w:val="auto"/>
                      <w:highlight w:val="none"/>
                      <w:lang w:val="en-US" w:eastAsia="zh-CN"/>
                    </w:rPr>
                    <w:t>废气收集系统、VOCs处理设施</w:t>
                  </w:r>
                  <w:r>
                    <w:rPr>
                      <w:rFonts w:hint="eastAsia" w:ascii="Times New Roman" w:hAnsi="Times New Roman" w:eastAsia="宋体" w:cs="Times New Roman"/>
                      <w:color w:val="auto"/>
                      <w:highlight w:val="none"/>
                      <w:lang w:val="en-US" w:eastAsia="zh-CN"/>
                    </w:rPr>
                    <w:t>运行台账，</w:t>
                  </w:r>
                  <w:r>
                    <w:rPr>
                      <w:rFonts w:hint="default" w:ascii="Times New Roman" w:hAnsi="Times New Roman" w:eastAsia="宋体" w:cs="Times New Roman"/>
                      <w:color w:val="auto"/>
                      <w:highlight w:val="none"/>
                      <w:lang w:val="en-US" w:eastAsia="zh-CN"/>
                    </w:rPr>
                    <w:t>台账保存期限不少于3年</w:t>
                  </w:r>
                  <w:r>
                    <w:rPr>
                      <w:rFonts w:hint="eastAsia" w:ascii="Times New Roman" w:hAnsi="Times New Roman" w:eastAsia="宋体" w:cs="Times New Roman"/>
                      <w:color w:val="auto"/>
                      <w:highlight w:val="none"/>
                      <w:lang w:val="en-US" w:eastAsia="zh-CN"/>
                    </w:rPr>
                    <w:t>。</w:t>
                  </w:r>
                </w:p>
              </w:tc>
              <w:tc>
                <w:tcPr>
                  <w:tcW w:w="250" w:type="pct"/>
                  <w:vAlign w:val="center"/>
                </w:tcPr>
                <w:p w14:paraId="5E288F8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bl>
          <w:p w14:paraId="52CBDF25">
            <w:pPr>
              <w:spacing w:line="360" w:lineRule="auto"/>
              <w:ind w:firstLine="480" w:firstLineChars="200"/>
              <w:jc w:val="left"/>
              <w:rPr>
                <w:rFonts w:hint="eastAsia"/>
                <w:vertAlign w:val="baseline"/>
                <w:lang w:eastAsia="zh-CN"/>
              </w:rPr>
            </w:pPr>
            <w:r>
              <w:rPr>
                <w:rFonts w:hint="eastAsia" w:ascii="Times New Roman" w:hAnsi="Times New Roman" w:eastAsia="宋体" w:cs="Times New Roman"/>
                <w:kern w:val="2"/>
                <w:sz w:val="24"/>
                <w:szCs w:val="24"/>
                <w:lang w:val="en-US" w:eastAsia="zh-CN" w:bidi="ar"/>
              </w:rPr>
              <w:t>根据以上分析，项目产生挥发性有机物可以得到有效</w:t>
            </w:r>
            <w:r>
              <w:rPr>
                <w:rFonts w:hint="eastAsia" w:cs="Times New Roman"/>
                <w:kern w:val="2"/>
                <w:sz w:val="24"/>
                <w:szCs w:val="24"/>
                <w:lang w:val="en-US" w:eastAsia="zh-CN" w:bidi="ar"/>
              </w:rPr>
              <w:t>地</w:t>
            </w:r>
            <w:r>
              <w:rPr>
                <w:rFonts w:hint="eastAsia" w:ascii="Times New Roman" w:hAnsi="Times New Roman" w:eastAsia="宋体" w:cs="Times New Roman"/>
                <w:kern w:val="2"/>
                <w:sz w:val="24"/>
                <w:szCs w:val="24"/>
                <w:lang w:val="en-US" w:eastAsia="zh-CN" w:bidi="ar"/>
              </w:rPr>
              <w:t>控制，采取有效治理措施后，符合挥发性有机物污染防治相关政策的要求。</w:t>
            </w:r>
          </w:p>
        </w:tc>
      </w:tr>
    </w:tbl>
    <w:p w14:paraId="5F644830">
      <w:pPr>
        <w:rPr>
          <w:rFonts w:hint="eastAsia"/>
          <w:lang w:eastAsia="zh-CN"/>
        </w:rPr>
      </w:pPr>
      <w:r>
        <w:rPr>
          <w:rFonts w:hint="eastAsia"/>
          <w:lang w:eastAsia="zh-CN"/>
        </w:rPr>
        <w:br w:type="page"/>
      </w:r>
    </w:p>
    <w:p w14:paraId="118067D6">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16" w:name="_Toc11240"/>
      <w:r>
        <w:rPr>
          <w:rFonts w:hint="default" w:ascii="Times New Roman" w:hAnsi="Times New Roman" w:eastAsia="黑体" w:cs="Times New Roman"/>
          <w:snapToGrid w:val="0"/>
          <w:color w:val="auto"/>
          <w:sz w:val="30"/>
          <w:szCs w:val="30"/>
          <w:u w:val="none"/>
          <w:lang w:val="en-US" w:eastAsia="zh-CN"/>
        </w:rPr>
        <w:t>二、建设项目工程分析</w:t>
      </w:r>
      <w:bookmarkEnd w:id="16"/>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8797"/>
      </w:tblGrid>
      <w:tr w14:paraId="041C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7" w:hRule="atLeast"/>
        </w:trPr>
        <w:tc>
          <w:tcPr>
            <w:tcW w:w="261" w:type="pct"/>
            <w:vAlign w:val="center"/>
          </w:tcPr>
          <w:p w14:paraId="251E59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sz w:val="24"/>
                <w:szCs w:val="24"/>
                <w:vertAlign w:val="baseline"/>
                <w:lang w:val="en-US" w:eastAsia="zh-CN"/>
              </w:rPr>
            </w:pPr>
            <w:r>
              <w:rPr>
                <w:rFonts w:hint="default" w:ascii="Times New Roman" w:hAnsi="Times New Roman" w:cs="Times New Roman"/>
                <w:b w:val="0"/>
                <w:bCs w:val="0"/>
                <w:sz w:val="24"/>
                <w:szCs w:val="24"/>
                <w:vertAlign w:val="baseline"/>
                <w:lang w:val="en-US" w:eastAsia="zh-CN"/>
              </w:rPr>
              <w:t>建设内容</w:t>
            </w:r>
          </w:p>
        </w:tc>
        <w:tc>
          <w:tcPr>
            <w:tcW w:w="4738" w:type="pct"/>
            <w:vAlign w:val="center"/>
          </w:tcPr>
          <w:p w14:paraId="622FDA22">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17" w:name="_Toc17663"/>
            <w:bookmarkStart w:id="18" w:name="_Toc6960"/>
            <w:bookmarkStart w:id="19" w:name="_Toc2247"/>
            <w:bookmarkStart w:id="20" w:name="_Toc9428"/>
            <w:r>
              <w:rPr>
                <w:rFonts w:hint="default" w:ascii="Times New Roman" w:hAnsi="Times New Roman" w:eastAsia="宋体" w:cs="Times New Roman"/>
                <w:color w:val="auto"/>
                <w:sz w:val="28"/>
                <w:szCs w:val="28"/>
                <w:u w:val="none"/>
                <w:lang w:val="en-US" w:eastAsia="zh-CN"/>
              </w:rPr>
              <w:t>2.1 项目由来</w:t>
            </w:r>
            <w:bookmarkEnd w:id="17"/>
            <w:bookmarkEnd w:id="18"/>
            <w:bookmarkEnd w:id="19"/>
            <w:bookmarkEnd w:id="20"/>
          </w:p>
          <w:p w14:paraId="57CE14F8">
            <w:pPr>
              <w:pStyle w:val="8"/>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福清大松模具有限公司成立于2006年3月22日，注册资本为88万元，</w:t>
            </w:r>
            <w:r>
              <w:rPr>
                <w:rFonts w:hint="eastAsia" w:cs="Times New Roman"/>
                <w:color w:val="auto"/>
                <w:sz w:val="24"/>
                <w:szCs w:val="24"/>
                <w:highlight w:val="none"/>
                <w:u w:val="none"/>
                <w:lang w:val="en-US" w:eastAsia="zh-CN"/>
              </w:rPr>
              <w:t>注册地址福州市福清市宏路街道宏路村下洋自然村。</w:t>
            </w:r>
            <w:r>
              <w:rPr>
                <w:rFonts w:hint="eastAsia" w:ascii="Times New Roman" w:hAnsi="Times New Roman" w:eastAsia="宋体" w:cs="Times New Roman"/>
                <w:color w:val="auto"/>
                <w:sz w:val="24"/>
                <w:szCs w:val="24"/>
                <w:highlight w:val="none"/>
                <w:u w:val="none"/>
                <w:lang w:val="en-US" w:eastAsia="zh-CN"/>
              </w:rPr>
              <w:t>主要从事模具制造；模具销售；塑料制品制造；塑料制品销售等业务。统一社会信用代码为</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eastAsia="zh-CN"/>
              </w:rPr>
              <w:t>，法人是</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营业执照</w:t>
            </w:r>
            <w:r>
              <w:rPr>
                <w:rFonts w:hint="eastAsia" w:cs="Times New Roman"/>
                <w:color w:val="auto"/>
                <w:sz w:val="24"/>
                <w:szCs w:val="24"/>
                <w:highlight w:val="none"/>
                <w:u w:val="none"/>
                <w:lang w:val="en-US" w:eastAsia="zh-CN"/>
              </w:rPr>
              <w:t>详见</w:t>
            </w:r>
            <w:r>
              <w:rPr>
                <w:rFonts w:hint="eastAsia" w:cs="Times New Roman"/>
                <w:b/>
                <w:bCs/>
                <w:color w:val="auto"/>
                <w:sz w:val="24"/>
                <w:szCs w:val="24"/>
                <w:highlight w:val="none"/>
                <w:u w:val="none"/>
                <w:lang w:val="en-US" w:eastAsia="zh-CN"/>
              </w:rPr>
              <w:t>附件二</w:t>
            </w:r>
            <w:r>
              <w:rPr>
                <w:rFonts w:hint="eastAsia" w:ascii="Times New Roman" w:hAnsi="Times New Roman" w:cs="Times New Roman"/>
                <w:color w:val="auto"/>
                <w:sz w:val="24"/>
                <w:szCs w:val="24"/>
                <w:highlight w:val="none"/>
                <w:u w:val="none"/>
                <w:lang w:eastAsia="zh-CN"/>
              </w:rPr>
              <w:t>及</w:t>
            </w:r>
            <w:r>
              <w:rPr>
                <w:rFonts w:hint="default" w:ascii="Times New Roman" w:hAnsi="Times New Roman" w:cs="Times New Roman"/>
                <w:color w:val="auto"/>
                <w:sz w:val="24"/>
                <w:szCs w:val="24"/>
                <w:highlight w:val="none"/>
                <w:u w:val="none"/>
              </w:rPr>
              <w:t>法人身份证</w:t>
            </w:r>
            <w:r>
              <w:rPr>
                <w:rFonts w:hint="eastAsia" w:ascii="Times New Roman" w:hAnsi="Times New Roman" w:cs="Times New Roman"/>
                <w:color w:val="auto"/>
                <w:sz w:val="24"/>
                <w:szCs w:val="24"/>
                <w:highlight w:val="none"/>
                <w:u w:val="none"/>
                <w:lang w:eastAsia="zh-CN"/>
              </w:rPr>
              <w:t>复印件</w:t>
            </w:r>
            <w:r>
              <w:rPr>
                <w:rFonts w:hint="default" w:ascii="Times New Roman" w:hAnsi="Times New Roman" w:cs="Times New Roman"/>
                <w:b w:val="0"/>
                <w:bCs w:val="0"/>
                <w:color w:val="auto"/>
                <w:sz w:val="24"/>
                <w:szCs w:val="24"/>
                <w:highlight w:val="none"/>
                <w:u w:val="none"/>
              </w:rPr>
              <w:t>见</w:t>
            </w:r>
            <w:r>
              <w:rPr>
                <w:rFonts w:hint="default" w:ascii="Times New Roman" w:hAnsi="Times New Roman" w:cs="Times New Roman"/>
                <w:b/>
                <w:bCs/>
                <w:color w:val="auto"/>
                <w:sz w:val="24"/>
                <w:szCs w:val="24"/>
                <w:highlight w:val="none"/>
                <w:u w:val="none"/>
              </w:rPr>
              <w:t>附件</w:t>
            </w:r>
            <w:r>
              <w:rPr>
                <w:rFonts w:hint="eastAsia" w:cs="Times New Roman"/>
                <w:b/>
                <w:bCs/>
                <w:color w:val="auto"/>
                <w:sz w:val="24"/>
                <w:szCs w:val="24"/>
                <w:highlight w:val="none"/>
                <w:u w:val="none"/>
                <w:lang w:val="en-US" w:eastAsia="zh-CN"/>
              </w:rPr>
              <w:t>三</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eastAsia="zh-CN"/>
              </w:rPr>
              <w:t>。</w:t>
            </w:r>
          </w:p>
          <w:p w14:paraId="2CFAE235">
            <w:pPr>
              <w:pStyle w:val="8"/>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项目拟投资</w:t>
            </w:r>
            <w:r>
              <w:rPr>
                <w:rFonts w:hint="eastAsia" w:cs="Times New Roman"/>
                <w:color w:val="auto"/>
                <w:sz w:val="24"/>
                <w:szCs w:val="24"/>
                <w:highlight w:val="none"/>
                <w:u w:val="none"/>
                <w:lang w:val="en-US" w:eastAsia="zh-CN"/>
              </w:rPr>
              <w:t>1600</w:t>
            </w:r>
            <w:r>
              <w:rPr>
                <w:rFonts w:hint="eastAsia" w:ascii="Times New Roman" w:hAnsi="Times New Roman" w:eastAsia="宋体" w:cs="Times New Roman"/>
                <w:color w:val="auto"/>
                <w:sz w:val="24"/>
                <w:szCs w:val="24"/>
                <w:highlight w:val="none"/>
                <w:u w:val="none"/>
                <w:lang w:val="en-US" w:eastAsia="zh-CN"/>
              </w:rPr>
              <w:t>万元，选址位于福建省福州市福清市阳下街道上亭村</w:t>
            </w:r>
            <w:r>
              <w:rPr>
                <w:rFonts w:hint="default" w:ascii="Times New Roman" w:hAnsi="Times New Roman" w:eastAsia="宋体" w:cs="Times New Roman"/>
                <w:color w:val="auto"/>
                <w:sz w:val="24"/>
                <w:szCs w:val="24"/>
                <w:highlight w:val="none"/>
                <w:u w:val="none"/>
                <w:lang w:val="en-US" w:eastAsia="zh-CN"/>
              </w:rPr>
              <w:t>（</w:t>
            </w:r>
            <w:r>
              <w:rPr>
                <w:rFonts w:hint="eastAsia" w:cs="Times New Roman"/>
                <w:color w:val="auto"/>
                <w:sz w:val="24"/>
                <w:szCs w:val="24"/>
                <w:highlight w:val="none"/>
                <w:u w:val="none"/>
                <w:lang w:val="en-US" w:eastAsia="zh-CN"/>
              </w:rPr>
              <w:t>购置</w:t>
            </w:r>
            <w:r>
              <w:rPr>
                <w:rFonts w:hint="eastAsia" w:ascii="Times New Roman" w:hAnsi="Times New Roman" w:eastAsia="宋体" w:cs="Times New Roman"/>
                <w:color w:val="auto"/>
                <w:sz w:val="24"/>
                <w:szCs w:val="24"/>
                <w:highlight w:val="none"/>
                <w:u w:val="none"/>
                <w:lang w:val="en-US" w:eastAsia="zh-CN"/>
              </w:rPr>
              <w:t>均和云谷·福清科技港31栋厂房1-4层</w:t>
            </w:r>
            <w:r>
              <w:rPr>
                <w:rFonts w:hint="eastAsia" w:cs="Times New Roman"/>
                <w:color w:val="auto"/>
                <w:sz w:val="24"/>
                <w:szCs w:val="24"/>
                <w:highlight w:val="none"/>
                <w:u w:val="none"/>
                <w:lang w:val="en-US" w:eastAsia="zh-CN"/>
              </w:rPr>
              <w:t>）作为生产经营场所，厂房面积3515.66平方米，从事汽车塑料配件生产加工，计划年加工汽车塑料配件83万套项目，购置注塑机、破碎机等相关设备，建设1条</w:t>
            </w:r>
            <w:r>
              <w:rPr>
                <w:rFonts w:hint="eastAsia" w:ascii="Times New Roman" w:hAnsi="Times New Roman" w:eastAsia="宋体" w:cs="Times New Roman"/>
                <w:color w:val="auto"/>
                <w:sz w:val="24"/>
                <w:szCs w:val="24"/>
                <w:highlight w:val="none"/>
                <w:u w:val="none"/>
                <w:lang w:val="en-US" w:eastAsia="zh-CN"/>
              </w:rPr>
              <w:t>汽车塑料配件制造生产线</w:t>
            </w:r>
            <w:r>
              <w:rPr>
                <w:rFonts w:hint="eastAsia" w:cs="Times New Roman"/>
                <w:color w:val="auto"/>
                <w:sz w:val="24"/>
                <w:szCs w:val="24"/>
                <w:highlight w:val="none"/>
                <w:u w:val="none"/>
                <w:lang w:val="en-US" w:eastAsia="zh-CN"/>
              </w:rPr>
              <w:t>。该项目于2025年9月</w:t>
            </w:r>
            <w:r>
              <w:rPr>
                <w:rFonts w:hint="eastAsia" w:ascii="Times New Roman" w:hAnsi="Times New Roman" w:eastAsia="宋体" w:cs="Times New Roman"/>
                <w:color w:val="auto"/>
                <w:sz w:val="24"/>
                <w:szCs w:val="24"/>
                <w:u w:val="none"/>
                <w:lang w:val="en-US" w:eastAsia="zh-CN"/>
              </w:rPr>
              <w:t>18日通过了福清市发展和改革局的备案（闽发改备</w:t>
            </w:r>
            <w:r>
              <w:rPr>
                <w:rFonts w:hint="eastAsia" w:cs="Times New Roman"/>
                <w:color w:val="auto"/>
                <w:sz w:val="24"/>
                <w:szCs w:val="24"/>
                <w:u w:val="none"/>
                <w:lang w:val="en-US" w:eastAsia="zh-CN"/>
              </w:rPr>
              <w:t>〔2025〕</w:t>
            </w:r>
            <w:r>
              <w:rPr>
                <w:rFonts w:hint="eastAsia" w:ascii="Times New Roman" w:hAnsi="Times New Roman" w:eastAsia="宋体" w:cs="Times New Roman"/>
                <w:color w:val="auto"/>
                <w:sz w:val="24"/>
                <w:szCs w:val="24"/>
                <w:u w:val="none"/>
                <w:lang w:val="en-US" w:eastAsia="zh-CN"/>
              </w:rPr>
              <w:t>A060346号，</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详见</w:t>
            </w:r>
            <w:r>
              <w:rPr>
                <w:rFonts w:hint="eastAsia" w:ascii="Times New Roman" w:hAnsi="Times New Roman" w:eastAsia="宋体" w:cs="Times New Roman"/>
                <w:b/>
                <w:bCs/>
                <w:color w:val="auto"/>
                <w:sz w:val="24"/>
                <w:szCs w:val="24"/>
                <w:highlight w:val="none"/>
                <w:u w:val="none"/>
                <w:lang w:val="en-US" w:eastAsia="zh-CN"/>
              </w:rPr>
              <w:t>附件</w:t>
            </w:r>
            <w:r>
              <w:rPr>
                <w:rFonts w:hint="eastAsia" w:cs="Times New Roman"/>
                <w:b/>
                <w:bCs/>
                <w:color w:val="auto"/>
                <w:sz w:val="24"/>
                <w:szCs w:val="24"/>
                <w:highlight w:val="none"/>
                <w:u w:val="none"/>
                <w:lang w:val="en-US" w:eastAsia="zh-CN"/>
              </w:rPr>
              <w:t>四</w:t>
            </w:r>
            <w:r>
              <w:rPr>
                <w:rFonts w:hint="eastAsia" w:ascii="Times New Roman" w:hAnsi="Times New Roman" w:eastAsia="宋体" w:cs="Times New Roman"/>
                <w:color w:val="auto"/>
                <w:sz w:val="24"/>
                <w:szCs w:val="24"/>
                <w:highlight w:val="none"/>
                <w:u w:val="none"/>
                <w:lang w:val="en-US" w:eastAsia="zh-CN"/>
              </w:rPr>
              <w:t>）。</w:t>
            </w:r>
          </w:p>
          <w:p w14:paraId="0840869B">
            <w:pPr>
              <w:pStyle w:val="8"/>
              <w:spacing w:line="360" w:lineRule="auto"/>
              <w:ind w:firstLine="480" w:firstLineChars="200"/>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sz w:val="24"/>
                <w:szCs w:val="24"/>
                <w:u w:val="none"/>
                <w:lang w:val="en-US" w:eastAsia="zh-CN"/>
              </w:rPr>
              <w:t>根据《中华人民共和国环境保护法》</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2015年</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、《中华人民共和国环境影响评价法》</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2018年修正</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、《建设项目环境保护管理条例》</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2017年</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的相关规定，项目需要办理环境影响评价手续；根据《建设项目环境影响评价分类管理名录》</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2021年版</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规定，</w:t>
            </w:r>
            <w:r>
              <w:rPr>
                <w:rFonts w:hint="eastAsia" w:ascii="Times New Roman" w:hAnsi="Times New Roman" w:eastAsia="宋体" w:cs="Times New Roman"/>
                <w:color w:val="auto"/>
                <w:sz w:val="24"/>
                <w:szCs w:val="24"/>
                <w:u w:val="none"/>
                <w:lang w:val="en-US" w:eastAsia="zh-CN"/>
              </w:rPr>
              <w:t>本项目属《建设项目分类管理名录（2021年本）》中“二十六、橡胶和塑料制品业 29 塑料制品业 29 其他（年用非溶剂型低VOCs含量涂料10吨以下的除外）”“三十三、汽车制造业 36 汽车零部件及配件制造367 其他（年用非溶剂型低VOCs含量涂料10吨以下的除外）”</w:t>
            </w:r>
            <w:r>
              <w:rPr>
                <w:rFonts w:hint="default" w:ascii="Times New Roman" w:hAnsi="Times New Roman" w:eastAsia="宋体" w:cs="Times New Roman"/>
                <w:color w:val="auto"/>
                <w:sz w:val="24"/>
                <w:szCs w:val="24"/>
                <w:highlight w:val="none"/>
                <w:u w:val="none"/>
              </w:rPr>
              <w:t>本项目环评类别为环境影响报告表，详见表2-1。</w:t>
            </w:r>
            <w:r>
              <w:rPr>
                <w:rFonts w:hint="default" w:ascii="Times New Roman" w:hAnsi="Times New Roman" w:eastAsia="宋体" w:cs="Times New Roman"/>
                <w:color w:val="auto"/>
                <w:sz w:val="24"/>
                <w:szCs w:val="24"/>
                <w:highlight w:val="none"/>
                <w:u w:val="none"/>
                <w:lang w:eastAsia="zh-CN"/>
              </w:rPr>
              <w:t>为此，</w:t>
            </w:r>
            <w:r>
              <w:rPr>
                <w:rFonts w:hint="eastAsia" w:ascii="Times New Roman" w:hAnsi="Times New Roman" w:eastAsia="宋体" w:cs="Times New Roman"/>
                <w:color w:val="auto"/>
                <w:sz w:val="24"/>
                <w:szCs w:val="24"/>
                <w:u w:val="none"/>
                <w:lang w:eastAsia="zh-CN"/>
              </w:rPr>
              <w:t>该公司于</w:t>
            </w:r>
            <w:r>
              <w:rPr>
                <w:rFonts w:hint="eastAsia" w:ascii="Times New Roman" w:hAnsi="Times New Roman" w:eastAsia="宋体" w:cs="Times New Roman"/>
                <w:color w:val="auto"/>
                <w:sz w:val="24"/>
                <w:szCs w:val="24"/>
                <w:u w:val="none"/>
                <w:lang w:val="en-US" w:eastAsia="zh-CN"/>
              </w:rPr>
              <w:t>2025</w:t>
            </w:r>
            <w:r>
              <w:rPr>
                <w:rFonts w:hint="eastAsia" w:ascii="Times New Roman" w:hAnsi="Times New Roman" w:eastAsia="宋体" w:cs="Times New Roman"/>
                <w:color w:val="auto"/>
                <w:sz w:val="24"/>
                <w:szCs w:val="24"/>
                <w:u w:val="none"/>
                <w:lang w:eastAsia="zh-CN"/>
              </w:rPr>
              <w:t>年</w:t>
            </w:r>
            <w:r>
              <w:rPr>
                <w:rFonts w:hint="eastAsia" w:ascii="Times New Roman" w:hAnsi="Times New Roman" w:eastAsia="宋体" w:cs="Times New Roman"/>
                <w:color w:val="auto"/>
                <w:sz w:val="24"/>
                <w:szCs w:val="24"/>
                <w:u w:val="none"/>
                <w:lang w:val="en-US" w:eastAsia="zh-CN"/>
              </w:rPr>
              <w:t>9</w:t>
            </w:r>
            <w:r>
              <w:rPr>
                <w:rFonts w:hint="eastAsia" w:ascii="Times New Roman" w:hAnsi="Times New Roman" w:eastAsia="宋体" w:cs="Times New Roman"/>
                <w:color w:val="auto"/>
                <w:sz w:val="24"/>
                <w:szCs w:val="24"/>
                <w:u w:val="none"/>
                <w:lang w:eastAsia="zh-CN"/>
              </w:rPr>
              <w:t>月委托</w:t>
            </w:r>
            <w:r>
              <w:rPr>
                <w:rFonts w:hint="eastAsia" w:cs="Times New Roman"/>
                <w:color w:val="auto"/>
                <w:sz w:val="24"/>
                <w:szCs w:val="24"/>
                <w:u w:val="none"/>
                <w:lang w:val="en-US" w:eastAsia="zh-CN"/>
              </w:rPr>
              <w:t>福州朴诚至信</w:t>
            </w:r>
            <w:r>
              <w:rPr>
                <w:rFonts w:hint="eastAsia" w:ascii="Times New Roman" w:hAnsi="Times New Roman" w:eastAsia="宋体" w:cs="Times New Roman"/>
                <w:color w:val="auto"/>
                <w:sz w:val="24"/>
                <w:szCs w:val="24"/>
                <w:highlight w:val="none"/>
                <w:u w:val="none"/>
                <w:lang w:eastAsia="zh-CN"/>
              </w:rPr>
              <w:t>环保科技</w:t>
            </w:r>
            <w:r>
              <w:rPr>
                <w:rFonts w:hint="eastAsia" w:ascii="Times New Roman" w:hAnsi="Times New Roman" w:eastAsia="宋体" w:cs="Times New Roman"/>
                <w:color w:val="auto"/>
                <w:sz w:val="24"/>
                <w:szCs w:val="24"/>
                <w:highlight w:val="none"/>
                <w:u w:val="none"/>
                <w:lang w:val="en-US" w:eastAsia="zh-CN"/>
              </w:rPr>
              <w:t>有限公司</w:t>
            </w:r>
            <w:r>
              <w:rPr>
                <w:rFonts w:hint="eastAsia" w:ascii="Times New Roman" w:hAnsi="Times New Roman" w:eastAsia="宋体" w:cs="Times New Roman"/>
                <w:color w:val="auto"/>
                <w:sz w:val="24"/>
                <w:szCs w:val="24"/>
                <w:u w:val="none"/>
                <w:lang w:eastAsia="zh-CN"/>
              </w:rPr>
              <w:t>编制《</w:t>
            </w:r>
            <w:r>
              <w:rPr>
                <w:rFonts w:hint="default" w:ascii="Times New Roman" w:hAnsi="Times New Roman" w:eastAsia="宋体" w:cs="Times New Roman"/>
                <w:color w:val="auto"/>
                <w:sz w:val="24"/>
                <w:szCs w:val="24"/>
                <w:u w:val="none"/>
                <w:lang w:eastAsia="zh-CN"/>
              </w:rPr>
              <w:t>福清大松模具有限公司年加工汽车塑料配件</w:t>
            </w:r>
            <w:r>
              <w:rPr>
                <w:rFonts w:hint="default" w:ascii="Times New Roman" w:hAnsi="Times New Roman" w:eastAsia="宋体" w:cs="Times New Roman"/>
                <w:color w:val="auto"/>
                <w:sz w:val="24"/>
                <w:szCs w:val="24"/>
                <w:u w:val="none"/>
                <w:lang w:val="en-US" w:eastAsia="zh-CN"/>
              </w:rPr>
              <w:t>83万套项目</w:t>
            </w:r>
            <w:r>
              <w:rPr>
                <w:rFonts w:hint="eastAsia" w:ascii="Times New Roman" w:hAnsi="Times New Roman" w:eastAsia="宋体" w:cs="Times New Roman"/>
                <w:color w:val="auto"/>
                <w:sz w:val="24"/>
                <w:szCs w:val="24"/>
                <w:u w:val="none"/>
                <w:lang w:eastAsia="zh-CN"/>
              </w:rPr>
              <w:t>环境影响报告表》</w:t>
            </w:r>
            <w:r>
              <w:rPr>
                <w:rFonts w:hint="eastAsia"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委托书详见</w:t>
            </w:r>
            <w:r>
              <w:rPr>
                <w:rFonts w:hint="default" w:ascii="Times New Roman" w:hAnsi="Times New Roman" w:eastAsia="宋体" w:cs="Times New Roman"/>
                <w:b/>
                <w:bCs/>
                <w:color w:val="auto"/>
                <w:sz w:val="24"/>
                <w:szCs w:val="24"/>
                <w:highlight w:val="none"/>
                <w:u w:val="none"/>
              </w:rPr>
              <w:t>附件一</w:t>
            </w:r>
            <w:r>
              <w:rPr>
                <w:rFonts w:hint="eastAsia"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。本环评单位接受委托后，立即派技术人员踏勘现场和收集有关资料，</w:t>
            </w:r>
            <w:r>
              <w:rPr>
                <w:rFonts w:hint="default" w:ascii="Times New Roman" w:hAnsi="Times New Roman" w:eastAsia="宋体" w:cs="Times New Roman"/>
                <w:color w:val="auto"/>
                <w:sz w:val="24"/>
                <w:szCs w:val="24"/>
                <w:u w:val="none"/>
              </w:rPr>
              <w:t>按照</w:t>
            </w:r>
            <w:r>
              <w:rPr>
                <w:rFonts w:hint="eastAsia" w:ascii="Times New Roman" w:hAnsi="Times New Roman" w:eastAsia="宋体" w:cs="Times New Roman"/>
                <w:color w:val="auto"/>
                <w:sz w:val="24"/>
                <w:szCs w:val="24"/>
                <w:u w:val="none"/>
                <w:lang w:eastAsia="zh-CN"/>
              </w:rPr>
              <w:t>《</w:t>
            </w:r>
            <w:r>
              <w:rPr>
                <w:rFonts w:hint="eastAsia" w:ascii="Times New Roman" w:hAnsi="Times New Roman" w:eastAsia="宋体" w:cs="Times New Roman"/>
                <w:color w:val="auto"/>
                <w:sz w:val="24"/>
                <w:szCs w:val="24"/>
                <w:u w:val="none"/>
              </w:rPr>
              <w:t>建设项目环境影响报告表编制技术指南</w:t>
            </w:r>
            <w:r>
              <w:rPr>
                <w:rFonts w:hint="eastAsia" w:cs="Times New Roman"/>
                <w:color w:val="auto"/>
                <w:sz w:val="24"/>
                <w:szCs w:val="24"/>
                <w:u w:val="none"/>
                <w:lang w:eastAsia="zh-CN"/>
              </w:rPr>
              <w:t>（</w:t>
            </w:r>
            <w:r>
              <w:rPr>
                <w:rFonts w:hint="eastAsia" w:ascii="Times New Roman" w:hAnsi="Times New Roman" w:eastAsia="宋体" w:cs="Times New Roman"/>
                <w:color w:val="auto"/>
                <w:sz w:val="24"/>
                <w:szCs w:val="24"/>
                <w:u w:val="none"/>
              </w:rPr>
              <w:t>污染影响类</w:t>
            </w:r>
            <w:r>
              <w:rPr>
                <w:rFonts w:hint="eastAsia" w:cs="Times New Roman"/>
                <w:color w:val="auto"/>
                <w:sz w:val="24"/>
                <w:szCs w:val="24"/>
                <w:u w:val="none"/>
                <w:lang w:eastAsia="zh-CN"/>
              </w:rPr>
              <w:t>）（试行）》</w:t>
            </w:r>
            <w:r>
              <w:rPr>
                <w:rFonts w:hint="default" w:ascii="Times New Roman" w:hAnsi="Times New Roman" w:eastAsia="宋体" w:cs="Times New Roman"/>
                <w:color w:val="auto"/>
                <w:sz w:val="24"/>
                <w:szCs w:val="24"/>
                <w:u w:val="none"/>
              </w:rPr>
              <w:t>及相关技术规范要求，</w:t>
            </w:r>
            <w:r>
              <w:rPr>
                <w:rFonts w:hint="default" w:ascii="Times New Roman" w:hAnsi="Times New Roman" w:eastAsia="宋体" w:cs="Times New Roman"/>
                <w:color w:val="auto"/>
                <w:kern w:val="0"/>
                <w:sz w:val="24"/>
                <w:szCs w:val="24"/>
                <w:highlight w:val="none"/>
                <w:u w:val="none"/>
              </w:rPr>
              <w:t>编制了本环境影响报告表，供建设单位上报</w:t>
            </w:r>
            <w:r>
              <w:rPr>
                <w:rFonts w:hint="default" w:ascii="Times New Roman" w:hAnsi="Times New Roman" w:eastAsia="宋体" w:cs="Times New Roman"/>
                <w:color w:val="auto"/>
                <w:kern w:val="0"/>
                <w:sz w:val="24"/>
                <w:szCs w:val="24"/>
                <w:highlight w:val="none"/>
                <w:u w:val="none"/>
                <w:lang w:eastAsia="zh-CN"/>
              </w:rPr>
              <w:t>生态环境行政主管部门</w:t>
            </w:r>
            <w:r>
              <w:rPr>
                <w:rFonts w:hint="default" w:ascii="Times New Roman" w:hAnsi="Times New Roman" w:eastAsia="宋体" w:cs="Times New Roman"/>
                <w:color w:val="auto"/>
                <w:kern w:val="0"/>
                <w:sz w:val="24"/>
                <w:szCs w:val="24"/>
                <w:highlight w:val="none"/>
                <w:u w:val="none"/>
              </w:rPr>
              <w:t>审批。</w:t>
            </w:r>
          </w:p>
          <w:p w14:paraId="65DAD743">
            <w:pPr>
              <w:rPr>
                <w:rFonts w:hint="default"/>
                <w:lang w:val="en-US" w:eastAsia="zh-CN"/>
              </w:rPr>
            </w:pPr>
          </w:p>
          <w:p w14:paraId="47AAF2D8">
            <w:pPr>
              <w:keepNext w:val="0"/>
              <w:keepLines w:val="0"/>
              <w:pageBreakBefore w:val="0"/>
              <w:widowControl w:val="0"/>
              <w:kinsoku/>
              <w:wordWrap/>
              <w:overflowPunct/>
              <w:topLinePunct w:val="0"/>
              <w:autoSpaceDE/>
              <w:autoSpaceDN/>
              <w:bidi w:val="0"/>
              <w:adjustRightInd w:val="0"/>
              <w:snapToGrid w:val="0"/>
              <w:spacing w:before="160" w:beforeLines="50"/>
              <w:jc w:val="both"/>
              <w:textAlignment w:val="auto"/>
              <w:rPr>
                <w:rFonts w:hint="default" w:ascii="Times New Roman" w:hAnsi="Times New Roman" w:eastAsia="宋体" w:cs="Times New Roman"/>
                <w:b/>
                <w:bCs/>
                <w:color w:val="auto"/>
                <w:sz w:val="24"/>
                <w:highlight w:val="none"/>
                <w:u w:val="none"/>
                <w:lang w:val="en-US" w:eastAsia="zh-CN"/>
              </w:rPr>
            </w:pPr>
          </w:p>
          <w:p w14:paraId="7350759B">
            <w:pPr>
              <w:keepNext w:val="0"/>
              <w:keepLines w:val="0"/>
              <w:pageBreakBefore w:val="0"/>
              <w:widowControl w:val="0"/>
              <w:kinsoku/>
              <w:wordWrap/>
              <w:overflowPunct/>
              <w:topLinePunct w:val="0"/>
              <w:autoSpaceDE/>
              <w:autoSpaceDN/>
              <w:bidi w:val="0"/>
              <w:adjustRightInd w:val="0"/>
              <w:snapToGrid w:val="0"/>
              <w:spacing w:before="160" w:beforeLines="50"/>
              <w:jc w:val="center"/>
              <w:textAlignment w:val="auto"/>
              <w:rPr>
                <w:rFonts w:hint="default" w:ascii="Times New Roman" w:hAnsi="Times New Roman" w:eastAsia="宋体" w:cs="Times New Roman"/>
                <w:b/>
                <w:bCs/>
                <w:color w:val="auto"/>
                <w:sz w:val="24"/>
                <w:highlight w:val="none"/>
                <w:u w:val="none"/>
                <w:lang w:val="en-US" w:eastAsia="zh-CN"/>
              </w:rPr>
            </w:pPr>
          </w:p>
          <w:p w14:paraId="336794FC">
            <w:pPr>
              <w:keepNext w:val="0"/>
              <w:keepLines w:val="0"/>
              <w:pageBreakBefore w:val="0"/>
              <w:widowControl w:val="0"/>
              <w:kinsoku/>
              <w:wordWrap/>
              <w:overflowPunct/>
              <w:topLinePunct w:val="0"/>
              <w:autoSpaceDE/>
              <w:autoSpaceDN/>
              <w:bidi w:val="0"/>
              <w:adjustRightInd w:val="0"/>
              <w:snapToGrid w:val="0"/>
              <w:spacing w:before="160" w:beforeLines="50"/>
              <w:jc w:val="center"/>
              <w:textAlignment w:val="auto"/>
              <w:rPr>
                <w:rFonts w:hint="default" w:ascii="Times New Roman" w:hAnsi="Times New Roman" w:eastAsia="宋体" w:cs="Times New Roman"/>
                <w:b/>
                <w:bCs/>
                <w:color w:val="auto"/>
                <w:sz w:val="24"/>
                <w:highlight w:val="none"/>
                <w:u w:val="none"/>
                <w:lang w:val="en-US" w:eastAsia="zh-CN"/>
              </w:rPr>
            </w:pPr>
            <w:r>
              <w:rPr>
                <w:rFonts w:hint="default" w:ascii="Times New Roman" w:hAnsi="Times New Roman" w:eastAsia="宋体" w:cs="Times New Roman"/>
                <w:b/>
                <w:bCs/>
                <w:color w:val="auto"/>
                <w:sz w:val="24"/>
                <w:highlight w:val="none"/>
                <w:u w:val="none"/>
                <w:lang w:val="en-US" w:eastAsia="zh-CN"/>
              </w:rPr>
              <w:t>表2.1-1 建设项目环境影响评价分类管理名录（摘录）</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6"/>
              <w:gridCol w:w="2579"/>
              <w:gridCol w:w="2918"/>
              <w:gridCol w:w="1721"/>
              <w:gridCol w:w="797"/>
            </w:tblGrid>
            <w:tr w14:paraId="39817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3" w:type="pct"/>
                  <w:gridSpan w:val="2"/>
                  <w:tcBorders>
                    <w:tl2br w:val="single" w:color="auto" w:sz="2" w:space="0"/>
                  </w:tcBorders>
                  <w:vAlign w:val="center"/>
                </w:tcPr>
                <w:p w14:paraId="57A3001B">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环评类别</w:t>
                  </w:r>
                </w:p>
                <w:p w14:paraId="3940A36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kern w:val="2"/>
                      <w:sz w:val="21"/>
                      <w:szCs w:val="21"/>
                      <w:u w:val="none"/>
                      <w:vertAlign w:val="baseline"/>
                      <w:lang w:val="en-US" w:eastAsia="zh-CN" w:bidi="ar-SA"/>
                    </w:rPr>
                    <w:t>项目类别</w:t>
                  </w:r>
                </w:p>
              </w:tc>
              <w:tc>
                <w:tcPr>
                  <w:tcW w:w="1700" w:type="pct"/>
                  <w:tcBorders>
                    <w:tl2br w:val="nil"/>
                    <w:tr2bl w:val="nil"/>
                  </w:tcBorders>
                  <w:vAlign w:val="center"/>
                </w:tcPr>
                <w:p w14:paraId="7EEEEF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报告书</w:t>
                  </w:r>
                </w:p>
              </w:tc>
              <w:tc>
                <w:tcPr>
                  <w:tcW w:w="1003" w:type="pct"/>
                  <w:tcBorders>
                    <w:tl2br w:val="nil"/>
                    <w:tr2bl w:val="nil"/>
                  </w:tcBorders>
                  <w:shd w:val="clear" w:color="auto" w:fill="D7D7D7" w:themeFill="background1" w:themeFillShade="D8"/>
                  <w:vAlign w:val="center"/>
                </w:tcPr>
                <w:p w14:paraId="455C92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报告表</w:t>
                  </w:r>
                </w:p>
              </w:tc>
              <w:tc>
                <w:tcPr>
                  <w:tcW w:w="463" w:type="pct"/>
                  <w:tcBorders>
                    <w:tl2br w:val="nil"/>
                    <w:tr2bl w:val="nil"/>
                  </w:tcBorders>
                  <w:vAlign w:val="center"/>
                </w:tcPr>
                <w:p w14:paraId="4CC9B2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登记表</w:t>
                  </w:r>
                </w:p>
              </w:tc>
            </w:tr>
            <w:tr w14:paraId="1F4EE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000" w:type="pct"/>
                  <w:gridSpan w:val="5"/>
                  <w:tcBorders>
                    <w:tl2br w:val="nil"/>
                    <w:tr2bl w:val="nil"/>
                  </w:tcBorders>
                  <w:shd w:val="clear" w:color="auto" w:fill="D7D7D7" w:themeFill="background1" w:themeFillShade="D8"/>
                  <w:vAlign w:val="center"/>
                </w:tcPr>
                <w:p w14:paraId="7D08F67E">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color w:val="auto"/>
                      <w:sz w:val="24"/>
                      <w:szCs w:val="24"/>
                      <w:u w:val="none"/>
                      <w:lang w:val="en-US" w:eastAsia="zh-CN"/>
                    </w:rPr>
                    <w:t>二十六、橡胶和塑料制品业 29</w:t>
                  </w:r>
                </w:p>
              </w:tc>
            </w:tr>
            <w:tr w14:paraId="50858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330" w:type="pct"/>
                  <w:tcBorders>
                    <w:tl2br w:val="nil"/>
                    <w:tr2bl w:val="nil"/>
                  </w:tcBorders>
                  <w:vAlign w:val="center"/>
                </w:tcPr>
                <w:p w14:paraId="73D274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35</w:t>
                  </w:r>
                </w:p>
              </w:tc>
              <w:tc>
                <w:tcPr>
                  <w:tcW w:w="1502" w:type="pct"/>
                  <w:tcBorders>
                    <w:tl2br w:val="nil"/>
                    <w:tr2bl w:val="nil"/>
                  </w:tcBorders>
                  <w:vAlign w:val="center"/>
                </w:tcPr>
                <w:p w14:paraId="774C67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塑料制品业 292</w:t>
                  </w:r>
                </w:p>
              </w:tc>
              <w:tc>
                <w:tcPr>
                  <w:tcW w:w="1700" w:type="pct"/>
                  <w:tcBorders>
                    <w:tl2br w:val="nil"/>
                    <w:tr2bl w:val="nil"/>
                  </w:tcBorders>
                  <w:vAlign w:val="center"/>
                </w:tcPr>
                <w:p w14:paraId="645D8A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以再生塑料为原料生产的；有电镀工艺的；年用溶剂型胶粘剂10吨及以上的；年用溶剂型涂料（含稀释剂）10吨及以上的</w:t>
                  </w:r>
                </w:p>
              </w:tc>
              <w:tc>
                <w:tcPr>
                  <w:tcW w:w="1003" w:type="pct"/>
                  <w:tcBorders>
                    <w:tl2br w:val="nil"/>
                    <w:tr2bl w:val="nil"/>
                  </w:tcBorders>
                  <w:shd w:val="clear" w:color="auto" w:fill="D7D7D7" w:themeFill="background1" w:themeFillShade="D8"/>
                  <w:vAlign w:val="center"/>
                </w:tcPr>
                <w:p w14:paraId="4D7B57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其他（年用非溶剂型低VOCs含量涂料10吨以下的除外）</w:t>
                  </w:r>
                </w:p>
              </w:tc>
              <w:tc>
                <w:tcPr>
                  <w:tcW w:w="463" w:type="pct"/>
                  <w:tcBorders>
                    <w:tl2br w:val="nil"/>
                    <w:tr2bl w:val="nil"/>
                  </w:tcBorders>
                  <w:vAlign w:val="center"/>
                </w:tcPr>
                <w:p w14:paraId="7721F1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r>
            <w:tr w14:paraId="47831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000" w:type="pct"/>
                  <w:gridSpan w:val="5"/>
                  <w:tcBorders>
                    <w:tl2br w:val="nil"/>
                    <w:tr2bl w:val="nil"/>
                  </w:tcBorders>
                  <w:shd w:val="clear" w:color="auto" w:fill="D7D7D7" w:themeFill="background1" w:themeFillShade="D8"/>
                  <w:vAlign w:val="center"/>
                </w:tcPr>
                <w:p w14:paraId="53678E49">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color w:val="auto"/>
                      <w:sz w:val="24"/>
                      <w:szCs w:val="24"/>
                      <w:u w:val="none"/>
                      <w:lang w:val="en-US" w:eastAsia="zh-CN"/>
                    </w:rPr>
                    <w:t>三十三、汽车制造业 36</w:t>
                  </w:r>
                </w:p>
              </w:tc>
            </w:tr>
            <w:tr w14:paraId="3CE5A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330" w:type="pct"/>
                  <w:tcBorders>
                    <w:tl2br w:val="nil"/>
                    <w:tr2bl w:val="nil"/>
                  </w:tcBorders>
                  <w:vAlign w:val="center"/>
                </w:tcPr>
                <w:p w14:paraId="52DCC1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71</w:t>
                  </w:r>
                </w:p>
              </w:tc>
              <w:tc>
                <w:tcPr>
                  <w:tcW w:w="1502" w:type="pct"/>
                  <w:tcBorders>
                    <w:tl2br w:val="nil"/>
                    <w:tr2bl w:val="nil"/>
                  </w:tcBorders>
                  <w:vAlign w:val="center"/>
                </w:tcPr>
                <w:p w14:paraId="3D21D6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汽车整车制造361；汽车用发动机制造362；改装汽车制造363；低速汽车制造364；电车制造365；汽车车身、挂车制造366；</w:t>
                  </w:r>
                  <w:r>
                    <w:rPr>
                      <w:rFonts w:hint="eastAsia" w:ascii="Times New Roman" w:hAnsi="Times New Roman" w:eastAsia="宋体" w:cs="Times New Roman"/>
                      <w:b/>
                      <w:bCs/>
                      <w:sz w:val="21"/>
                      <w:szCs w:val="21"/>
                      <w:vertAlign w:val="baseline"/>
                      <w:lang w:val="en-US" w:eastAsia="zh-CN"/>
                    </w:rPr>
                    <w:t>汽车零部件及配件</w:t>
                  </w:r>
                  <w:r>
                    <w:rPr>
                      <w:rFonts w:hint="eastAsia" w:cs="Times New Roman"/>
                      <w:b/>
                      <w:bCs/>
                      <w:sz w:val="21"/>
                      <w:szCs w:val="21"/>
                      <w:vertAlign w:val="baseline"/>
                      <w:lang w:val="en-US" w:eastAsia="zh-CN"/>
                    </w:rPr>
                    <w:t>制造</w:t>
                  </w:r>
                  <w:r>
                    <w:rPr>
                      <w:rFonts w:hint="eastAsia" w:ascii="Times New Roman" w:hAnsi="Times New Roman" w:eastAsia="宋体" w:cs="Times New Roman"/>
                      <w:b/>
                      <w:bCs/>
                      <w:sz w:val="21"/>
                      <w:szCs w:val="21"/>
                      <w:vertAlign w:val="baseline"/>
                      <w:lang w:val="en-US" w:eastAsia="zh-CN"/>
                    </w:rPr>
                    <w:t>367</w:t>
                  </w:r>
                </w:p>
              </w:tc>
              <w:tc>
                <w:tcPr>
                  <w:tcW w:w="1700" w:type="pct"/>
                  <w:tcBorders>
                    <w:tl2br w:val="nil"/>
                    <w:tr2bl w:val="nil"/>
                  </w:tcBorders>
                  <w:vAlign w:val="center"/>
                </w:tcPr>
                <w:p w14:paraId="697348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汽车整车制造（仅组装的除外）；汽车用发动机制造（仅组装的除外）；有电镀工艺的；年用溶剂型涂料（含稀释剂）10吨及以上的</w:t>
                  </w:r>
                </w:p>
              </w:tc>
              <w:tc>
                <w:tcPr>
                  <w:tcW w:w="1003" w:type="pct"/>
                  <w:tcBorders>
                    <w:tl2br w:val="nil"/>
                    <w:tr2bl w:val="nil"/>
                  </w:tcBorders>
                  <w:shd w:val="clear" w:color="auto" w:fill="D7D7D7" w:themeFill="background1" w:themeFillShade="D8"/>
                  <w:vAlign w:val="center"/>
                </w:tcPr>
                <w:p w14:paraId="1A457C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其他（年用非溶剂型低VOCs含量涂料10吨以下的除外）</w:t>
                  </w:r>
                </w:p>
              </w:tc>
              <w:tc>
                <w:tcPr>
                  <w:tcW w:w="463" w:type="pct"/>
                  <w:tcBorders>
                    <w:tl2br w:val="nil"/>
                    <w:tr2bl w:val="nil"/>
                  </w:tcBorders>
                  <w:vAlign w:val="center"/>
                </w:tcPr>
                <w:p w14:paraId="58450BE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vertAlign w:val="baseline"/>
                      <w:lang w:val="en-US" w:eastAsia="zh-CN"/>
                    </w:rPr>
                  </w:pPr>
                </w:p>
              </w:tc>
            </w:tr>
          </w:tbl>
          <w:p w14:paraId="78EC04A2">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21" w:name="_Toc10193"/>
            <w:r>
              <w:rPr>
                <w:rFonts w:hint="eastAsia" w:ascii="Times New Roman" w:hAnsi="Times New Roman" w:eastAsia="宋体" w:cs="Times New Roman"/>
                <w:color w:val="auto"/>
                <w:sz w:val="28"/>
                <w:szCs w:val="28"/>
                <w:u w:val="none"/>
                <w:lang w:val="en-US" w:eastAsia="zh-CN"/>
              </w:rPr>
              <w:t>2.2工程概况</w:t>
            </w:r>
            <w:bookmarkEnd w:id="21"/>
          </w:p>
          <w:p w14:paraId="3D13756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22" w:name="_Toc16494"/>
            <w:r>
              <w:rPr>
                <w:rFonts w:hint="default" w:ascii="Times New Roman" w:hAnsi="Times New Roman" w:eastAsia="宋体" w:cs="Times New Roman"/>
                <w:b/>
                <w:bCs/>
                <w:color w:val="auto"/>
                <w:sz w:val="24"/>
                <w:szCs w:val="24"/>
                <w:u w:val="none"/>
                <w:lang w:val="en-US" w:eastAsia="zh-CN"/>
              </w:rPr>
              <w:t>2.2.1 依托企业基本情况</w:t>
            </w:r>
            <w:bookmarkEnd w:id="22"/>
          </w:p>
          <w:p w14:paraId="2973D389">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建设单位购买</w:t>
            </w:r>
            <w:r>
              <w:rPr>
                <w:rFonts w:hint="eastAsia" w:ascii="Times New Roman" w:hAnsi="Times New Roman" w:eastAsia="宋体" w:cs="Times New Roman"/>
                <w:color w:val="auto"/>
                <w:sz w:val="24"/>
                <w:szCs w:val="24"/>
                <w:highlight w:val="none"/>
                <w:lang w:eastAsia="zh-CN"/>
              </w:rPr>
              <w:t>均和产业发展</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福清</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有限公司</w:t>
            </w:r>
            <w:r>
              <w:rPr>
                <w:rFonts w:hint="eastAsia" w:ascii="Times New Roman" w:hAnsi="Times New Roman" w:eastAsia="宋体" w:cs="Times New Roman"/>
                <w:color w:val="auto"/>
                <w:sz w:val="24"/>
                <w:szCs w:val="24"/>
                <w:highlight w:val="none"/>
                <w:lang w:val="en-US" w:eastAsia="zh-CN"/>
              </w:rPr>
              <w:t>投资建设的均和云谷·福清科技港</w:t>
            </w:r>
            <w:r>
              <w:rPr>
                <w:rFonts w:hint="eastAsia" w:cs="Times New Roman"/>
                <w:color w:val="auto"/>
                <w:sz w:val="24"/>
                <w:szCs w:val="24"/>
                <w:highlight w:val="none"/>
                <w:lang w:val="en-US" w:eastAsia="zh-CN"/>
              </w:rPr>
              <w:t>31</w:t>
            </w:r>
            <w:r>
              <w:rPr>
                <w:rFonts w:hint="eastAsia" w:ascii="Times New Roman" w:hAnsi="Times New Roman" w:eastAsia="宋体" w:cs="Times New Roman"/>
                <w:color w:val="auto"/>
                <w:sz w:val="24"/>
                <w:szCs w:val="24"/>
                <w:highlight w:val="none"/>
                <w:lang w:val="en-US" w:eastAsia="zh-CN"/>
              </w:rPr>
              <w:t>#楼</w:t>
            </w:r>
            <w:r>
              <w:rPr>
                <w:rFonts w:hint="eastAsia" w:cs="Times New Roman"/>
                <w:color w:val="auto"/>
                <w:sz w:val="24"/>
                <w:szCs w:val="24"/>
                <w:highlight w:val="none"/>
                <w:lang w:val="en-US" w:eastAsia="zh-CN"/>
              </w:rPr>
              <w:t>1-4</w:t>
            </w:r>
            <w:r>
              <w:rPr>
                <w:rFonts w:hint="eastAsia" w:ascii="Times New Roman" w:hAnsi="Times New Roman" w:eastAsia="宋体" w:cs="Times New Roman"/>
                <w:color w:val="auto"/>
                <w:sz w:val="24"/>
                <w:szCs w:val="24"/>
                <w:highlight w:val="none"/>
                <w:lang w:val="en-US" w:eastAsia="zh-CN"/>
              </w:rPr>
              <w:t>层</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厂房定制合同</w:t>
            </w:r>
            <w:r>
              <w:rPr>
                <w:rFonts w:hint="default" w:ascii="Times New Roman" w:hAnsi="Times New Roman" w:eastAsia="宋体" w:cs="Times New Roman"/>
                <w:color w:val="auto"/>
                <w:sz w:val="24"/>
                <w:szCs w:val="24"/>
                <w:highlight w:val="none"/>
                <w:lang w:eastAsia="zh-CN"/>
              </w:rPr>
              <w:t>见</w:t>
            </w:r>
            <w:r>
              <w:rPr>
                <w:rFonts w:hint="default" w:ascii="Times New Roman" w:hAnsi="Times New Roman" w:eastAsia="宋体" w:cs="Times New Roman"/>
                <w:b/>
                <w:bCs/>
                <w:color w:val="auto"/>
                <w:sz w:val="24"/>
                <w:szCs w:val="24"/>
                <w:highlight w:val="none"/>
                <w:lang w:eastAsia="zh-CN"/>
              </w:rPr>
              <w:t>附件</w:t>
            </w:r>
            <w:r>
              <w:rPr>
                <w:rFonts w:hint="eastAsia" w:cs="Times New Roman"/>
                <w:b/>
                <w:bCs/>
                <w:color w:val="auto"/>
                <w:sz w:val="24"/>
                <w:szCs w:val="24"/>
                <w:highlight w:val="none"/>
                <w:lang w:val="en-US" w:eastAsia="zh-CN"/>
              </w:rPr>
              <w:t>五</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本次评价仅利用</w:t>
            </w:r>
            <w:r>
              <w:rPr>
                <w:rFonts w:hint="eastAsia" w:cs="Times New Roman"/>
                <w:color w:val="auto"/>
                <w:sz w:val="24"/>
                <w:szCs w:val="24"/>
                <w:highlight w:val="none"/>
                <w:lang w:val="en-US" w:eastAsia="zh-CN"/>
              </w:rPr>
              <w:t>一层</w:t>
            </w:r>
            <w:r>
              <w:rPr>
                <w:rFonts w:hint="eastAsia" w:ascii="Times New Roman" w:hAnsi="Times New Roman" w:eastAsia="宋体" w:cs="Times New Roman"/>
                <w:color w:val="auto"/>
                <w:sz w:val="24"/>
                <w:szCs w:val="24"/>
                <w:highlight w:val="none"/>
                <w:lang w:val="en-US" w:eastAsia="zh-CN"/>
              </w:rPr>
              <w:t>部分区域</w:t>
            </w:r>
            <w:r>
              <w:rPr>
                <w:rFonts w:hint="eastAsia" w:cs="Times New Roman"/>
                <w:color w:val="auto"/>
                <w:sz w:val="24"/>
                <w:szCs w:val="24"/>
                <w:highlight w:val="none"/>
                <w:lang w:val="en-US" w:eastAsia="zh-CN"/>
              </w:rPr>
              <w:t>500</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作为本项目生产经营场所，其余</w:t>
            </w:r>
            <w:r>
              <w:rPr>
                <w:rFonts w:hint="eastAsia" w:cs="Times New Roman"/>
                <w:color w:val="auto"/>
                <w:sz w:val="24"/>
                <w:szCs w:val="24"/>
                <w:highlight w:val="none"/>
                <w:lang w:val="en-US" w:eastAsia="zh-CN"/>
              </w:rPr>
              <w:t>三层1000m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作为原材料仓库，四层515.66m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作为办公区域</w:t>
            </w:r>
            <w:r>
              <w:rPr>
                <w:rFonts w:hint="eastAsia" w:ascii="Times New Roman" w:hAnsi="Times New Roman" w:eastAsia="宋体" w:cs="Times New Roman"/>
                <w:color w:val="auto"/>
                <w:sz w:val="24"/>
                <w:szCs w:val="24"/>
                <w:highlight w:val="none"/>
                <w:lang w:val="en-US" w:eastAsia="zh-CN"/>
              </w:rPr>
              <w:t>，无需分割。</w:t>
            </w:r>
            <w:r>
              <w:rPr>
                <w:rFonts w:hint="default" w:ascii="Times New Roman" w:hAnsi="Times New Roman" w:eastAsia="宋体" w:cs="Times New Roman"/>
                <w:color w:val="auto"/>
                <w:sz w:val="24"/>
                <w:szCs w:val="24"/>
                <w:highlight w:val="none"/>
                <w:lang w:eastAsia="zh-CN"/>
              </w:rPr>
              <w:t>因此本评价在此简单</w:t>
            </w:r>
            <w:r>
              <w:rPr>
                <w:rFonts w:hint="eastAsia" w:ascii="Times New Roman" w:hAnsi="Times New Roman" w:eastAsia="宋体" w:cs="Times New Roman"/>
                <w:color w:val="auto"/>
                <w:sz w:val="24"/>
                <w:szCs w:val="24"/>
                <w:highlight w:val="none"/>
                <w:lang w:val="en-US" w:eastAsia="zh-CN"/>
              </w:rPr>
              <w:t>介绍均和云谷·福清科技港项目的</w:t>
            </w:r>
            <w:r>
              <w:rPr>
                <w:rFonts w:hint="default" w:ascii="Times New Roman" w:hAnsi="Times New Roman" w:eastAsia="宋体" w:cs="Times New Roman"/>
                <w:color w:val="auto"/>
                <w:sz w:val="24"/>
                <w:szCs w:val="24"/>
                <w:highlight w:val="none"/>
                <w:lang w:eastAsia="zh-CN"/>
              </w:rPr>
              <w:t>基本情况。</w:t>
            </w:r>
          </w:p>
          <w:p w14:paraId="43E1B15E">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i w:val="0"/>
                <w:iCs w:val="0"/>
                <w:caps w:val="0"/>
                <w:color w:val="auto"/>
                <w:spacing w:val="0"/>
                <w:sz w:val="24"/>
                <w:szCs w:val="24"/>
                <w:shd w:val="clear" w:color="auto" w:fill="FFFFFF"/>
                <w:vertAlign w:val="baseline"/>
                <w:lang w:val="en-US" w:eastAsia="zh-CN"/>
              </w:rPr>
            </w:pPr>
            <w:r>
              <w:rPr>
                <w:rFonts w:hint="eastAsia" w:ascii="Times New Roman" w:hAnsi="Times New Roman" w:eastAsia="宋体" w:cs="Times New Roman"/>
                <w:color w:val="auto"/>
                <w:sz w:val="24"/>
                <w:szCs w:val="24"/>
                <w:highlight w:val="none"/>
                <w:lang w:val="en-US" w:eastAsia="zh-CN"/>
              </w:rPr>
              <w:t>均和云谷·福清科技港项目位于福清融侨经济技术开发区（福州市福清市阳下街道上亭村398号），项目总占地面积95657m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，总建筑面积约153451.80m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分四期建设，主要建设41栋标准厂房、1栋综合楼及相应的配套设施；根据规划，均和云谷·福清科技港建设后拟将厂房外售或者外租给相应的企业进行生产，自身不进行生产；因此，该项目未办理相关环保审批手续，由入驻企业根据实际情况，单独办理环保相关审批手续</w:t>
            </w:r>
            <w:r>
              <w:rPr>
                <w:rFonts w:hint="eastAsia" w:ascii="Times New Roman" w:hAnsi="Times New Roman" w:eastAsia="宋体" w:cs="Times New Roman"/>
                <w:color w:val="auto"/>
                <w:sz w:val="24"/>
                <w:lang w:val="en-US" w:eastAsia="zh-CN"/>
              </w:rPr>
              <w:t>。根据福清融侨经济技术开发区管理委员会出具的“关于协助均和云谷</w:t>
            </w:r>
            <w:r>
              <w:rPr>
                <w:rFonts w:hint="eastAsia" w:ascii="宋体" w:hAnsi="宋体" w:eastAsia="宋体" w:cs="宋体"/>
                <w:color w:val="auto"/>
                <w:sz w:val="24"/>
                <w:lang w:val="en-US" w:eastAsia="zh-CN"/>
              </w:rPr>
              <w:t>·</w:t>
            </w:r>
            <w:r>
              <w:rPr>
                <w:rFonts w:hint="eastAsia" w:ascii="Times New Roman" w:hAnsi="Times New Roman" w:eastAsia="宋体" w:cs="Times New Roman"/>
                <w:color w:val="auto"/>
                <w:sz w:val="24"/>
                <w:lang w:val="en-US" w:eastAsia="zh-CN"/>
              </w:rPr>
              <w:t>福清科技港入园企业先行办理环评手续的函”相关内容可知，同意企业办</w:t>
            </w:r>
            <w:r>
              <w:rPr>
                <w:rFonts w:hint="eastAsia" w:ascii="Times New Roman" w:hAnsi="Times New Roman" w:eastAsia="宋体" w:cs="Times New Roman"/>
                <w:color w:val="auto"/>
                <w:sz w:val="24"/>
                <w:highlight w:val="none"/>
                <w:lang w:val="en-US" w:eastAsia="zh-CN"/>
              </w:rPr>
              <w:t>理环评手续</w:t>
            </w:r>
            <w:r>
              <w:rPr>
                <w:rFonts w:hint="eastAsia" w:cs="Times New Roman"/>
                <w:color w:val="auto"/>
                <w:sz w:val="24"/>
                <w:highlight w:val="none"/>
                <w:lang w:val="en-US" w:eastAsia="zh-CN"/>
              </w:rPr>
              <w:t>函（</w:t>
            </w:r>
            <w:r>
              <w:rPr>
                <w:rFonts w:hint="eastAsia" w:ascii="Times New Roman" w:hAnsi="Times New Roman" w:eastAsia="宋体" w:cs="Times New Roman"/>
                <w:color w:val="auto"/>
                <w:sz w:val="24"/>
                <w:highlight w:val="none"/>
                <w:lang w:val="en-US" w:eastAsia="zh-CN"/>
              </w:rPr>
              <w:t>详见</w:t>
            </w:r>
            <w:r>
              <w:rPr>
                <w:rFonts w:hint="eastAsia" w:ascii="Times New Roman" w:hAnsi="Times New Roman" w:eastAsia="宋体" w:cs="Times New Roman"/>
                <w:b/>
                <w:bCs/>
                <w:color w:val="auto"/>
                <w:sz w:val="24"/>
                <w:highlight w:val="none"/>
                <w:lang w:val="en-US" w:eastAsia="zh-CN"/>
              </w:rPr>
              <w:t>附件</w:t>
            </w:r>
            <w:r>
              <w:rPr>
                <w:rFonts w:hint="eastAsia" w:cs="Times New Roman"/>
                <w:b/>
                <w:bCs/>
                <w:color w:val="auto"/>
                <w:sz w:val="24"/>
                <w:highlight w:val="none"/>
                <w:lang w:val="en-US" w:eastAsia="zh-CN"/>
              </w:rPr>
              <w:t>六</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lang w:val="en-US" w:eastAsia="zh-CN"/>
              </w:rPr>
              <w:t>。</w:t>
            </w:r>
          </w:p>
          <w:p w14:paraId="53D658D8">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根据现场勘查</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均和云谷·福清科技港内未配套</w:t>
            </w:r>
            <w:r>
              <w:rPr>
                <w:rFonts w:hint="eastAsia" w:ascii="Times New Roman" w:hAnsi="Times New Roman" w:eastAsia="宋体" w:cs="Times New Roman"/>
                <w:color w:val="auto"/>
                <w:sz w:val="24"/>
                <w:szCs w:val="24"/>
                <w:highlight w:val="none"/>
                <w:lang w:eastAsia="zh-CN"/>
              </w:rPr>
              <w:t>生产废水处理</w:t>
            </w:r>
            <w:r>
              <w:rPr>
                <w:rFonts w:hint="default" w:ascii="Times New Roman" w:hAnsi="Times New Roman" w:eastAsia="宋体" w:cs="Times New Roman"/>
                <w:color w:val="auto"/>
                <w:sz w:val="24"/>
                <w:szCs w:val="24"/>
                <w:highlight w:val="none"/>
                <w:lang w:eastAsia="zh-CN"/>
              </w:rPr>
              <w:t>设施、废气环保设施</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固废暂存间</w:t>
            </w:r>
            <w:r>
              <w:rPr>
                <w:rFonts w:hint="default" w:ascii="Times New Roman" w:hAnsi="Times New Roman" w:eastAsia="宋体" w:cs="Times New Roman"/>
                <w:color w:val="auto"/>
                <w:sz w:val="24"/>
                <w:szCs w:val="24"/>
                <w:highlight w:val="none"/>
                <w:lang w:eastAsia="zh-CN"/>
              </w:rPr>
              <w:t>等可</w:t>
            </w:r>
            <w:r>
              <w:rPr>
                <w:rFonts w:hint="eastAsia" w:cs="Times New Roman"/>
                <w:color w:val="auto"/>
                <w:sz w:val="24"/>
                <w:szCs w:val="24"/>
                <w:highlight w:val="none"/>
                <w:lang w:eastAsia="zh-CN"/>
              </w:rPr>
              <w:t>提供</w:t>
            </w:r>
            <w:r>
              <w:rPr>
                <w:rFonts w:hint="default" w:ascii="Times New Roman" w:hAnsi="Times New Roman" w:eastAsia="宋体" w:cs="Times New Roman"/>
                <w:color w:val="auto"/>
                <w:sz w:val="24"/>
                <w:szCs w:val="24"/>
                <w:highlight w:val="none"/>
                <w:lang w:eastAsia="zh-CN"/>
              </w:rPr>
              <w:t>本项目依托的相关环保设施。</w:t>
            </w:r>
            <w:r>
              <w:rPr>
                <w:rFonts w:hint="eastAsia" w:ascii="Times New Roman" w:hAnsi="Times New Roman" w:eastAsia="宋体" w:cs="Times New Roman"/>
                <w:color w:val="auto"/>
                <w:sz w:val="24"/>
                <w:szCs w:val="24"/>
                <w:highlight w:val="none"/>
                <w:lang w:val="en-US" w:eastAsia="zh-CN"/>
              </w:rPr>
              <w:t>本项目废气环保设施、固废暂存间等均由本单位自行建设；</w:t>
            </w:r>
            <w:r>
              <w:rPr>
                <w:rFonts w:hint="default" w:ascii="Times New Roman" w:hAnsi="Times New Roman" w:eastAsia="宋体" w:cs="Times New Roman"/>
                <w:color w:val="auto"/>
                <w:sz w:val="24"/>
                <w:szCs w:val="24"/>
                <w:highlight w:val="none"/>
                <w:lang w:eastAsia="zh-CN"/>
              </w:rPr>
              <w:t>本项目可依托的设施主要为厂区内的现有给水管网、排水管网、供电管网</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给水消防</w:t>
            </w:r>
            <w:r>
              <w:rPr>
                <w:rFonts w:hint="eastAsia" w:ascii="Times New Roman" w:hAnsi="Times New Roman" w:eastAsia="宋体" w:cs="Times New Roman"/>
                <w:color w:val="auto"/>
                <w:sz w:val="24"/>
                <w:szCs w:val="24"/>
                <w:highlight w:val="none"/>
                <w:lang w:eastAsia="zh-CN"/>
              </w:rPr>
              <w:t>及化粪池</w:t>
            </w:r>
            <w:r>
              <w:rPr>
                <w:rFonts w:hint="default" w:ascii="Times New Roman" w:hAnsi="Times New Roman" w:eastAsia="宋体" w:cs="Times New Roman"/>
                <w:color w:val="auto"/>
                <w:sz w:val="24"/>
                <w:szCs w:val="24"/>
                <w:highlight w:val="none"/>
                <w:lang w:eastAsia="zh-CN"/>
              </w:rPr>
              <w:t>等公用工程设施</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目前均和云谷·福清科技港项目污水管网已经接入市政污水管网，将生活污水统一送往</w:t>
            </w:r>
            <w:r>
              <w:rPr>
                <w:rFonts w:hint="eastAsia" w:ascii="Times New Roman" w:hAnsi="Times New Roman" w:eastAsia="宋体" w:cs="Times New Roman"/>
                <w:color w:val="auto"/>
                <w:sz w:val="24"/>
                <w:szCs w:val="24"/>
                <w:highlight w:val="none"/>
                <w:lang w:eastAsia="zh-CN"/>
              </w:rPr>
              <w:t>福清市融元污水处理厂</w:t>
            </w:r>
            <w:r>
              <w:rPr>
                <w:rFonts w:hint="default" w:ascii="Times New Roman" w:hAnsi="Times New Roman" w:eastAsia="宋体" w:cs="Times New Roman"/>
                <w:color w:val="auto"/>
                <w:sz w:val="24"/>
                <w:szCs w:val="24"/>
                <w:highlight w:val="none"/>
                <w:lang w:eastAsia="zh-CN"/>
              </w:rPr>
              <w:t>集中处理</w:t>
            </w:r>
            <w:r>
              <w:rPr>
                <w:rFonts w:hint="eastAsia" w:cs="Times New Roman"/>
                <w:color w:val="auto"/>
                <w:sz w:val="24"/>
                <w:szCs w:val="24"/>
                <w:highlight w:val="none"/>
                <w:lang w:val="en-US" w:eastAsia="zh-CN"/>
              </w:rPr>
              <w:t>（接管证明</w:t>
            </w:r>
            <w:r>
              <w:rPr>
                <w:rFonts w:hint="eastAsia" w:ascii="Times New Roman" w:hAnsi="Times New Roman" w:eastAsia="宋体" w:cs="Times New Roman"/>
                <w:color w:val="auto"/>
                <w:sz w:val="24"/>
                <w:szCs w:val="24"/>
                <w:highlight w:val="none"/>
                <w:lang w:val="en-US" w:eastAsia="zh-CN"/>
              </w:rPr>
              <w:t>详见</w:t>
            </w:r>
            <w:r>
              <w:rPr>
                <w:rFonts w:hint="eastAsia" w:ascii="Times New Roman" w:hAnsi="Times New Roman" w:eastAsia="宋体" w:cs="Times New Roman"/>
                <w:b/>
                <w:bCs/>
                <w:color w:val="auto"/>
                <w:sz w:val="24"/>
                <w:szCs w:val="24"/>
                <w:highlight w:val="none"/>
                <w:lang w:val="en-US" w:eastAsia="zh-CN"/>
              </w:rPr>
              <w:t>附件</w:t>
            </w:r>
            <w:r>
              <w:rPr>
                <w:rFonts w:hint="eastAsia" w:cs="Times New Roman"/>
                <w:b/>
                <w:bCs/>
                <w:color w:val="auto"/>
                <w:sz w:val="24"/>
                <w:szCs w:val="24"/>
                <w:highlight w:val="none"/>
                <w:lang w:val="en-US" w:eastAsia="zh-CN"/>
              </w:rPr>
              <w:t>八</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w:t>
            </w:r>
          </w:p>
          <w:p w14:paraId="3E6C3B2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23" w:name="_Toc4425"/>
            <w:r>
              <w:rPr>
                <w:rFonts w:hint="default" w:ascii="Times New Roman" w:hAnsi="Times New Roman" w:eastAsia="宋体" w:cs="Times New Roman"/>
                <w:b/>
                <w:bCs/>
                <w:color w:val="auto"/>
                <w:sz w:val="24"/>
                <w:szCs w:val="24"/>
                <w:u w:val="none"/>
                <w:lang w:val="en-US" w:eastAsia="zh-CN"/>
              </w:rPr>
              <w:t>2.2.</w:t>
            </w:r>
            <w:r>
              <w:rPr>
                <w:rFonts w:hint="eastAsia" w:ascii="Times New Roman" w:hAnsi="Times New Roman" w:eastAsia="宋体" w:cs="Times New Roman"/>
                <w:b/>
                <w:bCs/>
                <w:color w:val="auto"/>
                <w:sz w:val="24"/>
                <w:szCs w:val="24"/>
                <w:u w:val="none"/>
                <w:lang w:val="en-US" w:eastAsia="zh-CN"/>
              </w:rPr>
              <w:t>2</w:t>
            </w:r>
            <w:r>
              <w:rPr>
                <w:rFonts w:hint="default" w:ascii="Times New Roman" w:hAnsi="Times New Roman" w:eastAsia="宋体" w:cs="Times New Roman"/>
                <w:b/>
                <w:bCs/>
                <w:color w:val="auto"/>
                <w:sz w:val="24"/>
                <w:szCs w:val="24"/>
                <w:u w:val="none"/>
                <w:lang w:val="en-US" w:eastAsia="zh-CN"/>
              </w:rPr>
              <w:t xml:space="preserve"> </w:t>
            </w:r>
            <w:r>
              <w:rPr>
                <w:rFonts w:hint="eastAsia" w:ascii="Times New Roman" w:hAnsi="Times New Roman" w:eastAsia="宋体" w:cs="Times New Roman"/>
                <w:b/>
                <w:bCs/>
                <w:color w:val="auto"/>
                <w:sz w:val="24"/>
                <w:szCs w:val="24"/>
                <w:u w:val="none"/>
                <w:lang w:val="en-US" w:eastAsia="zh-CN"/>
              </w:rPr>
              <w:t>项目基本情况</w:t>
            </w:r>
            <w:bookmarkEnd w:id="23"/>
          </w:p>
          <w:p w14:paraId="08698F58">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（1）项目名称：</w:t>
            </w:r>
            <w:r>
              <w:rPr>
                <w:rFonts w:hint="default" w:ascii="Times New Roman" w:hAnsi="Times New Roman" w:eastAsia="宋体" w:cs="Times New Roman"/>
                <w:color w:val="auto"/>
                <w:sz w:val="24"/>
                <w:szCs w:val="24"/>
                <w:u w:val="none"/>
                <w:lang w:eastAsia="zh-CN"/>
              </w:rPr>
              <w:t>福清大松模具有限公司年加工汽车塑料配件</w:t>
            </w:r>
            <w:r>
              <w:rPr>
                <w:rFonts w:hint="default" w:ascii="Times New Roman" w:hAnsi="Times New Roman" w:eastAsia="宋体" w:cs="Times New Roman"/>
                <w:color w:val="auto"/>
                <w:sz w:val="24"/>
                <w:szCs w:val="24"/>
                <w:u w:val="none"/>
                <w:lang w:val="en-US" w:eastAsia="zh-CN"/>
              </w:rPr>
              <w:t>83万套项目</w:t>
            </w:r>
          </w:p>
          <w:p w14:paraId="3C33C5DC">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（2）建设单位：</w:t>
            </w:r>
            <w:r>
              <w:rPr>
                <w:rFonts w:hint="default" w:ascii="Times New Roman" w:hAnsi="Times New Roman" w:eastAsia="宋体" w:cs="Times New Roman"/>
                <w:color w:val="auto"/>
                <w:sz w:val="24"/>
                <w:szCs w:val="24"/>
                <w:u w:val="none"/>
                <w:lang w:eastAsia="zh-CN"/>
              </w:rPr>
              <w:t>福清大松模具有限公司</w:t>
            </w:r>
          </w:p>
          <w:p w14:paraId="1EF06C28">
            <w:pPr>
              <w:keepNext w:val="0"/>
              <w:keepLines w:val="0"/>
              <w:pageBreakBefore w:val="0"/>
              <w:kinsoku/>
              <w:wordWrap/>
              <w:overflowPunct/>
              <w:topLinePunct w:val="0"/>
              <w:autoSpaceDE/>
              <w:autoSpaceDN/>
              <w:bidi w:val="0"/>
              <w:adjustRightInd w:val="0"/>
              <w:snapToGrid w:val="0"/>
              <w:spacing w:line="240" w:lineRule="auto"/>
              <w:ind w:left="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（3）建设地点：</w:t>
            </w:r>
            <w:r>
              <w:rPr>
                <w:rFonts w:hint="eastAsia" w:ascii="Times New Roman" w:hAnsi="Times New Roman" w:eastAsia="宋体" w:cs="Times New Roman"/>
                <w:color w:val="auto"/>
                <w:sz w:val="24"/>
                <w:szCs w:val="24"/>
                <w:u w:val="none"/>
                <w:lang w:val="en-US" w:eastAsia="zh-CN"/>
              </w:rPr>
              <w:t>福建省福州市福清市阳下街道上亭村</w:t>
            </w:r>
            <w:r>
              <w:rPr>
                <w:rFonts w:hint="default"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均和云谷</w:t>
            </w:r>
            <w:r>
              <w:rPr>
                <w:rFonts w:hint="eastAsia" w:ascii="宋体" w:hAnsi="宋体" w:eastAsia="宋体" w:cs="宋体"/>
                <w:color w:val="auto"/>
                <w:sz w:val="24"/>
                <w:szCs w:val="24"/>
                <w:u w:val="none"/>
                <w:lang w:val="en-US" w:eastAsia="zh-CN"/>
              </w:rPr>
              <w:t>·福清科技港31栋厂房</w:t>
            </w:r>
            <w:r>
              <w:rPr>
                <w:rFonts w:hint="eastAsia" w:ascii="宋体" w:hAnsi="宋体" w:cs="宋体"/>
                <w:color w:val="auto"/>
                <w:sz w:val="24"/>
                <w:szCs w:val="24"/>
                <w:u w:val="none"/>
                <w:lang w:val="en-US" w:eastAsia="zh-CN"/>
              </w:rPr>
              <w:t>1-4层）</w:t>
            </w:r>
          </w:p>
          <w:p w14:paraId="7E51690C">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（4）建设性质：新建</w:t>
            </w:r>
          </w:p>
          <w:p w14:paraId="448FBD25">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（5）总 投 资：</w:t>
            </w:r>
            <w:r>
              <w:rPr>
                <w:rFonts w:hint="eastAsia" w:cs="Times New Roman"/>
                <w:color w:val="auto"/>
                <w:sz w:val="24"/>
                <w:szCs w:val="24"/>
                <w:highlight w:val="none"/>
                <w:lang w:val="en-US" w:eastAsia="zh-CN"/>
              </w:rPr>
              <w:t>1600</w:t>
            </w:r>
            <w:r>
              <w:rPr>
                <w:rFonts w:hint="eastAsia" w:ascii="Times New Roman" w:hAnsi="Times New Roman" w:eastAsia="宋体" w:cs="Times New Roman"/>
                <w:color w:val="auto"/>
                <w:sz w:val="24"/>
                <w:szCs w:val="24"/>
                <w:highlight w:val="none"/>
                <w:lang w:val="en-US" w:eastAsia="zh-CN"/>
              </w:rPr>
              <w:t>万元，其中环保投资</w:t>
            </w:r>
            <w:r>
              <w:rPr>
                <w:rFonts w:hint="eastAsia"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lang w:val="en-US" w:eastAsia="zh-CN"/>
              </w:rPr>
              <w:t>万元</w:t>
            </w:r>
          </w:p>
          <w:p w14:paraId="5525C5EA">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green"/>
                <w:lang w:val="en-US" w:eastAsia="zh-CN"/>
              </w:rPr>
            </w:pPr>
            <w:r>
              <w:rPr>
                <w:rFonts w:hint="eastAsia" w:ascii="Times New Roman" w:hAnsi="Times New Roman" w:eastAsia="宋体" w:cs="Times New Roman"/>
                <w:color w:val="auto"/>
                <w:sz w:val="24"/>
                <w:szCs w:val="24"/>
                <w:highlight w:val="none"/>
                <w:lang w:val="en-US" w:eastAsia="zh-CN"/>
              </w:rPr>
              <w:t>（6）建设规模：建设</w:t>
            </w:r>
            <w:r>
              <w:rPr>
                <w:rFonts w:hint="eastAsia" w:cs="Times New Roman"/>
                <w:color w:val="auto"/>
                <w:sz w:val="24"/>
                <w:szCs w:val="24"/>
                <w:highlight w:val="none"/>
                <w:lang w:val="en-US" w:eastAsia="zh-CN"/>
              </w:rPr>
              <w:t>1条</w:t>
            </w:r>
            <w:r>
              <w:rPr>
                <w:rFonts w:hint="eastAsia" w:ascii="Times New Roman" w:hAnsi="Times New Roman" w:eastAsia="宋体" w:cs="Times New Roman"/>
                <w:color w:val="auto"/>
                <w:sz w:val="24"/>
                <w:szCs w:val="24"/>
                <w:highlight w:val="none"/>
                <w:lang w:val="en-US" w:eastAsia="zh-CN"/>
              </w:rPr>
              <w:t>汽车塑料配件生产线，</w:t>
            </w:r>
            <w:r>
              <w:rPr>
                <w:rFonts w:hint="default" w:ascii="Times New Roman" w:hAnsi="Times New Roman" w:eastAsia="宋体" w:cs="Times New Roman"/>
                <w:color w:val="auto"/>
                <w:sz w:val="24"/>
                <w:szCs w:val="24"/>
                <w:u w:val="none"/>
                <w:lang w:eastAsia="zh-CN"/>
              </w:rPr>
              <w:t>年加工汽车塑料配件</w:t>
            </w:r>
            <w:r>
              <w:rPr>
                <w:rFonts w:hint="default" w:ascii="Times New Roman" w:hAnsi="Times New Roman" w:eastAsia="宋体" w:cs="Times New Roman"/>
                <w:color w:val="auto"/>
                <w:sz w:val="24"/>
                <w:szCs w:val="24"/>
                <w:u w:val="none"/>
                <w:lang w:val="en-US" w:eastAsia="zh-CN"/>
              </w:rPr>
              <w:t>83万套</w:t>
            </w:r>
          </w:p>
          <w:p w14:paraId="69179CA7">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u w:val="none"/>
                <w:vertAlign w:val="superscript"/>
                <w:lang w:val="en-US" w:eastAsia="zh-CN"/>
              </w:rPr>
            </w:pPr>
            <w:r>
              <w:rPr>
                <w:rFonts w:hint="eastAsia" w:ascii="Times New Roman" w:hAnsi="Times New Roman" w:eastAsia="宋体" w:cs="Times New Roman"/>
                <w:color w:val="auto"/>
                <w:sz w:val="24"/>
                <w:szCs w:val="24"/>
                <w:highlight w:val="none"/>
                <w:lang w:val="en-US" w:eastAsia="zh-CN"/>
              </w:rPr>
              <w:t>（7）建筑面积：1-4层共</w:t>
            </w:r>
            <w:r>
              <w:rPr>
                <w:rFonts w:hint="eastAsia" w:ascii="Times New Roman" w:hAnsi="Times New Roman" w:eastAsia="宋体" w:cs="Times New Roman"/>
                <w:color w:val="auto"/>
                <w:sz w:val="24"/>
                <w:szCs w:val="24"/>
                <w:highlight w:val="none"/>
                <w:u w:val="none"/>
                <w:lang w:val="en-US" w:eastAsia="zh-CN"/>
              </w:rPr>
              <w:t>3515.66</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2</w:t>
            </w:r>
          </w:p>
          <w:p w14:paraId="63920DA6">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u w:val="none"/>
                <w:vertAlign w:val="baseline"/>
                <w:lang w:val="en-US" w:eastAsia="zh-CN"/>
              </w:rPr>
            </w:pPr>
            <w:r>
              <w:rPr>
                <w:rFonts w:hint="eastAsia" w:ascii="Times New Roman" w:hAnsi="Times New Roman" w:eastAsia="宋体" w:cs="Times New Roman"/>
                <w:color w:val="auto"/>
                <w:sz w:val="24"/>
                <w:szCs w:val="24"/>
                <w:highlight w:val="none"/>
                <w:u w:val="none"/>
                <w:vertAlign w:val="baseline"/>
                <w:lang w:val="en-US" w:eastAsia="zh-CN"/>
              </w:rPr>
              <w:t>（8）工作制度：年生产300天，双班制，每班12小时；</w:t>
            </w:r>
          </w:p>
          <w:p w14:paraId="53A3EADE">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u w:val="none"/>
                <w:vertAlign w:val="baseline"/>
                <w:lang w:val="en-US" w:eastAsia="zh-CN"/>
              </w:rPr>
            </w:pPr>
            <w:r>
              <w:rPr>
                <w:rFonts w:hint="eastAsia" w:ascii="Times New Roman" w:hAnsi="Times New Roman" w:eastAsia="宋体" w:cs="Times New Roman"/>
                <w:color w:val="auto"/>
                <w:sz w:val="24"/>
                <w:szCs w:val="24"/>
                <w:highlight w:val="none"/>
                <w:u w:val="none"/>
                <w:vertAlign w:val="baseline"/>
                <w:lang w:val="en-US" w:eastAsia="zh-CN"/>
              </w:rPr>
              <w:t>（9）劳动定员：职工30人，均不在厂食宿</w:t>
            </w:r>
          </w:p>
          <w:p w14:paraId="4175C1D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24" w:name="_Toc3093"/>
            <w:r>
              <w:rPr>
                <w:rFonts w:hint="default" w:ascii="Times New Roman" w:hAnsi="Times New Roman" w:eastAsia="宋体" w:cs="Times New Roman"/>
                <w:b/>
                <w:bCs/>
                <w:color w:val="auto"/>
                <w:sz w:val="24"/>
                <w:szCs w:val="24"/>
                <w:u w:val="none"/>
                <w:lang w:val="en-US" w:eastAsia="zh-CN"/>
              </w:rPr>
              <w:t>2.2.</w:t>
            </w:r>
            <w:r>
              <w:rPr>
                <w:rFonts w:hint="default" w:cs="Times New Roman"/>
                <w:b/>
                <w:bCs/>
                <w:color w:val="auto"/>
                <w:sz w:val="24"/>
                <w:szCs w:val="24"/>
                <w:u w:val="none"/>
                <w:lang w:val="en-US" w:eastAsia="zh-CN"/>
              </w:rPr>
              <w:t>3</w:t>
            </w:r>
            <w:r>
              <w:rPr>
                <w:rFonts w:hint="default" w:ascii="Times New Roman" w:hAnsi="Times New Roman" w:eastAsia="宋体" w:cs="Times New Roman"/>
                <w:b/>
                <w:bCs/>
                <w:color w:val="auto"/>
                <w:sz w:val="24"/>
                <w:szCs w:val="24"/>
                <w:u w:val="none"/>
                <w:lang w:val="en-US" w:eastAsia="zh-CN"/>
              </w:rPr>
              <w:t xml:space="preserve"> </w:t>
            </w:r>
            <w:r>
              <w:rPr>
                <w:rFonts w:hint="eastAsia" w:ascii="Times New Roman" w:hAnsi="Times New Roman" w:eastAsia="宋体" w:cs="Times New Roman"/>
                <w:b/>
                <w:bCs/>
                <w:color w:val="auto"/>
                <w:sz w:val="24"/>
                <w:szCs w:val="24"/>
                <w:u w:val="none"/>
                <w:lang w:val="en-US" w:eastAsia="zh-CN"/>
              </w:rPr>
              <w:t>项目工程组成及建设内容</w:t>
            </w:r>
            <w:bookmarkEnd w:id="24"/>
          </w:p>
          <w:p w14:paraId="1E6FF825">
            <w:pPr>
              <w:keepNext w:val="0"/>
              <w:keepLines w:val="0"/>
              <w:pageBreakBefore w:val="0"/>
              <w:kinsoku/>
              <w:wordWrap/>
              <w:overflowPunct/>
              <w:topLinePunct w:val="0"/>
              <w:autoSpaceDE/>
              <w:autoSpaceDN/>
              <w:bidi w:val="0"/>
              <w:adjustRightInd w:val="0"/>
              <w:snapToGrid w:val="0"/>
              <w:spacing w:line="240" w:lineRule="auto"/>
              <w:ind w:left="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项目工程组成及建设内容详见表2.2-1。</w:t>
            </w:r>
          </w:p>
          <w:p w14:paraId="7B90496A">
            <w:pPr>
              <w:keepNext w:val="0"/>
              <w:keepLines w:val="0"/>
              <w:pageBreakBefore w:val="0"/>
              <w:widowControl w:val="0"/>
              <w:kinsoku/>
              <w:wordWrap/>
              <w:overflowPunct/>
              <w:topLinePunct w:val="0"/>
              <w:autoSpaceDE/>
              <w:autoSpaceDN/>
              <w:bidi w:val="0"/>
              <w:adjustRightInd w:val="0"/>
              <w:snapToGrid w:val="0"/>
              <w:spacing w:before="160" w:beforeLines="50" w:line="240" w:lineRule="auto"/>
              <w:ind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表2.2-1 项目工程组成及建设内容一览表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6"/>
              <w:gridCol w:w="420"/>
              <w:gridCol w:w="1635"/>
              <w:gridCol w:w="4663"/>
              <w:gridCol w:w="1144"/>
            </w:tblGrid>
            <w:tr w14:paraId="038DEA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17" w:type="pct"/>
                  <w:tcBorders>
                    <w:tl2br w:val="nil"/>
                    <w:tr2bl w:val="nil"/>
                  </w:tcBorders>
                  <w:vAlign w:val="center"/>
                </w:tcPr>
                <w:p w14:paraId="56F86EF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工程类别</w:t>
                  </w:r>
                </w:p>
              </w:tc>
              <w:tc>
                <w:tcPr>
                  <w:tcW w:w="1197" w:type="pct"/>
                  <w:gridSpan w:val="2"/>
                  <w:tcBorders>
                    <w:tl2br w:val="nil"/>
                    <w:tr2bl w:val="nil"/>
                  </w:tcBorders>
                  <w:vAlign w:val="center"/>
                </w:tcPr>
                <w:p w14:paraId="5817625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项目组成</w:t>
                  </w:r>
                </w:p>
              </w:tc>
              <w:tc>
                <w:tcPr>
                  <w:tcW w:w="2717" w:type="pct"/>
                  <w:tcBorders>
                    <w:tl2br w:val="nil"/>
                    <w:tr2bl w:val="nil"/>
                  </w:tcBorders>
                  <w:vAlign w:val="center"/>
                </w:tcPr>
                <w:p w14:paraId="36E0E85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工程规模和内容</w:t>
                  </w:r>
                </w:p>
              </w:tc>
              <w:tc>
                <w:tcPr>
                  <w:tcW w:w="666" w:type="pct"/>
                  <w:tcBorders>
                    <w:tl2br w:val="nil"/>
                    <w:tr2bl w:val="nil"/>
                  </w:tcBorders>
                  <w:vAlign w:val="center"/>
                </w:tcPr>
                <w:p w14:paraId="1D5ED67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备注</w:t>
                  </w:r>
                </w:p>
              </w:tc>
            </w:tr>
            <w:tr w14:paraId="45821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417" w:type="pct"/>
                  <w:tcBorders>
                    <w:tl2br w:val="nil"/>
                    <w:tr2bl w:val="nil"/>
                  </w:tcBorders>
                  <w:vAlign w:val="center"/>
                </w:tcPr>
                <w:p w14:paraId="0987798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主体工程</w:t>
                  </w:r>
                </w:p>
              </w:tc>
              <w:tc>
                <w:tcPr>
                  <w:tcW w:w="1197" w:type="pct"/>
                  <w:gridSpan w:val="2"/>
                  <w:tcBorders>
                    <w:tl2br w:val="nil"/>
                    <w:tr2bl w:val="nil"/>
                  </w:tcBorders>
                  <w:vAlign w:val="center"/>
                </w:tcPr>
                <w:p w14:paraId="27474FE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一层</w:t>
                  </w:r>
                  <w:r>
                    <w:rPr>
                      <w:rFonts w:hint="eastAsia" w:cs="Times New Roman"/>
                      <w:color w:val="auto"/>
                      <w:sz w:val="21"/>
                      <w:szCs w:val="21"/>
                      <w:highlight w:val="none"/>
                      <w:vertAlign w:val="baseline"/>
                      <w:lang w:val="en-US" w:eastAsia="zh-CN"/>
                    </w:rPr>
                    <w:t>为项目</w:t>
                  </w:r>
                  <w:r>
                    <w:rPr>
                      <w:rFonts w:hint="eastAsia" w:ascii="Times New Roman" w:hAnsi="Times New Roman" w:eastAsia="宋体" w:cs="Times New Roman"/>
                      <w:color w:val="auto"/>
                      <w:sz w:val="21"/>
                      <w:szCs w:val="21"/>
                      <w:highlight w:val="none"/>
                      <w:vertAlign w:val="baseline"/>
                      <w:lang w:val="en-US" w:eastAsia="zh-CN"/>
                    </w:rPr>
                    <w:t>汽车塑料配件生产线</w:t>
                  </w:r>
                </w:p>
              </w:tc>
              <w:tc>
                <w:tcPr>
                  <w:tcW w:w="2717" w:type="pct"/>
                  <w:tcBorders>
                    <w:tl2br w:val="nil"/>
                    <w:tr2bl w:val="nil"/>
                  </w:tcBorders>
                  <w:vAlign w:val="center"/>
                </w:tcPr>
                <w:p w14:paraId="4B5088B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购置注塑机、</w:t>
                  </w:r>
                  <w:r>
                    <w:rPr>
                      <w:rFonts w:hint="eastAsia" w:cs="Times New Roman"/>
                      <w:color w:val="auto"/>
                      <w:sz w:val="21"/>
                      <w:szCs w:val="21"/>
                      <w:highlight w:val="none"/>
                      <w:vertAlign w:val="baseline"/>
                      <w:lang w:val="en-US" w:eastAsia="zh-CN"/>
                    </w:rPr>
                    <w:t>破碎机</w:t>
                  </w:r>
                  <w:r>
                    <w:rPr>
                      <w:rFonts w:hint="eastAsia" w:ascii="Times New Roman" w:hAnsi="Times New Roman" w:eastAsia="宋体" w:cs="Times New Roman"/>
                      <w:color w:val="auto"/>
                      <w:sz w:val="21"/>
                      <w:szCs w:val="21"/>
                      <w:highlight w:val="none"/>
                      <w:vertAlign w:val="baseline"/>
                      <w:lang w:val="en-US" w:eastAsia="zh-CN"/>
                    </w:rPr>
                    <w:t>等设备，建设汽车塑料配件生产线1条，项目建成后可实现年产汽车塑料配件83万套</w:t>
                  </w:r>
                </w:p>
              </w:tc>
              <w:tc>
                <w:tcPr>
                  <w:tcW w:w="666" w:type="pct"/>
                  <w:tcBorders>
                    <w:tl2br w:val="nil"/>
                    <w:tr2bl w:val="nil"/>
                  </w:tcBorders>
                  <w:vAlign w:val="center"/>
                </w:tcPr>
                <w:p w14:paraId="343A2A1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依托已建厂房</w:t>
                  </w:r>
                </w:p>
              </w:tc>
            </w:tr>
            <w:tr w14:paraId="01DC8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417" w:type="pct"/>
                  <w:vMerge w:val="restart"/>
                  <w:tcBorders>
                    <w:tl2br w:val="nil"/>
                    <w:tr2bl w:val="nil"/>
                  </w:tcBorders>
                  <w:vAlign w:val="center"/>
                </w:tcPr>
                <w:p w14:paraId="305CC01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辅助工程</w:t>
                  </w:r>
                </w:p>
              </w:tc>
              <w:tc>
                <w:tcPr>
                  <w:tcW w:w="1197" w:type="pct"/>
                  <w:gridSpan w:val="2"/>
                  <w:tcBorders>
                    <w:tl2br w:val="nil"/>
                    <w:tr2bl w:val="nil"/>
                  </w:tcBorders>
                  <w:vAlign w:val="center"/>
                </w:tcPr>
                <w:p w14:paraId="2B03628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成品区</w:t>
                  </w:r>
                </w:p>
              </w:tc>
              <w:tc>
                <w:tcPr>
                  <w:tcW w:w="2717" w:type="pct"/>
                  <w:tcBorders>
                    <w:tl2br w:val="nil"/>
                    <w:tr2bl w:val="nil"/>
                  </w:tcBorders>
                  <w:vAlign w:val="center"/>
                </w:tcPr>
                <w:p w14:paraId="5C8931F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位于厂房3层西侧，用于成品堆放</w:t>
                  </w:r>
                </w:p>
              </w:tc>
              <w:tc>
                <w:tcPr>
                  <w:tcW w:w="666" w:type="pct"/>
                  <w:vMerge w:val="restart"/>
                  <w:tcBorders>
                    <w:tl2br w:val="nil"/>
                    <w:tr2bl w:val="nil"/>
                  </w:tcBorders>
                  <w:vAlign w:val="center"/>
                </w:tcPr>
                <w:p w14:paraId="7A6B69D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依托已建厂房</w:t>
                  </w:r>
                </w:p>
              </w:tc>
            </w:tr>
            <w:tr w14:paraId="5A1A9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17" w:type="pct"/>
                  <w:vMerge w:val="continue"/>
                  <w:tcBorders>
                    <w:tl2br w:val="nil"/>
                    <w:tr2bl w:val="nil"/>
                  </w:tcBorders>
                  <w:vAlign w:val="center"/>
                </w:tcPr>
                <w:p w14:paraId="758FFAD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97" w:type="pct"/>
                  <w:gridSpan w:val="2"/>
                  <w:tcBorders>
                    <w:tl2br w:val="nil"/>
                    <w:tr2bl w:val="nil"/>
                  </w:tcBorders>
                  <w:vAlign w:val="center"/>
                </w:tcPr>
                <w:p w14:paraId="04E230B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原辅料区</w:t>
                  </w:r>
                </w:p>
              </w:tc>
              <w:tc>
                <w:tcPr>
                  <w:tcW w:w="2717" w:type="pct"/>
                  <w:tcBorders>
                    <w:tl2br w:val="nil"/>
                    <w:tr2bl w:val="nil"/>
                  </w:tcBorders>
                  <w:vAlign w:val="center"/>
                </w:tcPr>
                <w:p w14:paraId="20D813E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位于厂房3层东侧，用于原辅料堆放</w:t>
                  </w:r>
                </w:p>
              </w:tc>
              <w:tc>
                <w:tcPr>
                  <w:tcW w:w="666" w:type="pct"/>
                  <w:vMerge w:val="continue"/>
                  <w:tcBorders>
                    <w:tl2br w:val="nil"/>
                    <w:tr2bl w:val="nil"/>
                  </w:tcBorders>
                  <w:vAlign w:val="center"/>
                </w:tcPr>
                <w:p w14:paraId="701DFCA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07007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417" w:type="pct"/>
                  <w:vMerge w:val="continue"/>
                  <w:tcBorders>
                    <w:tl2br w:val="nil"/>
                    <w:tr2bl w:val="nil"/>
                  </w:tcBorders>
                  <w:vAlign w:val="center"/>
                </w:tcPr>
                <w:p w14:paraId="0747330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97" w:type="pct"/>
                  <w:gridSpan w:val="2"/>
                  <w:tcBorders>
                    <w:tl2br w:val="nil"/>
                    <w:tr2bl w:val="nil"/>
                  </w:tcBorders>
                  <w:vAlign w:val="center"/>
                </w:tcPr>
                <w:p w14:paraId="707FA03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办公区</w:t>
                  </w:r>
                </w:p>
              </w:tc>
              <w:tc>
                <w:tcPr>
                  <w:tcW w:w="2717" w:type="pct"/>
                  <w:tcBorders>
                    <w:tl2br w:val="nil"/>
                    <w:tr2bl w:val="nil"/>
                  </w:tcBorders>
                  <w:vAlign w:val="center"/>
                </w:tcPr>
                <w:p w14:paraId="54C453F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位于厂房4层</w:t>
                  </w:r>
                </w:p>
              </w:tc>
              <w:tc>
                <w:tcPr>
                  <w:tcW w:w="666" w:type="pct"/>
                  <w:vMerge w:val="continue"/>
                  <w:tcBorders>
                    <w:tl2br w:val="nil"/>
                    <w:tr2bl w:val="nil"/>
                  </w:tcBorders>
                  <w:vAlign w:val="center"/>
                </w:tcPr>
                <w:p w14:paraId="44B3914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719CB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417" w:type="pct"/>
                  <w:vMerge w:val="restart"/>
                  <w:tcBorders>
                    <w:tl2br w:val="nil"/>
                    <w:tr2bl w:val="nil"/>
                  </w:tcBorders>
                  <w:vAlign w:val="center"/>
                </w:tcPr>
                <w:p w14:paraId="0426A10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公用工程</w:t>
                  </w:r>
                </w:p>
              </w:tc>
              <w:tc>
                <w:tcPr>
                  <w:tcW w:w="1197" w:type="pct"/>
                  <w:gridSpan w:val="2"/>
                  <w:tcBorders>
                    <w:tl2br w:val="nil"/>
                    <w:tr2bl w:val="nil"/>
                  </w:tcBorders>
                  <w:shd w:val="clear" w:color="auto" w:fill="auto"/>
                  <w:vAlign w:val="center"/>
                </w:tcPr>
                <w:p w14:paraId="49021727">
                  <w:pPr>
                    <w:snapToGrid w:val="0"/>
                    <w:spacing w:line="240" w:lineRule="atLeast"/>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auto"/>
                      <w:szCs w:val="21"/>
                    </w:rPr>
                    <w:t>供水</w:t>
                  </w:r>
                </w:p>
              </w:tc>
              <w:tc>
                <w:tcPr>
                  <w:tcW w:w="2717" w:type="pct"/>
                  <w:tcBorders>
                    <w:tl2br w:val="nil"/>
                    <w:tr2bl w:val="nil"/>
                  </w:tcBorders>
                  <w:vAlign w:val="center"/>
                </w:tcPr>
                <w:p w14:paraId="78DF3DB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olor w:val="000000"/>
                      <w:szCs w:val="21"/>
                    </w:rPr>
                    <w:t>项目生产生活用水由市政生活用水管网直接供给</w:t>
                  </w:r>
                </w:p>
              </w:tc>
              <w:tc>
                <w:tcPr>
                  <w:tcW w:w="666" w:type="pct"/>
                  <w:tcBorders>
                    <w:tl2br w:val="nil"/>
                    <w:tr2bl w:val="nil"/>
                  </w:tcBorders>
                  <w:vAlign w:val="center"/>
                </w:tcPr>
                <w:p w14:paraId="2D6E67A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依托现有</w:t>
                  </w:r>
                </w:p>
              </w:tc>
            </w:tr>
            <w:tr w14:paraId="587B9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417" w:type="pct"/>
                  <w:vMerge w:val="continue"/>
                  <w:tcBorders>
                    <w:tl2br w:val="nil"/>
                    <w:tr2bl w:val="nil"/>
                  </w:tcBorders>
                  <w:vAlign w:val="center"/>
                </w:tcPr>
                <w:p w14:paraId="19634C6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197" w:type="pct"/>
                  <w:gridSpan w:val="2"/>
                  <w:tcBorders>
                    <w:tl2br w:val="nil"/>
                    <w:tr2bl w:val="nil"/>
                  </w:tcBorders>
                  <w:shd w:val="clear" w:color="auto" w:fill="auto"/>
                  <w:vAlign w:val="center"/>
                </w:tcPr>
                <w:p w14:paraId="39282D1C">
                  <w:pPr>
                    <w:snapToGrid w:val="0"/>
                    <w:spacing w:line="240" w:lineRule="atLeast"/>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auto"/>
                      <w:szCs w:val="21"/>
                    </w:rPr>
                    <w:t>排水</w:t>
                  </w:r>
                </w:p>
              </w:tc>
              <w:tc>
                <w:tcPr>
                  <w:tcW w:w="2717" w:type="pct"/>
                  <w:tcBorders>
                    <w:tl2br w:val="nil"/>
                    <w:tr2bl w:val="nil"/>
                  </w:tcBorders>
                  <w:vAlign w:val="center"/>
                </w:tcPr>
                <w:p w14:paraId="3C03B73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项目采用“雨污分流、清污分流”，生产过程中</w:t>
                  </w:r>
                  <w:r>
                    <w:rPr>
                      <w:rFonts w:hint="eastAsia" w:cs="Times New Roman"/>
                      <w:color w:val="auto"/>
                      <w:sz w:val="21"/>
                      <w:szCs w:val="21"/>
                      <w:highlight w:val="none"/>
                      <w:vertAlign w:val="baseline"/>
                      <w:lang w:val="en-US" w:eastAsia="zh-CN"/>
                    </w:rPr>
                    <w:t>冷却水循环使用不外排</w:t>
                  </w:r>
                  <w:r>
                    <w:rPr>
                      <w:rFonts w:hint="eastAsia" w:ascii="Times New Roman" w:hAnsi="Times New Roman" w:eastAsia="宋体" w:cs="Times New Roman"/>
                      <w:color w:val="auto"/>
                      <w:sz w:val="21"/>
                      <w:szCs w:val="21"/>
                      <w:highlight w:val="none"/>
                      <w:vertAlign w:val="baseline"/>
                      <w:lang w:val="en-US" w:eastAsia="zh-CN"/>
                    </w:rPr>
                    <w:t>；职工生活污水经园区内已建化粪池预处理后，接入市政污水管网，纳入福清融元污水处理厂统一处理，尾水排入龙江。</w:t>
                  </w:r>
                </w:p>
              </w:tc>
              <w:tc>
                <w:tcPr>
                  <w:tcW w:w="666" w:type="pct"/>
                  <w:tcBorders>
                    <w:tl2br w:val="nil"/>
                    <w:tr2bl w:val="nil"/>
                  </w:tcBorders>
                  <w:shd w:val="clear" w:color="auto" w:fill="auto"/>
                  <w:vAlign w:val="center"/>
                </w:tcPr>
                <w:p w14:paraId="2871D72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依托现有</w:t>
                  </w:r>
                </w:p>
              </w:tc>
            </w:tr>
            <w:tr w14:paraId="3AFA4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417" w:type="pct"/>
                  <w:vMerge w:val="continue"/>
                  <w:tcBorders>
                    <w:tl2br w:val="nil"/>
                    <w:tr2bl w:val="nil"/>
                  </w:tcBorders>
                  <w:vAlign w:val="center"/>
                </w:tcPr>
                <w:p w14:paraId="5511B0F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197" w:type="pct"/>
                  <w:gridSpan w:val="2"/>
                  <w:tcBorders>
                    <w:tl2br w:val="nil"/>
                    <w:tr2bl w:val="nil"/>
                  </w:tcBorders>
                  <w:shd w:val="clear" w:color="auto" w:fill="auto"/>
                  <w:vAlign w:val="center"/>
                </w:tcPr>
                <w:p w14:paraId="4A041062">
                  <w:pPr>
                    <w:snapToGrid w:val="0"/>
                    <w:spacing w:line="240" w:lineRule="atLeast"/>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auto"/>
                      <w:szCs w:val="21"/>
                    </w:rPr>
                    <w:t>供电</w:t>
                  </w:r>
                </w:p>
              </w:tc>
              <w:tc>
                <w:tcPr>
                  <w:tcW w:w="2717" w:type="pct"/>
                  <w:tcBorders>
                    <w:tl2br w:val="nil"/>
                    <w:tr2bl w:val="nil"/>
                  </w:tcBorders>
                  <w:vAlign w:val="center"/>
                </w:tcPr>
                <w:p w14:paraId="3E02170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接市政供电系统</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依托厂区内现有的供电系统</w:t>
                  </w:r>
                </w:p>
              </w:tc>
              <w:tc>
                <w:tcPr>
                  <w:tcW w:w="666" w:type="pct"/>
                  <w:tcBorders>
                    <w:tl2br w:val="nil"/>
                    <w:tr2bl w:val="nil"/>
                  </w:tcBorders>
                  <w:vAlign w:val="center"/>
                </w:tcPr>
                <w:p w14:paraId="61588D7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依托现有</w:t>
                  </w:r>
                </w:p>
              </w:tc>
            </w:tr>
            <w:tr w14:paraId="26520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Merge w:val="restart"/>
                  <w:tcBorders>
                    <w:tl2br w:val="nil"/>
                    <w:tr2bl w:val="nil"/>
                  </w:tcBorders>
                  <w:vAlign w:val="center"/>
                </w:tcPr>
                <w:p w14:paraId="625B724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环保工程</w:t>
                  </w:r>
                </w:p>
              </w:tc>
              <w:tc>
                <w:tcPr>
                  <w:tcW w:w="1197" w:type="pct"/>
                  <w:gridSpan w:val="2"/>
                  <w:tcBorders>
                    <w:tl2br w:val="nil"/>
                    <w:tr2bl w:val="nil"/>
                  </w:tcBorders>
                  <w:vAlign w:val="center"/>
                </w:tcPr>
                <w:p w14:paraId="6DFC32D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废水治理</w:t>
                  </w:r>
                </w:p>
              </w:tc>
              <w:tc>
                <w:tcPr>
                  <w:tcW w:w="2717" w:type="pct"/>
                  <w:tcBorders>
                    <w:tl2br w:val="nil"/>
                    <w:tr2bl w:val="nil"/>
                  </w:tcBorders>
                  <w:vAlign w:val="center"/>
                </w:tcPr>
                <w:p w14:paraId="4BFD9C2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职工生活污水经园区内已建化粪池预处理后，接入市政污水管网，纳入福清融元污水处理厂统一处理，尾水排入龙江。</w:t>
                  </w:r>
                </w:p>
              </w:tc>
              <w:tc>
                <w:tcPr>
                  <w:tcW w:w="666" w:type="pct"/>
                  <w:tcBorders>
                    <w:tl2br w:val="nil"/>
                    <w:tr2bl w:val="nil"/>
                  </w:tcBorders>
                  <w:vAlign w:val="center"/>
                </w:tcPr>
                <w:p w14:paraId="73B0101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依托现有化粪池</w:t>
                  </w:r>
                </w:p>
              </w:tc>
            </w:tr>
            <w:tr w14:paraId="065F2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417" w:type="pct"/>
                  <w:vMerge w:val="continue"/>
                  <w:tcBorders>
                    <w:tl2br w:val="nil"/>
                    <w:tr2bl w:val="nil"/>
                  </w:tcBorders>
                  <w:vAlign w:val="center"/>
                </w:tcPr>
                <w:p w14:paraId="389D17F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244" w:type="pct"/>
                  <w:vMerge w:val="restart"/>
                  <w:tcBorders>
                    <w:tl2br w:val="nil"/>
                    <w:tr2bl w:val="nil"/>
                  </w:tcBorders>
                  <w:vAlign w:val="center"/>
                </w:tcPr>
                <w:p w14:paraId="046F05D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废气治理</w:t>
                  </w:r>
                </w:p>
              </w:tc>
              <w:tc>
                <w:tcPr>
                  <w:tcW w:w="953" w:type="pct"/>
                  <w:tcBorders>
                    <w:tl2br w:val="nil"/>
                    <w:tr2bl w:val="nil"/>
                  </w:tcBorders>
                  <w:vAlign w:val="center"/>
                </w:tcPr>
                <w:p w14:paraId="707845E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非甲烷总烃（VOCs）</w:t>
                  </w:r>
                  <w:r>
                    <w:rPr>
                      <w:rFonts w:hint="eastAsia" w:cs="Times New Roman"/>
                      <w:color w:val="auto"/>
                      <w:sz w:val="21"/>
                      <w:szCs w:val="21"/>
                      <w:highlight w:val="none"/>
                      <w:vertAlign w:val="baseline"/>
                      <w:lang w:val="en-US" w:eastAsia="zh-CN"/>
                    </w:rPr>
                    <w:t>、</w:t>
                  </w:r>
                  <w:r>
                    <w:rPr>
                      <w:rFonts w:hint="eastAsia" w:cs="Times New Roman"/>
                      <w:bCs/>
                      <w:color w:val="auto"/>
                      <w:kern w:val="2"/>
                      <w:sz w:val="21"/>
                      <w:szCs w:val="21"/>
                      <w:lang w:val="en-US" w:eastAsia="zh-CN" w:bidi="ar-SA"/>
                    </w:rPr>
                    <w:t>苯乙烯、丙烯腈、1,3-丁二烯、甲苯、乙苯</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臭气浓度</w:t>
                  </w:r>
                </w:p>
              </w:tc>
              <w:tc>
                <w:tcPr>
                  <w:tcW w:w="2717" w:type="pct"/>
                  <w:tcBorders>
                    <w:tl2br w:val="nil"/>
                    <w:tr2bl w:val="nil"/>
                  </w:tcBorders>
                  <w:vAlign w:val="center"/>
                </w:tcPr>
                <w:p w14:paraId="0503060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注塑废气通过集气罩收集后由一套“</w:t>
                  </w:r>
                  <w:r>
                    <w:rPr>
                      <w:rFonts w:hint="eastAsia" w:cs="Times New Roman"/>
                      <w:color w:val="auto"/>
                      <w:sz w:val="21"/>
                      <w:szCs w:val="21"/>
                      <w:highlight w:val="none"/>
                      <w:vertAlign w:val="baseline"/>
                      <w:lang w:val="en-US" w:eastAsia="zh-CN"/>
                    </w:rPr>
                    <w:t>二级</w:t>
                  </w:r>
                  <w:r>
                    <w:rPr>
                      <w:rFonts w:hint="eastAsia" w:ascii="Times New Roman" w:hAnsi="Times New Roman" w:eastAsia="宋体" w:cs="Times New Roman"/>
                      <w:color w:val="auto"/>
                      <w:sz w:val="21"/>
                      <w:szCs w:val="21"/>
                      <w:highlight w:val="none"/>
                      <w:vertAlign w:val="baseline"/>
                      <w:lang w:val="en-US" w:eastAsia="zh-CN"/>
                    </w:rPr>
                    <w:t>活性炭吸附装置”</w:t>
                  </w:r>
                  <w:r>
                    <w:rPr>
                      <w:rFonts w:hint="eastAsia" w:cs="Times New Roman"/>
                      <w:color w:val="auto"/>
                      <w:sz w:val="21"/>
                      <w:szCs w:val="21"/>
                      <w:highlight w:val="none"/>
                      <w:vertAlign w:val="baseline"/>
                      <w:lang w:val="en-US" w:eastAsia="zh-CN"/>
                    </w:rPr>
                    <w:t>（TA001）</w:t>
                  </w:r>
                  <w:r>
                    <w:rPr>
                      <w:rFonts w:hint="eastAsia" w:ascii="Times New Roman" w:hAnsi="Times New Roman" w:eastAsia="宋体" w:cs="Times New Roman"/>
                      <w:color w:val="auto"/>
                      <w:sz w:val="21"/>
                      <w:szCs w:val="21"/>
                      <w:highlight w:val="none"/>
                      <w:vertAlign w:val="baseline"/>
                      <w:lang w:val="en-US" w:eastAsia="zh-CN"/>
                    </w:rPr>
                    <w:t>处理后，通过1根15</w:t>
                  </w:r>
                  <w:r>
                    <w:rPr>
                      <w:rFonts w:hint="eastAsia" w:cs="Times New Roman"/>
                      <w:color w:val="auto"/>
                      <w:sz w:val="21"/>
                      <w:szCs w:val="21"/>
                      <w:highlight w:val="none"/>
                      <w:vertAlign w:val="baseline"/>
                      <w:lang w:val="en-US" w:eastAsia="zh-CN"/>
                    </w:rPr>
                    <w:t>m</w:t>
                  </w:r>
                  <w:r>
                    <w:rPr>
                      <w:rFonts w:hint="eastAsia" w:ascii="Times New Roman" w:hAnsi="Times New Roman" w:eastAsia="宋体" w:cs="Times New Roman"/>
                      <w:color w:val="auto"/>
                      <w:sz w:val="21"/>
                      <w:szCs w:val="21"/>
                      <w:highlight w:val="none"/>
                      <w:vertAlign w:val="baseline"/>
                      <w:lang w:val="en-US" w:eastAsia="zh-CN"/>
                    </w:rPr>
                    <w:t>高排气筒</w:t>
                  </w:r>
                  <w:r>
                    <w:rPr>
                      <w:rFonts w:hint="eastAsia"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DA00</w:t>
                  </w:r>
                  <w:r>
                    <w:rPr>
                      <w:rFonts w:hint="eastAsia" w:cs="Times New Roman"/>
                      <w:color w:val="auto"/>
                      <w:sz w:val="21"/>
                      <w:szCs w:val="21"/>
                      <w:highlight w:val="none"/>
                      <w:vertAlign w:val="baseline"/>
                      <w:lang w:val="en-US" w:eastAsia="zh-CN"/>
                    </w:rPr>
                    <w:t>1）</w:t>
                  </w:r>
                  <w:r>
                    <w:rPr>
                      <w:rFonts w:hint="eastAsia" w:ascii="Times New Roman" w:hAnsi="Times New Roman" w:eastAsia="宋体" w:cs="Times New Roman"/>
                      <w:color w:val="auto"/>
                      <w:sz w:val="21"/>
                      <w:szCs w:val="21"/>
                      <w:highlight w:val="none"/>
                      <w:vertAlign w:val="baseline"/>
                      <w:lang w:val="en-US" w:eastAsia="zh-CN"/>
                    </w:rPr>
                    <w:t>排放</w:t>
                  </w:r>
                </w:p>
              </w:tc>
              <w:tc>
                <w:tcPr>
                  <w:tcW w:w="666" w:type="pct"/>
                  <w:tcBorders>
                    <w:tl2br w:val="nil"/>
                    <w:tr2bl w:val="nil"/>
                  </w:tcBorders>
                  <w:vAlign w:val="center"/>
                </w:tcPr>
                <w:p w14:paraId="1F0301A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本次新建</w:t>
                  </w:r>
                </w:p>
              </w:tc>
            </w:tr>
            <w:tr w14:paraId="65B25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417" w:type="pct"/>
                  <w:vMerge w:val="continue"/>
                  <w:tcBorders>
                    <w:tl2br w:val="nil"/>
                    <w:tr2bl w:val="nil"/>
                  </w:tcBorders>
                  <w:vAlign w:val="center"/>
                </w:tcPr>
                <w:p w14:paraId="20D6357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244" w:type="pct"/>
                  <w:vMerge w:val="continue"/>
                  <w:tcBorders>
                    <w:tl2br w:val="nil"/>
                    <w:tr2bl w:val="nil"/>
                  </w:tcBorders>
                  <w:vAlign w:val="center"/>
                </w:tcPr>
                <w:p w14:paraId="5E9F018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953" w:type="pct"/>
                  <w:tcBorders>
                    <w:tl2br w:val="nil"/>
                    <w:tr2bl w:val="nil"/>
                  </w:tcBorders>
                  <w:vAlign w:val="center"/>
                </w:tcPr>
                <w:p w14:paraId="7771269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颗粒物</w:t>
                  </w:r>
                </w:p>
              </w:tc>
              <w:tc>
                <w:tcPr>
                  <w:tcW w:w="2717" w:type="pct"/>
                  <w:tcBorders>
                    <w:tl2br w:val="nil"/>
                    <w:tr2bl w:val="nil"/>
                  </w:tcBorders>
                  <w:vAlign w:val="center"/>
                </w:tcPr>
                <w:p w14:paraId="662B151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不合格产品破碎所产生的颗粒物粉尘</w:t>
                  </w:r>
                  <w:r>
                    <w:rPr>
                      <w:rFonts w:hint="eastAsia" w:ascii="Times New Roman" w:hAnsi="Times New Roman" w:eastAsia="宋体" w:cs="Times New Roman"/>
                      <w:color w:val="auto"/>
                      <w:sz w:val="21"/>
                      <w:szCs w:val="21"/>
                      <w:highlight w:val="none"/>
                      <w:vertAlign w:val="baseline"/>
                      <w:lang w:val="en-US" w:eastAsia="zh-CN"/>
                    </w:rPr>
                    <w:t>通过集气罩收集后由布袋除尘器</w:t>
                  </w:r>
                  <w:r>
                    <w:rPr>
                      <w:rFonts w:hint="eastAsia" w:cs="Times New Roman"/>
                      <w:color w:val="auto"/>
                      <w:sz w:val="21"/>
                      <w:szCs w:val="21"/>
                      <w:highlight w:val="none"/>
                      <w:vertAlign w:val="baseline"/>
                      <w:lang w:val="en-US" w:eastAsia="zh-CN"/>
                    </w:rPr>
                    <w:t>（T</w:t>
                  </w:r>
                  <w:r>
                    <w:rPr>
                      <w:rFonts w:hint="eastAsia" w:ascii="Times New Roman" w:hAnsi="Times New Roman" w:eastAsia="宋体" w:cs="Times New Roman"/>
                      <w:b w:val="0"/>
                      <w:bCs/>
                      <w:color w:val="auto"/>
                      <w:sz w:val="21"/>
                      <w:szCs w:val="21"/>
                      <w:highlight w:val="none"/>
                      <w:u w:val="none"/>
                      <w:lang w:val="en-US" w:eastAsia="zh-CN"/>
                    </w:rPr>
                    <w:t>A00</w:t>
                  </w:r>
                  <w:r>
                    <w:rPr>
                      <w:rFonts w:hint="eastAsia" w:cs="Times New Roman"/>
                      <w:b w:val="0"/>
                      <w:bCs/>
                      <w:color w:val="auto"/>
                      <w:sz w:val="21"/>
                      <w:szCs w:val="21"/>
                      <w:highlight w:val="none"/>
                      <w:u w:val="none"/>
                      <w:lang w:val="en-US" w:eastAsia="zh-CN"/>
                    </w:rPr>
                    <w:t>2</w:t>
                  </w:r>
                  <w:r>
                    <w:rPr>
                      <w:rFonts w:hint="eastAsia"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处理后并入15</w:t>
                  </w:r>
                  <w:r>
                    <w:rPr>
                      <w:rFonts w:hint="eastAsia" w:cs="Times New Roman"/>
                      <w:color w:val="auto"/>
                      <w:sz w:val="21"/>
                      <w:szCs w:val="21"/>
                      <w:highlight w:val="none"/>
                      <w:vertAlign w:val="baseline"/>
                      <w:lang w:val="en-US" w:eastAsia="zh-CN"/>
                    </w:rPr>
                    <w:t>m</w:t>
                  </w:r>
                  <w:r>
                    <w:rPr>
                      <w:rFonts w:hint="eastAsia" w:ascii="Times New Roman" w:hAnsi="Times New Roman" w:eastAsia="宋体" w:cs="Times New Roman"/>
                      <w:color w:val="auto"/>
                      <w:sz w:val="21"/>
                      <w:szCs w:val="21"/>
                      <w:highlight w:val="none"/>
                      <w:vertAlign w:val="baseline"/>
                      <w:lang w:val="en-US" w:eastAsia="zh-CN"/>
                    </w:rPr>
                    <w:t>高排气筒</w:t>
                  </w:r>
                  <w:r>
                    <w:rPr>
                      <w:rFonts w:hint="eastAsia"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DA00</w:t>
                  </w:r>
                  <w:r>
                    <w:rPr>
                      <w:rFonts w:hint="eastAsia" w:cs="Times New Roman"/>
                      <w:color w:val="auto"/>
                      <w:sz w:val="21"/>
                      <w:szCs w:val="21"/>
                      <w:highlight w:val="none"/>
                      <w:vertAlign w:val="baseline"/>
                      <w:lang w:val="en-US" w:eastAsia="zh-CN"/>
                    </w:rPr>
                    <w:t>1）</w:t>
                  </w:r>
                  <w:r>
                    <w:rPr>
                      <w:rFonts w:hint="eastAsia" w:ascii="Times New Roman" w:hAnsi="Times New Roman" w:eastAsia="宋体" w:cs="Times New Roman"/>
                      <w:color w:val="auto"/>
                      <w:sz w:val="21"/>
                      <w:szCs w:val="21"/>
                      <w:highlight w:val="none"/>
                      <w:vertAlign w:val="baseline"/>
                      <w:lang w:val="en-US" w:eastAsia="zh-CN"/>
                    </w:rPr>
                    <w:t>排放</w:t>
                  </w:r>
                </w:p>
              </w:tc>
              <w:tc>
                <w:tcPr>
                  <w:tcW w:w="666" w:type="pct"/>
                  <w:tcBorders>
                    <w:tl2br w:val="nil"/>
                    <w:tr2bl w:val="nil"/>
                  </w:tcBorders>
                  <w:vAlign w:val="center"/>
                </w:tcPr>
                <w:p w14:paraId="5BC49F3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本次新建</w:t>
                  </w:r>
                </w:p>
              </w:tc>
            </w:tr>
            <w:tr w14:paraId="0AF02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17" w:type="pct"/>
                  <w:vMerge w:val="continue"/>
                  <w:tcBorders>
                    <w:tl2br w:val="nil"/>
                    <w:tr2bl w:val="nil"/>
                  </w:tcBorders>
                  <w:vAlign w:val="center"/>
                </w:tcPr>
                <w:p w14:paraId="7963969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197" w:type="pct"/>
                  <w:gridSpan w:val="2"/>
                  <w:tcBorders>
                    <w:tl2br w:val="nil"/>
                    <w:tr2bl w:val="nil"/>
                  </w:tcBorders>
                  <w:vAlign w:val="center"/>
                </w:tcPr>
                <w:p w14:paraId="5A44EB0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噪声治理</w:t>
                  </w:r>
                </w:p>
              </w:tc>
              <w:tc>
                <w:tcPr>
                  <w:tcW w:w="2717" w:type="pct"/>
                  <w:tcBorders>
                    <w:tl2br w:val="nil"/>
                    <w:tr2bl w:val="nil"/>
                  </w:tcBorders>
                  <w:vAlign w:val="center"/>
                </w:tcPr>
                <w:p w14:paraId="4109FC7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lang w:val="en-US" w:eastAsia="zh-CN"/>
                    </w:rPr>
                    <w:t>选用低噪声设备，加强设备的维护管理；对高噪声设备进行基础减振、通过厂房墙体隔</w:t>
                  </w:r>
                </w:p>
              </w:tc>
              <w:tc>
                <w:tcPr>
                  <w:tcW w:w="666" w:type="pct"/>
                  <w:tcBorders>
                    <w:tl2br w:val="nil"/>
                    <w:tr2bl w:val="nil"/>
                  </w:tcBorders>
                  <w:vAlign w:val="center"/>
                </w:tcPr>
                <w:p w14:paraId="5D66AF8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本次新建</w:t>
                  </w:r>
                </w:p>
              </w:tc>
            </w:tr>
            <w:tr w14:paraId="2B0A6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17" w:type="pct"/>
                  <w:vMerge w:val="continue"/>
                  <w:tcBorders>
                    <w:tl2br w:val="nil"/>
                    <w:tr2bl w:val="nil"/>
                  </w:tcBorders>
                  <w:vAlign w:val="center"/>
                </w:tcPr>
                <w:p w14:paraId="0830030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244" w:type="pct"/>
                  <w:vMerge w:val="restart"/>
                  <w:tcBorders>
                    <w:tl2br w:val="nil"/>
                    <w:tr2bl w:val="nil"/>
                  </w:tcBorders>
                  <w:vAlign w:val="center"/>
                </w:tcPr>
                <w:p w14:paraId="151A8A2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固废治理</w:t>
                  </w:r>
                </w:p>
              </w:tc>
              <w:tc>
                <w:tcPr>
                  <w:tcW w:w="953" w:type="pct"/>
                  <w:tcBorders>
                    <w:tl2br w:val="nil"/>
                    <w:tr2bl w:val="nil"/>
                  </w:tcBorders>
                  <w:vAlign w:val="center"/>
                </w:tcPr>
                <w:p w14:paraId="1A0A379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生活垃圾</w:t>
                  </w:r>
                </w:p>
              </w:tc>
              <w:tc>
                <w:tcPr>
                  <w:tcW w:w="2717" w:type="pct"/>
                  <w:tcBorders>
                    <w:tl2br w:val="nil"/>
                    <w:tr2bl w:val="nil"/>
                  </w:tcBorders>
                  <w:vAlign w:val="center"/>
                </w:tcPr>
                <w:p w14:paraId="5BFC86A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lang w:val="en-GB" w:eastAsia="zh-CN"/>
                    </w:rPr>
                    <w:t>厂区内设置生活垃圾桶，分类收集后委托环卫部门每日清运处置</w:t>
                  </w:r>
                </w:p>
              </w:tc>
              <w:tc>
                <w:tcPr>
                  <w:tcW w:w="666" w:type="pct"/>
                  <w:tcBorders>
                    <w:tl2br w:val="nil"/>
                    <w:tr2bl w:val="nil"/>
                  </w:tcBorders>
                  <w:vAlign w:val="center"/>
                </w:tcPr>
                <w:p w14:paraId="590D428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依托现有</w:t>
                  </w:r>
                </w:p>
              </w:tc>
            </w:tr>
            <w:tr w14:paraId="6932E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417" w:type="pct"/>
                  <w:vMerge w:val="continue"/>
                  <w:tcBorders>
                    <w:tl2br w:val="nil"/>
                    <w:tr2bl w:val="nil"/>
                  </w:tcBorders>
                  <w:vAlign w:val="center"/>
                </w:tcPr>
                <w:p w14:paraId="07A92A2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244" w:type="pct"/>
                  <w:vMerge w:val="continue"/>
                  <w:tcBorders>
                    <w:tl2br w:val="nil"/>
                    <w:tr2bl w:val="nil"/>
                  </w:tcBorders>
                  <w:vAlign w:val="center"/>
                </w:tcPr>
                <w:p w14:paraId="4774EEC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953" w:type="pct"/>
                  <w:tcBorders>
                    <w:tl2br w:val="nil"/>
                    <w:tr2bl w:val="nil"/>
                  </w:tcBorders>
                  <w:vAlign w:val="center"/>
                </w:tcPr>
                <w:p w14:paraId="5BC95DE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一般固体废物</w:t>
                  </w:r>
                </w:p>
              </w:tc>
              <w:tc>
                <w:tcPr>
                  <w:tcW w:w="2717" w:type="pct"/>
                  <w:tcBorders>
                    <w:tl2br w:val="nil"/>
                    <w:tr2bl w:val="nil"/>
                  </w:tcBorders>
                  <w:vAlign w:val="center"/>
                </w:tcPr>
                <w:p w14:paraId="7471A25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lang w:val="en-US" w:eastAsia="zh-CN"/>
                    </w:rPr>
                    <w:t>设一般工业固废暂存间，妥善分类收集后出售给回收企业综合利用：不合格产品</w:t>
                  </w:r>
                  <w:r>
                    <w:rPr>
                      <w:rFonts w:hint="eastAsia" w:cs="Times New Roman"/>
                      <w:color w:val="auto"/>
                      <w:lang w:val="en-US" w:eastAsia="zh-CN"/>
                    </w:rPr>
                    <w:t>及边角料</w:t>
                  </w:r>
                  <w:r>
                    <w:rPr>
                      <w:rFonts w:hint="eastAsia" w:ascii="Times New Roman" w:hAnsi="Times New Roman" w:eastAsia="宋体" w:cs="Times New Roman"/>
                      <w:color w:val="auto"/>
                      <w:lang w:val="en-US" w:eastAsia="zh-CN"/>
                    </w:rPr>
                    <w:t>收集破碎后</w:t>
                  </w:r>
                  <w:r>
                    <w:rPr>
                      <w:rFonts w:hint="eastAsia" w:cs="Times New Roman"/>
                      <w:color w:val="auto"/>
                      <w:lang w:val="en-US" w:eastAsia="zh-CN"/>
                    </w:rPr>
                    <w:t>回用于生产</w:t>
                  </w:r>
                  <w:r>
                    <w:rPr>
                      <w:rFonts w:hint="eastAsia" w:ascii="Times New Roman" w:hAnsi="Times New Roman" w:eastAsia="宋体" w:cs="Times New Roman"/>
                      <w:color w:val="auto"/>
                      <w:lang w:val="en-US" w:eastAsia="zh-CN"/>
                    </w:rPr>
                    <w:t>。废包装材料：收集后外售给废品回收公司。</w:t>
                  </w:r>
                </w:p>
              </w:tc>
              <w:tc>
                <w:tcPr>
                  <w:tcW w:w="666" w:type="pct"/>
                  <w:tcBorders>
                    <w:tl2br w:val="nil"/>
                    <w:tr2bl w:val="nil"/>
                  </w:tcBorders>
                  <w:vAlign w:val="center"/>
                </w:tcPr>
                <w:p w14:paraId="71CB7D7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本次新建</w:t>
                  </w:r>
                </w:p>
              </w:tc>
            </w:tr>
            <w:tr w14:paraId="1A3BC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417" w:type="pct"/>
                  <w:vMerge w:val="continue"/>
                  <w:tcBorders>
                    <w:tl2br w:val="nil"/>
                    <w:tr2bl w:val="nil"/>
                  </w:tcBorders>
                  <w:vAlign w:val="center"/>
                </w:tcPr>
                <w:p w14:paraId="1C1DA2D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244" w:type="pct"/>
                  <w:vMerge w:val="continue"/>
                  <w:tcBorders>
                    <w:tl2br w:val="nil"/>
                    <w:tr2bl w:val="nil"/>
                  </w:tcBorders>
                  <w:vAlign w:val="center"/>
                </w:tcPr>
                <w:p w14:paraId="386E6E8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953" w:type="pct"/>
                  <w:tcBorders>
                    <w:tl2br w:val="nil"/>
                    <w:tr2bl w:val="nil"/>
                  </w:tcBorders>
                  <w:vAlign w:val="center"/>
                </w:tcPr>
                <w:p w14:paraId="765B699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危险废物</w:t>
                  </w:r>
                </w:p>
              </w:tc>
              <w:tc>
                <w:tcPr>
                  <w:tcW w:w="2717" w:type="pct"/>
                  <w:tcBorders>
                    <w:tl2br w:val="nil"/>
                    <w:tr2bl w:val="nil"/>
                  </w:tcBorders>
                  <w:vAlign w:val="center"/>
                </w:tcPr>
                <w:p w14:paraId="50A3255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按照规范要求设置一间危险废物贮存库，面积约5m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vertAlign w:val="baseline"/>
                      <w:lang w:val="en-US" w:eastAsia="zh-CN"/>
                    </w:rPr>
                    <w:t>，存放废活性炭、</w:t>
                  </w:r>
                  <w:r>
                    <w:rPr>
                      <w:rFonts w:hint="eastAsia" w:cs="Times New Roman"/>
                      <w:color w:val="auto"/>
                      <w:sz w:val="21"/>
                      <w:szCs w:val="21"/>
                      <w:highlight w:val="none"/>
                      <w:vertAlign w:val="baseline"/>
                      <w:lang w:val="en-US" w:eastAsia="zh-CN"/>
                    </w:rPr>
                    <w:t>废机油</w:t>
                  </w:r>
                  <w:r>
                    <w:rPr>
                      <w:rFonts w:hint="eastAsia" w:ascii="Times New Roman" w:hAnsi="Times New Roman" w:eastAsia="宋体" w:cs="Times New Roman"/>
                      <w:color w:val="auto"/>
                      <w:sz w:val="21"/>
                      <w:szCs w:val="21"/>
                      <w:highlight w:val="none"/>
                      <w:vertAlign w:val="baseline"/>
                      <w:lang w:val="en-US" w:eastAsia="zh-CN"/>
                    </w:rPr>
                    <w:t>等危险废物。贮存间内张贴明显</w:t>
                  </w:r>
                  <w:r>
                    <w:rPr>
                      <w:rFonts w:hint="eastAsia" w:cs="Times New Roman"/>
                      <w:color w:val="auto"/>
                      <w:sz w:val="21"/>
                      <w:szCs w:val="21"/>
                      <w:highlight w:val="none"/>
                      <w:vertAlign w:val="baseline"/>
                      <w:lang w:val="en-US" w:eastAsia="zh-CN"/>
                    </w:rPr>
                    <w:t>警示标志</w:t>
                  </w:r>
                  <w:r>
                    <w:rPr>
                      <w:rFonts w:hint="eastAsia" w:ascii="Times New Roman" w:hAnsi="Times New Roman" w:eastAsia="宋体" w:cs="Times New Roman"/>
                      <w:color w:val="auto"/>
                      <w:sz w:val="21"/>
                      <w:szCs w:val="21"/>
                      <w:highlight w:val="none"/>
                      <w:vertAlign w:val="baseline"/>
                      <w:lang w:val="en-US" w:eastAsia="zh-CN"/>
                    </w:rPr>
                    <w:t>并设置围堰及导流沟，地面刷环氧树脂漆。并签署危废委托</w:t>
                  </w:r>
                  <w:r>
                    <w:rPr>
                      <w:rFonts w:hint="eastAsia" w:cs="Times New Roman"/>
                      <w:color w:val="auto"/>
                      <w:sz w:val="21"/>
                      <w:szCs w:val="21"/>
                      <w:highlight w:val="none"/>
                      <w:vertAlign w:val="baseline"/>
                      <w:lang w:val="en-US" w:eastAsia="zh-CN"/>
                    </w:rPr>
                    <w:t>协议</w:t>
                  </w:r>
                </w:p>
              </w:tc>
              <w:tc>
                <w:tcPr>
                  <w:tcW w:w="666" w:type="pct"/>
                  <w:tcBorders>
                    <w:tl2br w:val="nil"/>
                    <w:tr2bl w:val="nil"/>
                  </w:tcBorders>
                  <w:vAlign w:val="center"/>
                </w:tcPr>
                <w:p w14:paraId="42DB78B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本次新建</w:t>
                  </w:r>
                </w:p>
              </w:tc>
            </w:tr>
          </w:tbl>
          <w:p w14:paraId="1DA07D1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25" w:name="_Toc23368"/>
            <w:r>
              <w:rPr>
                <w:rFonts w:hint="default" w:ascii="Times New Roman" w:hAnsi="Times New Roman" w:eastAsia="宋体" w:cs="Times New Roman"/>
                <w:b/>
                <w:bCs/>
                <w:color w:val="auto"/>
                <w:sz w:val="24"/>
                <w:szCs w:val="24"/>
                <w:u w:val="none"/>
                <w:lang w:val="en-US" w:eastAsia="zh-CN"/>
              </w:rPr>
              <w:t>2.2.</w:t>
            </w:r>
            <w:r>
              <w:rPr>
                <w:rFonts w:hint="default" w:cs="Times New Roman"/>
                <w:b/>
                <w:bCs/>
                <w:color w:val="auto"/>
                <w:sz w:val="24"/>
                <w:szCs w:val="24"/>
                <w:u w:val="none"/>
                <w:lang w:val="en-US" w:eastAsia="zh-CN"/>
              </w:rPr>
              <w:t>4</w:t>
            </w:r>
            <w:r>
              <w:rPr>
                <w:rFonts w:hint="default" w:ascii="Times New Roman" w:hAnsi="Times New Roman" w:eastAsia="宋体" w:cs="Times New Roman"/>
                <w:b/>
                <w:bCs/>
                <w:color w:val="auto"/>
                <w:sz w:val="24"/>
                <w:szCs w:val="24"/>
                <w:u w:val="none"/>
                <w:lang w:val="en-US" w:eastAsia="zh-CN"/>
              </w:rPr>
              <w:t xml:space="preserve"> </w:t>
            </w:r>
            <w:r>
              <w:rPr>
                <w:rFonts w:hint="eastAsia" w:ascii="Times New Roman" w:hAnsi="Times New Roman" w:eastAsia="宋体" w:cs="Times New Roman"/>
                <w:b/>
                <w:bCs/>
                <w:color w:val="auto"/>
                <w:sz w:val="24"/>
                <w:szCs w:val="24"/>
                <w:u w:val="none"/>
                <w:lang w:val="en-US" w:eastAsia="zh-CN"/>
              </w:rPr>
              <w:t>项目工程组成及建设内容</w:t>
            </w:r>
            <w:bookmarkEnd w:id="25"/>
          </w:p>
          <w:p w14:paraId="7EC11041">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本项目产品方案详见表2.2-2。</w:t>
            </w:r>
          </w:p>
          <w:p w14:paraId="5B158D61">
            <w:pPr>
              <w:pStyle w:val="20"/>
              <w:keepNext w:val="0"/>
              <w:keepLines w:val="0"/>
              <w:pageBreakBefore w:val="0"/>
              <w:widowControl/>
              <w:kinsoku/>
              <w:wordWrap/>
              <w:overflowPunct/>
              <w:topLinePunct w:val="0"/>
              <w:autoSpaceDE/>
              <w:autoSpaceDN/>
              <w:bidi w:val="0"/>
              <w:adjustRightInd/>
              <w:snapToGrid w:val="0"/>
              <w:spacing w:before="157" w:beforeLines="50" w:after="0" w:line="240" w:lineRule="auto"/>
              <w:ind w:right="0" w:firstLine="0" w:firstLineChars="0"/>
              <w:jc w:val="center"/>
              <w:textAlignment w:val="auto"/>
              <w:rPr>
                <w:rFonts w:hint="default" w:ascii="Times New Roman" w:hAnsi="Times New Roman" w:cs="Times New Roman"/>
                <w:b/>
                <w:bCs/>
                <w:sz w:val="24"/>
                <w:szCs w:val="24"/>
                <w:u w:val="none"/>
                <w:lang w:val="en-US" w:eastAsia="zh-CN"/>
              </w:rPr>
            </w:pPr>
            <w:r>
              <w:rPr>
                <w:rFonts w:hint="default" w:ascii="Times New Roman" w:hAnsi="Times New Roman" w:cs="Times New Roman"/>
                <w:b/>
                <w:bCs/>
                <w:sz w:val="24"/>
                <w:szCs w:val="24"/>
                <w:u w:val="none"/>
                <w:lang w:val="en-US" w:eastAsia="zh-CN"/>
              </w:rPr>
              <w:t>表2.2-2 项目主要产品方案</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8"/>
              <w:gridCol w:w="2154"/>
              <w:gridCol w:w="1505"/>
              <w:gridCol w:w="4081"/>
            </w:tblGrid>
            <w:tr w14:paraId="3EFA5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488" w:type="pct"/>
                  <w:tcBorders>
                    <w:tl2br w:val="nil"/>
                    <w:tr2bl w:val="nil"/>
                  </w:tcBorders>
                  <w:vAlign w:val="center"/>
                </w:tcPr>
                <w:p w14:paraId="0D3C6F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序号</w:t>
                  </w:r>
                </w:p>
              </w:tc>
              <w:tc>
                <w:tcPr>
                  <w:tcW w:w="1255" w:type="pct"/>
                  <w:tcBorders>
                    <w:tl2br w:val="nil"/>
                    <w:tr2bl w:val="nil"/>
                  </w:tcBorders>
                  <w:vAlign w:val="center"/>
                </w:tcPr>
                <w:p w14:paraId="2D6714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产品名称</w:t>
                  </w:r>
                </w:p>
              </w:tc>
              <w:tc>
                <w:tcPr>
                  <w:tcW w:w="877" w:type="pct"/>
                  <w:tcBorders>
                    <w:tl2br w:val="nil"/>
                    <w:tr2bl w:val="nil"/>
                  </w:tcBorders>
                  <w:vAlign w:val="center"/>
                </w:tcPr>
                <w:p w14:paraId="33363EE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产品产量</w:t>
                  </w:r>
                </w:p>
              </w:tc>
              <w:tc>
                <w:tcPr>
                  <w:tcW w:w="2378" w:type="pct"/>
                  <w:tcBorders>
                    <w:tl2br w:val="nil"/>
                    <w:tr2bl w:val="nil"/>
                  </w:tcBorders>
                  <w:vAlign w:val="center"/>
                </w:tcPr>
                <w:p w14:paraId="366783D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备注</w:t>
                  </w:r>
                </w:p>
              </w:tc>
            </w:tr>
            <w:tr w14:paraId="1BC21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88" w:type="pct"/>
                  <w:tcBorders>
                    <w:tl2br w:val="nil"/>
                    <w:tr2bl w:val="nil"/>
                  </w:tcBorders>
                  <w:vAlign w:val="center"/>
                </w:tcPr>
                <w:p w14:paraId="70CA2D9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255" w:type="pct"/>
                  <w:tcBorders>
                    <w:tl2br w:val="nil"/>
                    <w:tr2bl w:val="nil"/>
                  </w:tcBorders>
                  <w:vAlign w:val="center"/>
                </w:tcPr>
                <w:p w14:paraId="3D95D2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汽车塑料配件</w:t>
                  </w:r>
                </w:p>
              </w:tc>
              <w:tc>
                <w:tcPr>
                  <w:tcW w:w="877" w:type="pct"/>
                  <w:tcBorders>
                    <w:tl2br w:val="nil"/>
                    <w:tr2bl w:val="nil"/>
                  </w:tcBorders>
                  <w:vAlign w:val="center"/>
                </w:tcPr>
                <w:p w14:paraId="294199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83万套</w:t>
                  </w:r>
                </w:p>
              </w:tc>
              <w:tc>
                <w:tcPr>
                  <w:tcW w:w="2378" w:type="pct"/>
                  <w:tcBorders>
                    <w:tl2br w:val="nil"/>
                    <w:tr2bl w:val="nil"/>
                  </w:tcBorders>
                  <w:vAlign w:val="center"/>
                </w:tcPr>
                <w:p w14:paraId="1388BD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r>
          </w:tbl>
          <w:p w14:paraId="4FBF470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26" w:name="_Toc22495"/>
            <w:r>
              <w:rPr>
                <w:rFonts w:hint="default" w:ascii="Times New Roman" w:hAnsi="Times New Roman" w:eastAsia="宋体" w:cs="Times New Roman"/>
                <w:b/>
                <w:bCs/>
                <w:color w:val="auto"/>
                <w:sz w:val="24"/>
                <w:szCs w:val="24"/>
                <w:u w:val="none"/>
                <w:lang w:val="en-US" w:eastAsia="zh-CN"/>
              </w:rPr>
              <w:t>2.2.</w:t>
            </w:r>
            <w:r>
              <w:rPr>
                <w:rFonts w:hint="eastAsia" w:ascii="Times New Roman" w:hAnsi="Times New Roman" w:eastAsia="宋体" w:cs="Times New Roman"/>
                <w:b/>
                <w:bCs/>
                <w:color w:val="auto"/>
                <w:sz w:val="24"/>
                <w:szCs w:val="24"/>
                <w:u w:val="none"/>
                <w:lang w:val="en-US" w:eastAsia="zh-CN"/>
              </w:rPr>
              <w:t>5</w:t>
            </w:r>
            <w:r>
              <w:rPr>
                <w:rFonts w:hint="default" w:ascii="Times New Roman" w:hAnsi="Times New Roman" w:eastAsia="宋体" w:cs="Times New Roman"/>
                <w:b/>
                <w:bCs/>
                <w:color w:val="auto"/>
                <w:sz w:val="24"/>
                <w:szCs w:val="24"/>
                <w:u w:val="none"/>
                <w:lang w:val="en-US" w:eastAsia="zh-CN"/>
              </w:rPr>
              <w:t xml:space="preserve"> </w:t>
            </w:r>
            <w:r>
              <w:rPr>
                <w:rFonts w:hint="eastAsia" w:ascii="Times New Roman" w:hAnsi="Times New Roman" w:eastAsia="宋体" w:cs="Times New Roman"/>
                <w:b/>
                <w:bCs/>
                <w:color w:val="auto"/>
                <w:sz w:val="24"/>
                <w:szCs w:val="24"/>
                <w:u w:val="none"/>
                <w:lang w:val="en-US" w:eastAsia="zh-CN"/>
              </w:rPr>
              <w:t>主要生产设备</w:t>
            </w:r>
            <w:bookmarkEnd w:id="26"/>
          </w:p>
          <w:p w14:paraId="7217F010">
            <w:pPr>
              <w:pStyle w:val="2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cs="Times New Roman"/>
                <w:b w:val="0"/>
                <w:bCs w:val="0"/>
                <w:color w:val="auto"/>
                <w:sz w:val="24"/>
                <w:szCs w:val="24"/>
                <w:u w:val="none"/>
                <w:lang w:val="en-US" w:eastAsia="zh-CN"/>
              </w:rPr>
            </w:pPr>
            <w:r>
              <w:rPr>
                <w:rFonts w:hint="eastAsia" w:ascii="Times New Roman" w:hAnsi="Times New Roman" w:cs="Times New Roman"/>
                <w:b w:val="0"/>
                <w:bCs w:val="0"/>
                <w:color w:val="auto"/>
                <w:sz w:val="24"/>
                <w:szCs w:val="24"/>
                <w:u w:val="none"/>
                <w:lang w:val="en-US" w:eastAsia="zh-CN"/>
              </w:rPr>
              <w:t>项目主要生产设备一览表详见表2.2-3。</w:t>
            </w:r>
          </w:p>
          <w:p w14:paraId="69542A72">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表2.2-3 主要生产设备一览表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159"/>
              <w:gridCol w:w="1346"/>
              <w:gridCol w:w="1297"/>
              <w:gridCol w:w="2930"/>
            </w:tblGrid>
            <w:tr w14:paraId="53984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93" w:type="pct"/>
                  <w:tcBorders>
                    <w:tl2br w:val="nil"/>
                    <w:tr2bl w:val="nil"/>
                  </w:tcBorders>
                  <w:vAlign w:val="center"/>
                </w:tcPr>
                <w:p w14:paraId="49095439">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序号</w:t>
                  </w:r>
                </w:p>
              </w:tc>
              <w:tc>
                <w:tcPr>
                  <w:tcW w:w="1258" w:type="pct"/>
                  <w:tcBorders>
                    <w:tl2br w:val="nil"/>
                    <w:tr2bl w:val="nil"/>
                  </w:tcBorders>
                  <w:vAlign w:val="center"/>
                </w:tcPr>
                <w:p w14:paraId="0EA05F16">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设备名称</w:t>
                  </w:r>
                </w:p>
              </w:tc>
              <w:tc>
                <w:tcPr>
                  <w:tcW w:w="784" w:type="pct"/>
                  <w:tcBorders>
                    <w:tl2br w:val="nil"/>
                    <w:tr2bl w:val="nil"/>
                  </w:tcBorders>
                  <w:vAlign w:val="center"/>
                </w:tcPr>
                <w:p w14:paraId="621C38AE">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功率/型号</w:t>
                  </w:r>
                </w:p>
              </w:tc>
              <w:tc>
                <w:tcPr>
                  <w:tcW w:w="756" w:type="pct"/>
                  <w:tcBorders>
                    <w:tl2br w:val="nil"/>
                    <w:tr2bl w:val="nil"/>
                  </w:tcBorders>
                  <w:vAlign w:val="center"/>
                </w:tcPr>
                <w:p w14:paraId="117C08DC">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数量</w:t>
                  </w:r>
                </w:p>
              </w:tc>
              <w:tc>
                <w:tcPr>
                  <w:tcW w:w="1707" w:type="pct"/>
                  <w:tcBorders>
                    <w:tl2br w:val="nil"/>
                    <w:tr2bl w:val="nil"/>
                  </w:tcBorders>
                  <w:vAlign w:val="center"/>
                </w:tcPr>
                <w:p w14:paraId="4DD59583">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备注</w:t>
                  </w:r>
                </w:p>
              </w:tc>
            </w:tr>
            <w:tr w14:paraId="5E4CB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3" w:type="pct"/>
                  <w:tcBorders>
                    <w:tl2br w:val="nil"/>
                    <w:tr2bl w:val="nil"/>
                  </w:tcBorders>
                  <w:vAlign w:val="center"/>
                </w:tcPr>
                <w:p w14:paraId="16966013">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w:t>
                  </w:r>
                </w:p>
              </w:tc>
              <w:tc>
                <w:tcPr>
                  <w:tcW w:w="1258" w:type="pct"/>
                  <w:tcBorders>
                    <w:tl2br w:val="nil"/>
                    <w:tr2bl w:val="nil"/>
                  </w:tcBorders>
                  <w:vAlign w:val="center"/>
                </w:tcPr>
                <w:p w14:paraId="76363C53">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注塑机</w:t>
                  </w:r>
                </w:p>
              </w:tc>
              <w:tc>
                <w:tcPr>
                  <w:tcW w:w="784" w:type="pct"/>
                  <w:tcBorders>
                    <w:tl2br w:val="nil"/>
                    <w:tr2bl w:val="nil"/>
                  </w:tcBorders>
                  <w:vAlign w:val="center"/>
                </w:tcPr>
                <w:p w14:paraId="18CE82C4">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120T</w:t>
                  </w:r>
                </w:p>
              </w:tc>
              <w:tc>
                <w:tcPr>
                  <w:tcW w:w="756" w:type="pct"/>
                  <w:tcBorders>
                    <w:tl2br w:val="nil"/>
                    <w:tr2bl w:val="nil"/>
                  </w:tcBorders>
                  <w:vAlign w:val="center"/>
                </w:tcPr>
                <w:p w14:paraId="05661D98">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2</w:t>
                  </w:r>
                  <w:r>
                    <w:rPr>
                      <w:rFonts w:hint="eastAsia" w:ascii="Times New Roman" w:hAnsi="Times New Roman" w:eastAsia="宋体" w:cs="Times New Roman"/>
                      <w:sz w:val="21"/>
                      <w:szCs w:val="21"/>
                      <w:u w:val="none"/>
                      <w:vertAlign w:val="baseline"/>
                      <w:lang w:val="en-US" w:eastAsia="zh-CN"/>
                    </w:rPr>
                    <w:t>台</w:t>
                  </w:r>
                </w:p>
              </w:tc>
              <w:tc>
                <w:tcPr>
                  <w:tcW w:w="1707" w:type="pct"/>
                  <w:tcBorders>
                    <w:tl2br w:val="nil"/>
                    <w:tr2bl w:val="nil"/>
                  </w:tcBorders>
                  <w:vAlign w:val="center"/>
                </w:tcPr>
                <w:p w14:paraId="14F23A95">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新建</w:t>
                  </w:r>
                </w:p>
              </w:tc>
            </w:tr>
            <w:tr w14:paraId="47BAF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3" w:type="pct"/>
                  <w:tcBorders>
                    <w:tl2br w:val="nil"/>
                    <w:tr2bl w:val="nil"/>
                  </w:tcBorders>
                  <w:vAlign w:val="center"/>
                </w:tcPr>
                <w:p w14:paraId="58C12D5D">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2</w:t>
                  </w:r>
                </w:p>
              </w:tc>
              <w:tc>
                <w:tcPr>
                  <w:tcW w:w="1258" w:type="pct"/>
                  <w:tcBorders>
                    <w:tl2br w:val="nil"/>
                    <w:tr2bl w:val="nil"/>
                  </w:tcBorders>
                  <w:vAlign w:val="center"/>
                </w:tcPr>
                <w:p w14:paraId="65259B15">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注塑机</w:t>
                  </w:r>
                </w:p>
              </w:tc>
              <w:tc>
                <w:tcPr>
                  <w:tcW w:w="784" w:type="pct"/>
                  <w:tcBorders>
                    <w:tl2br w:val="nil"/>
                    <w:tr2bl w:val="nil"/>
                  </w:tcBorders>
                  <w:vAlign w:val="center"/>
                </w:tcPr>
                <w:p w14:paraId="13D8B98F">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160T</w:t>
                  </w:r>
                </w:p>
              </w:tc>
              <w:tc>
                <w:tcPr>
                  <w:tcW w:w="756" w:type="pct"/>
                  <w:tcBorders>
                    <w:tl2br w:val="nil"/>
                    <w:tr2bl w:val="nil"/>
                  </w:tcBorders>
                  <w:vAlign w:val="center"/>
                </w:tcPr>
                <w:p w14:paraId="6501B505">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2台</w:t>
                  </w:r>
                </w:p>
              </w:tc>
              <w:tc>
                <w:tcPr>
                  <w:tcW w:w="1707" w:type="pct"/>
                  <w:tcBorders>
                    <w:tl2br w:val="nil"/>
                    <w:tr2bl w:val="nil"/>
                  </w:tcBorders>
                  <w:vAlign w:val="center"/>
                </w:tcPr>
                <w:p w14:paraId="351AE1E7">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新建</w:t>
                  </w:r>
                </w:p>
              </w:tc>
            </w:tr>
            <w:tr w14:paraId="5FDBF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3" w:type="pct"/>
                  <w:tcBorders>
                    <w:tl2br w:val="nil"/>
                    <w:tr2bl w:val="nil"/>
                  </w:tcBorders>
                  <w:vAlign w:val="center"/>
                </w:tcPr>
                <w:p w14:paraId="1A466478">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3</w:t>
                  </w:r>
                </w:p>
              </w:tc>
              <w:tc>
                <w:tcPr>
                  <w:tcW w:w="1258" w:type="pct"/>
                  <w:tcBorders>
                    <w:tl2br w:val="nil"/>
                    <w:tr2bl w:val="nil"/>
                  </w:tcBorders>
                  <w:vAlign w:val="center"/>
                </w:tcPr>
                <w:p w14:paraId="4E5FAE8D">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注塑机</w:t>
                  </w:r>
                </w:p>
              </w:tc>
              <w:tc>
                <w:tcPr>
                  <w:tcW w:w="784" w:type="pct"/>
                  <w:tcBorders>
                    <w:tl2br w:val="nil"/>
                    <w:tr2bl w:val="nil"/>
                  </w:tcBorders>
                  <w:vAlign w:val="center"/>
                </w:tcPr>
                <w:p w14:paraId="555D6A59">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250T</w:t>
                  </w:r>
                </w:p>
              </w:tc>
              <w:tc>
                <w:tcPr>
                  <w:tcW w:w="756" w:type="pct"/>
                  <w:tcBorders>
                    <w:tl2br w:val="nil"/>
                    <w:tr2bl w:val="nil"/>
                  </w:tcBorders>
                  <w:vAlign w:val="center"/>
                </w:tcPr>
                <w:p w14:paraId="6A8804F0">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1台</w:t>
                  </w:r>
                </w:p>
              </w:tc>
              <w:tc>
                <w:tcPr>
                  <w:tcW w:w="1707" w:type="pct"/>
                  <w:tcBorders>
                    <w:tl2br w:val="nil"/>
                    <w:tr2bl w:val="nil"/>
                  </w:tcBorders>
                  <w:shd w:val="clear" w:color="auto" w:fill="auto"/>
                  <w:vAlign w:val="center"/>
                </w:tcPr>
                <w:p w14:paraId="5B676006">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kern w:val="0"/>
                      <w:sz w:val="21"/>
                      <w:szCs w:val="21"/>
                      <w:u w:val="none"/>
                      <w:vertAlign w:val="baseline"/>
                      <w:lang w:val="en-US" w:eastAsia="zh-CN" w:bidi="ar-SA"/>
                    </w:rPr>
                  </w:pPr>
                  <w:r>
                    <w:rPr>
                      <w:rFonts w:hint="eastAsia" w:ascii="Times New Roman" w:hAnsi="Times New Roman" w:eastAsia="宋体" w:cs="Times New Roman"/>
                      <w:sz w:val="21"/>
                      <w:szCs w:val="21"/>
                      <w:u w:val="none"/>
                      <w:vertAlign w:val="baseline"/>
                      <w:lang w:val="en-US" w:eastAsia="zh-CN"/>
                    </w:rPr>
                    <w:t>新建</w:t>
                  </w:r>
                </w:p>
              </w:tc>
            </w:tr>
            <w:tr w14:paraId="3BD0D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3" w:type="pct"/>
                  <w:tcBorders>
                    <w:tl2br w:val="nil"/>
                    <w:tr2bl w:val="nil"/>
                  </w:tcBorders>
                  <w:vAlign w:val="center"/>
                </w:tcPr>
                <w:p w14:paraId="3695875E">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4</w:t>
                  </w:r>
                </w:p>
              </w:tc>
              <w:tc>
                <w:tcPr>
                  <w:tcW w:w="1258" w:type="pct"/>
                  <w:tcBorders>
                    <w:tl2br w:val="nil"/>
                    <w:tr2bl w:val="nil"/>
                  </w:tcBorders>
                  <w:shd w:val="clear" w:color="auto" w:fill="auto"/>
                  <w:vAlign w:val="center"/>
                </w:tcPr>
                <w:p w14:paraId="00E5F4B8">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注塑机</w:t>
                  </w:r>
                </w:p>
              </w:tc>
              <w:tc>
                <w:tcPr>
                  <w:tcW w:w="784" w:type="pct"/>
                  <w:tcBorders>
                    <w:tl2br w:val="nil"/>
                    <w:tr2bl w:val="nil"/>
                  </w:tcBorders>
                  <w:vAlign w:val="center"/>
                </w:tcPr>
                <w:p w14:paraId="1C22CBF4">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300T</w:t>
                  </w:r>
                </w:p>
              </w:tc>
              <w:tc>
                <w:tcPr>
                  <w:tcW w:w="756" w:type="pct"/>
                  <w:tcBorders>
                    <w:tl2br w:val="nil"/>
                    <w:tr2bl w:val="nil"/>
                  </w:tcBorders>
                  <w:vAlign w:val="center"/>
                </w:tcPr>
                <w:p w14:paraId="76CA4BCE">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1台</w:t>
                  </w:r>
                </w:p>
              </w:tc>
              <w:tc>
                <w:tcPr>
                  <w:tcW w:w="1707" w:type="pct"/>
                  <w:tcBorders>
                    <w:tl2br w:val="nil"/>
                    <w:tr2bl w:val="nil"/>
                  </w:tcBorders>
                  <w:shd w:val="clear" w:color="auto" w:fill="auto"/>
                  <w:vAlign w:val="center"/>
                </w:tcPr>
                <w:p w14:paraId="5AE1AF4B">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kern w:val="0"/>
                      <w:sz w:val="21"/>
                      <w:szCs w:val="21"/>
                      <w:u w:val="none"/>
                      <w:vertAlign w:val="baseline"/>
                      <w:lang w:val="en-US" w:eastAsia="zh-CN" w:bidi="ar-SA"/>
                    </w:rPr>
                  </w:pPr>
                  <w:r>
                    <w:rPr>
                      <w:rFonts w:hint="eastAsia" w:ascii="Times New Roman" w:hAnsi="Times New Roman" w:eastAsia="宋体" w:cs="Times New Roman"/>
                      <w:sz w:val="21"/>
                      <w:szCs w:val="21"/>
                      <w:u w:val="none"/>
                      <w:vertAlign w:val="baseline"/>
                      <w:lang w:val="en-US" w:eastAsia="zh-CN"/>
                    </w:rPr>
                    <w:t>新建</w:t>
                  </w:r>
                </w:p>
              </w:tc>
            </w:tr>
            <w:tr w14:paraId="0E171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3" w:type="pct"/>
                  <w:tcBorders>
                    <w:tl2br w:val="nil"/>
                    <w:tr2bl w:val="nil"/>
                  </w:tcBorders>
                  <w:vAlign w:val="center"/>
                </w:tcPr>
                <w:p w14:paraId="6BAAF1F8">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5</w:t>
                  </w:r>
                </w:p>
              </w:tc>
              <w:tc>
                <w:tcPr>
                  <w:tcW w:w="1258" w:type="pct"/>
                  <w:tcBorders>
                    <w:tl2br w:val="nil"/>
                    <w:tr2bl w:val="nil"/>
                  </w:tcBorders>
                  <w:shd w:val="clear" w:color="auto" w:fill="auto"/>
                  <w:vAlign w:val="center"/>
                </w:tcPr>
                <w:p w14:paraId="7D1FEF98">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注塑机</w:t>
                  </w:r>
                </w:p>
              </w:tc>
              <w:tc>
                <w:tcPr>
                  <w:tcW w:w="784" w:type="pct"/>
                  <w:tcBorders>
                    <w:tl2br w:val="nil"/>
                    <w:tr2bl w:val="nil"/>
                  </w:tcBorders>
                  <w:vAlign w:val="center"/>
                </w:tcPr>
                <w:p w14:paraId="15685767">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328T</w:t>
                  </w:r>
                </w:p>
              </w:tc>
              <w:tc>
                <w:tcPr>
                  <w:tcW w:w="756" w:type="pct"/>
                  <w:tcBorders>
                    <w:tl2br w:val="nil"/>
                    <w:tr2bl w:val="nil"/>
                  </w:tcBorders>
                  <w:vAlign w:val="center"/>
                </w:tcPr>
                <w:p w14:paraId="0FFC46B2">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1台</w:t>
                  </w:r>
                </w:p>
              </w:tc>
              <w:tc>
                <w:tcPr>
                  <w:tcW w:w="1707" w:type="pct"/>
                  <w:tcBorders>
                    <w:tl2br w:val="nil"/>
                    <w:tr2bl w:val="nil"/>
                  </w:tcBorders>
                  <w:shd w:val="clear" w:color="auto" w:fill="auto"/>
                  <w:vAlign w:val="center"/>
                </w:tcPr>
                <w:p w14:paraId="3573D379">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kern w:val="0"/>
                      <w:sz w:val="21"/>
                      <w:szCs w:val="21"/>
                      <w:u w:val="none"/>
                      <w:vertAlign w:val="baseline"/>
                      <w:lang w:val="en-US" w:eastAsia="zh-CN" w:bidi="ar-SA"/>
                    </w:rPr>
                  </w:pPr>
                  <w:r>
                    <w:rPr>
                      <w:rFonts w:hint="eastAsia" w:ascii="Times New Roman" w:hAnsi="Times New Roman" w:eastAsia="宋体" w:cs="Times New Roman"/>
                      <w:sz w:val="21"/>
                      <w:szCs w:val="21"/>
                      <w:u w:val="none"/>
                      <w:vertAlign w:val="baseline"/>
                      <w:lang w:val="en-US" w:eastAsia="zh-CN"/>
                    </w:rPr>
                    <w:t>新建</w:t>
                  </w:r>
                </w:p>
              </w:tc>
            </w:tr>
            <w:tr w14:paraId="53E64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3" w:type="pct"/>
                  <w:tcBorders>
                    <w:tl2br w:val="nil"/>
                    <w:tr2bl w:val="nil"/>
                  </w:tcBorders>
                  <w:vAlign w:val="center"/>
                </w:tcPr>
                <w:p w14:paraId="41D85BFD">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6</w:t>
                  </w:r>
                </w:p>
              </w:tc>
              <w:tc>
                <w:tcPr>
                  <w:tcW w:w="1258" w:type="pct"/>
                  <w:tcBorders>
                    <w:tl2br w:val="nil"/>
                    <w:tr2bl w:val="nil"/>
                  </w:tcBorders>
                  <w:shd w:val="clear" w:color="auto" w:fill="auto"/>
                  <w:vAlign w:val="center"/>
                </w:tcPr>
                <w:p w14:paraId="012B2980">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注塑机</w:t>
                  </w:r>
                </w:p>
              </w:tc>
              <w:tc>
                <w:tcPr>
                  <w:tcW w:w="784" w:type="pct"/>
                  <w:tcBorders>
                    <w:tl2br w:val="nil"/>
                    <w:tr2bl w:val="nil"/>
                  </w:tcBorders>
                  <w:vAlign w:val="center"/>
                </w:tcPr>
                <w:p w14:paraId="3DEE8ED2">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360T</w:t>
                  </w:r>
                </w:p>
              </w:tc>
              <w:tc>
                <w:tcPr>
                  <w:tcW w:w="756" w:type="pct"/>
                  <w:tcBorders>
                    <w:tl2br w:val="nil"/>
                    <w:tr2bl w:val="nil"/>
                  </w:tcBorders>
                  <w:vAlign w:val="center"/>
                </w:tcPr>
                <w:p w14:paraId="773CE110">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1台</w:t>
                  </w:r>
                </w:p>
              </w:tc>
              <w:tc>
                <w:tcPr>
                  <w:tcW w:w="1707" w:type="pct"/>
                  <w:tcBorders>
                    <w:tl2br w:val="nil"/>
                    <w:tr2bl w:val="nil"/>
                  </w:tcBorders>
                  <w:shd w:val="clear" w:color="auto" w:fill="auto"/>
                  <w:vAlign w:val="center"/>
                </w:tcPr>
                <w:p w14:paraId="3E2CC640">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kern w:val="0"/>
                      <w:sz w:val="21"/>
                      <w:szCs w:val="21"/>
                      <w:u w:val="none"/>
                      <w:vertAlign w:val="baseline"/>
                      <w:lang w:val="en-US" w:eastAsia="zh-CN" w:bidi="ar-SA"/>
                    </w:rPr>
                  </w:pPr>
                  <w:r>
                    <w:rPr>
                      <w:rFonts w:hint="eastAsia" w:ascii="Times New Roman" w:hAnsi="Times New Roman" w:eastAsia="宋体" w:cs="Times New Roman"/>
                      <w:sz w:val="21"/>
                      <w:szCs w:val="21"/>
                      <w:u w:val="none"/>
                      <w:vertAlign w:val="baseline"/>
                      <w:lang w:val="en-US" w:eastAsia="zh-CN"/>
                    </w:rPr>
                    <w:t>新建</w:t>
                  </w:r>
                </w:p>
              </w:tc>
            </w:tr>
            <w:tr w14:paraId="786BB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3" w:type="pct"/>
                  <w:tcBorders>
                    <w:tl2br w:val="nil"/>
                    <w:tr2bl w:val="nil"/>
                  </w:tcBorders>
                  <w:vAlign w:val="center"/>
                </w:tcPr>
                <w:p w14:paraId="5F79FE64">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7</w:t>
                  </w:r>
                </w:p>
              </w:tc>
              <w:tc>
                <w:tcPr>
                  <w:tcW w:w="1258" w:type="pct"/>
                  <w:tcBorders>
                    <w:tl2br w:val="nil"/>
                    <w:tr2bl w:val="nil"/>
                  </w:tcBorders>
                  <w:vAlign w:val="center"/>
                </w:tcPr>
                <w:p w14:paraId="0A352411">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注塑机</w:t>
                  </w:r>
                </w:p>
              </w:tc>
              <w:tc>
                <w:tcPr>
                  <w:tcW w:w="784" w:type="pct"/>
                  <w:tcBorders>
                    <w:tl2br w:val="nil"/>
                    <w:tr2bl w:val="nil"/>
                  </w:tcBorders>
                  <w:vAlign w:val="center"/>
                </w:tcPr>
                <w:p w14:paraId="501B6EF7">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500T</w:t>
                  </w:r>
                </w:p>
              </w:tc>
              <w:tc>
                <w:tcPr>
                  <w:tcW w:w="756" w:type="pct"/>
                  <w:tcBorders>
                    <w:tl2br w:val="nil"/>
                    <w:tr2bl w:val="nil"/>
                  </w:tcBorders>
                  <w:vAlign w:val="center"/>
                </w:tcPr>
                <w:p w14:paraId="2F301FA6">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2台</w:t>
                  </w:r>
                </w:p>
              </w:tc>
              <w:tc>
                <w:tcPr>
                  <w:tcW w:w="1707" w:type="pct"/>
                  <w:tcBorders>
                    <w:tl2br w:val="nil"/>
                    <w:tr2bl w:val="nil"/>
                  </w:tcBorders>
                  <w:shd w:val="clear" w:color="auto" w:fill="auto"/>
                  <w:vAlign w:val="center"/>
                </w:tcPr>
                <w:p w14:paraId="7CDD0B90">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kern w:val="0"/>
                      <w:sz w:val="21"/>
                      <w:szCs w:val="21"/>
                      <w:u w:val="none"/>
                      <w:vertAlign w:val="baseline"/>
                      <w:lang w:val="en-US" w:eastAsia="zh-CN" w:bidi="ar-SA"/>
                    </w:rPr>
                  </w:pPr>
                  <w:r>
                    <w:rPr>
                      <w:rFonts w:hint="eastAsia" w:ascii="Times New Roman" w:hAnsi="Times New Roman" w:eastAsia="宋体" w:cs="Times New Roman"/>
                      <w:sz w:val="21"/>
                      <w:szCs w:val="21"/>
                      <w:u w:val="none"/>
                      <w:vertAlign w:val="baseline"/>
                      <w:lang w:val="en-US" w:eastAsia="zh-CN"/>
                    </w:rPr>
                    <w:t>新建</w:t>
                  </w:r>
                </w:p>
              </w:tc>
            </w:tr>
            <w:tr w14:paraId="59363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3" w:type="pct"/>
                  <w:tcBorders>
                    <w:tl2br w:val="nil"/>
                    <w:tr2bl w:val="nil"/>
                  </w:tcBorders>
                  <w:vAlign w:val="center"/>
                </w:tcPr>
                <w:p w14:paraId="1ECB0679">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8</w:t>
                  </w:r>
                </w:p>
              </w:tc>
              <w:tc>
                <w:tcPr>
                  <w:tcW w:w="1258" w:type="pct"/>
                  <w:tcBorders>
                    <w:tl2br w:val="nil"/>
                    <w:tr2bl w:val="nil"/>
                  </w:tcBorders>
                  <w:vAlign w:val="center"/>
                </w:tcPr>
                <w:p w14:paraId="20A2B8B7">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破碎机</w:t>
                  </w:r>
                </w:p>
              </w:tc>
              <w:tc>
                <w:tcPr>
                  <w:tcW w:w="784" w:type="pct"/>
                  <w:tcBorders>
                    <w:tl2br w:val="nil"/>
                    <w:tr2bl w:val="nil"/>
                  </w:tcBorders>
                  <w:vAlign w:val="center"/>
                </w:tcPr>
                <w:p w14:paraId="727BCD3C">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w:t>
                  </w:r>
                </w:p>
              </w:tc>
              <w:tc>
                <w:tcPr>
                  <w:tcW w:w="756" w:type="pct"/>
                  <w:tcBorders>
                    <w:tl2br w:val="nil"/>
                    <w:tr2bl w:val="nil"/>
                  </w:tcBorders>
                  <w:vAlign w:val="center"/>
                </w:tcPr>
                <w:p w14:paraId="246B2C5F">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2台</w:t>
                  </w:r>
                </w:p>
              </w:tc>
              <w:tc>
                <w:tcPr>
                  <w:tcW w:w="1707" w:type="pct"/>
                  <w:tcBorders>
                    <w:tl2br w:val="nil"/>
                    <w:tr2bl w:val="nil"/>
                  </w:tcBorders>
                  <w:shd w:val="clear" w:color="auto" w:fill="auto"/>
                  <w:vAlign w:val="center"/>
                </w:tcPr>
                <w:p w14:paraId="5502076F">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新建</w:t>
                  </w:r>
                </w:p>
              </w:tc>
            </w:tr>
            <w:tr w14:paraId="21AB3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493" w:type="pct"/>
                </w:tcPr>
                <w:p w14:paraId="5B1F76D6">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9</w:t>
                  </w:r>
                </w:p>
              </w:tc>
              <w:tc>
                <w:tcPr>
                  <w:tcW w:w="1258" w:type="pct"/>
                </w:tcPr>
                <w:p w14:paraId="72F512BD">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冷却塔</w:t>
                  </w:r>
                </w:p>
              </w:tc>
              <w:tc>
                <w:tcPr>
                  <w:tcW w:w="784" w:type="pct"/>
                </w:tcPr>
                <w:p w14:paraId="50C1B300">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80m</w:t>
                  </w:r>
                  <w:r>
                    <w:rPr>
                      <w:rFonts w:hint="eastAsia" w:ascii="Times New Roman" w:hAnsi="Times New Roman" w:cs="Times New Roman"/>
                      <w:sz w:val="21"/>
                      <w:szCs w:val="21"/>
                      <w:u w:val="none"/>
                      <w:vertAlign w:val="superscript"/>
                      <w:lang w:val="en-US" w:eastAsia="zh-CN"/>
                    </w:rPr>
                    <w:t>3</w:t>
                  </w:r>
                </w:p>
              </w:tc>
              <w:tc>
                <w:tcPr>
                  <w:tcW w:w="756" w:type="pct"/>
                </w:tcPr>
                <w:p w14:paraId="2641C97E">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1台</w:t>
                  </w:r>
                </w:p>
              </w:tc>
              <w:tc>
                <w:tcPr>
                  <w:tcW w:w="1707" w:type="pct"/>
                  <w:shd w:val="clear" w:color="auto" w:fill="auto"/>
                  <w:vAlign w:val="center"/>
                </w:tcPr>
                <w:p w14:paraId="5AF9C023">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新建</w:t>
                  </w:r>
                </w:p>
              </w:tc>
            </w:tr>
          </w:tbl>
          <w:p w14:paraId="105EA21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27" w:name="_Toc26811"/>
            <w:r>
              <w:rPr>
                <w:rFonts w:hint="default" w:ascii="Times New Roman" w:hAnsi="Times New Roman" w:eastAsia="宋体" w:cs="Times New Roman"/>
                <w:b/>
                <w:bCs/>
                <w:color w:val="auto"/>
                <w:sz w:val="24"/>
                <w:szCs w:val="24"/>
                <w:u w:val="none"/>
                <w:lang w:val="en-US" w:eastAsia="zh-CN"/>
              </w:rPr>
              <w:t>2.2.</w:t>
            </w:r>
            <w:r>
              <w:rPr>
                <w:rFonts w:hint="eastAsia" w:ascii="Times New Roman" w:hAnsi="Times New Roman" w:eastAsia="宋体" w:cs="Times New Roman"/>
                <w:b/>
                <w:bCs/>
                <w:color w:val="auto"/>
                <w:sz w:val="24"/>
                <w:szCs w:val="24"/>
                <w:u w:val="none"/>
                <w:lang w:val="en-US" w:eastAsia="zh-CN"/>
              </w:rPr>
              <w:t>6</w:t>
            </w:r>
            <w:r>
              <w:rPr>
                <w:rFonts w:hint="default" w:ascii="Times New Roman" w:hAnsi="Times New Roman" w:eastAsia="宋体" w:cs="Times New Roman"/>
                <w:b/>
                <w:bCs/>
                <w:color w:val="auto"/>
                <w:sz w:val="24"/>
                <w:szCs w:val="24"/>
                <w:u w:val="none"/>
                <w:lang w:val="en-US" w:eastAsia="zh-CN"/>
              </w:rPr>
              <w:t xml:space="preserve"> </w:t>
            </w:r>
            <w:r>
              <w:rPr>
                <w:rFonts w:hint="eastAsia" w:ascii="Times New Roman" w:hAnsi="Times New Roman" w:eastAsia="宋体" w:cs="Times New Roman"/>
                <w:b/>
                <w:bCs/>
                <w:color w:val="auto"/>
                <w:sz w:val="24"/>
                <w:szCs w:val="24"/>
                <w:u w:val="none"/>
                <w:lang w:val="en-US" w:eastAsia="zh-CN"/>
              </w:rPr>
              <w:t>项目主要原辅材料</w:t>
            </w:r>
            <w:bookmarkEnd w:id="27"/>
          </w:p>
          <w:p w14:paraId="26AE4486">
            <w:pPr>
              <w:pStyle w:val="2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cs="Times New Roman"/>
                <w:b w:val="0"/>
                <w:bCs w:val="0"/>
                <w:color w:val="auto"/>
                <w:sz w:val="24"/>
                <w:szCs w:val="24"/>
                <w:u w:val="none"/>
                <w:lang w:val="en-US" w:eastAsia="zh-CN"/>
              </w:rPr>
            </w:pPr>
            <w:r>
              <w:rPr>
                <w:rFonts w:hint="default" w:ascii="Times New Roman" w:hAnsi="Times New Roman" w:cs="Times New Roman"/>
                <w:b w:val="0"/>
                <w:bCs w:val="0"/>
                <w:color w:val="auto"/>
                <w:sz w:val="24"/>
                <w:szCs w:val="24"/>
                <w:u w:val="none"/>
                <w:lang w:val="en-US" w:eastAsia="zh-CN"/>
              </w:rPr>
              <w:t>项目</w:t>
            </w:r>
            <w:r>
              <w:rPr>
                <w:rFonts w:hint="eastAsia" w:ascii="Times New Roman" w:hAnsi="Times New Roman" w:cs="Times New Roman"/>
                <w:b w:val="0"/>
                <w:bCs w:val="0"/>
                <w:color w:val="auto"/>
                <w:sz w:val="24"/>
                <w:szCs w:val="24"/>
                <w:u w:val="none"/>
                <w:lang w:val="en-US" w:eastAsia="zh-CN"/>
              </w:rPr>
              <w:t>的主要原辅材料及用量情况详见表2.2-4。</w:t>
            </w:r>
          </w:p>
          <w:p w14:paraId="1CB80BE6">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表2.2-4 主要原辅材料及用量一览表</w:t>
            </w:r>
          </w:p>
          <w:tbl>
            <w:tblPr>
              <w:tblStyle w:val="2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967"/>
              <w:gridCol w:w="1116"/>
              <w:gridCol w:w="1580"/>
              <w:gridCol w:w="880"/>
              <w:gridCol w:w="731"/>
              <w:gridCol w:w="666"/>
              <w:gridCol w:w="1142"/>
            </w:tblGrid>
            <w:tr w14:paraId="2D080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288" w:type="pct"/>
                  <w:tcBorders>
                    <w:tl2br w:val="nil"/>
                    <w:tr2bl w:val="nil"/>
                  </w:tcBorders>
                  <w:noWrap w:val="0"/>
                  <w:vAlign w:val="center"/>
                </w:tcPr>
                <w:p w14:paraId="42D09C47">
                  <w:pPr>
                    <w:pStyle w:val="14"/>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序号</w:t>
                  </w:r>
                </w:p>
              </w:tc>
              <w:tc>
                <w:tcPr>
                  <w:tcW w:w="1146" w:type="pct"/>
                  <w:tcBorders>
                    <w:tl2br w:val="nil"/>
                    <w:tr2bl w:val="nil"/>
                  </w:tcBorders>
                  <w:noWrap w:val="0"/>
                  <w:vAlign w:val="center"/>
                </w:tcPr>
                <w:p w14:paraId="69046BB5">
                  <w:pPr>
                    <w:pStyle w:val="14"/>
                    <w:spacing w:before="120"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原辅材料名称</w:t>
                  </w:r>
                </w:p>
              </w:tc>
              <w:tc>
                <w:tcPr>
                  <w:tcW w:w="650" w:type="pct"/>
                  <w:tcBorders>
                    <w:tl2br w:val="nil"/>
                    <w:tr2bl w:val="nil"/>
                  </w:tcBorders>
                  <w:noWrap w:val="0"/>
                  <w:vAlign w:val="center"/>
                </w:tcPr>
                <w:p w14:paraId="77814026">
                  <w:pPr>
                    <w:pStyle w:val="14"/>
                    <w:spacing w:line="240" w:lineRule="auto"/>
                    <w:jc w:val="center"/>
                    <w:rPr>
                      <w:rFonts w:hint="default" w:ascii="Times New Roman" w:hAnsi="Times New Roman" w:eastAsia="宋体" w:cs="Times New Roman"/>
                      <w:b w:val="0"/>
                      <w:bCs w:val="0"/>
                      <w:sz w:val="21"/>
                      <w:szCs w:val="21"/>
                      <w:lang w:val="en-US"/>
                    </w:rPr>
                  </w:pPr>
                  <w:r>
                    <w:rPr>
                      <w:rFonts w:hint="default" w:ascii="Times New Roman" w:hAnsi="Times New Roman" w:eastAsia="宋体" w:cs="Times New Roman"/>
                      <w:b w:val="0"/>
                      <w:bCs w:val="0"/>
                      <w:sz w:val="21"/>
                      <w:szCs w:val="21"/>
                      <w:lang w:val="en-US" w:eastAsia="zh-CN"/>
                    </w:rPr>
                    <w:t>原辅材料</w:t>
                  </w:r>
                  <w:r>
                    <w:rPr>
                      <w:rFonts w:hint="eastAsia" w:ascii="Times New Roman" w:hAnsi="Times New Roman" w:eastAsia="宋体" w:cs="Times New Roman"/>
                      <w:b w:val="0"/>
                      <w:bCs w:val="0"/>
                      <w:sz w:val="21"/>
                      <w:szCs w:val="21"/>
                      <w:lang w:val="en-US" w:eastAsia="zh-CN"/>
                    </w:rPr>
                    <w:t>年</w:t>
                  </w:r>
                  <w:r>
                    <w:rPr>
                      <w:rFonts w:hint="default" w:ascii="Times New Roman" w:hAnsi="Times New Roman" w:eastAsia="宋体" w:cs="Times New Roman"/>
                      <w:b w:val="0"/>
                      <w:bCs w:val="0"/>
                      <w:sz w:val="21"/>
                      <w:szCs w:val="21"/>
                      <w:lang w:val="en-US" w:eastAsia="zh-CN"/>
                    </w:rPr>
                    <w:t>用量</w:t>
                  </w:r>
                  <w:r>
                    <w:rPr>
                      <w:rFonts w:hint="eastAsia" w:ascii="Times New Roman" w:hAnsi="Times New Roman" w:eastAsia="宋体" w:cs="Times New Roman"/>
                      <w:b w:val="0"/>
                      <w:bCs w:val="0"/>
                      <w:sz w:val="21"/>
                      <w:szCs w:val="21"/>
                      <w:lang w:val="en-US" w:eastAsia="zh-CN"/>
                    </w:rPr>
                    <w:t>t/a</w:t>
                  </w:r>
                </w:p>
              </w:tc>
              <w:tc>
                <w:tcPr>
                  <w:tcW w:w="921" w:type="pct"/>
                  <w:tcBorders>
                    <w:tl2br w:val="nil"/>
                    <w:tr2bl w:val="nil"/>
                  </w:tcBorders>
                  <w:noWrap w:val="0"/>
                  <w:vAlign w:val="center"/>
                </w:tcPr>
                <w:p w14:paraId="11869307">
                  <w:pPr>
                    <w:pStyle w:val="14"/>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成分占比</w:t>
                  </w:r>
                </w:p>
              </w:tc>
              <w:tc>
                <w:tcPr>
                  <w:tcW w:w="513" w:type="pct"/>
                  <w:tcBorders>
                    <w:tl2br w:val="nil"/>
                    <w:tr2bl w:val="nil"/>
                  </w:tcBorders>
                  <w:noWrap w:val="0"/>
                  <w:vAlign w:val="center"/>
                </w:tcPr>
                <w:p w14:paraId="2576C6D5">
                  <w:pPr>
                    <w:pStyle w:val="14"/>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最大储存量t</w:t>
                  </w:r>
                </w:p>
              </w:tc>
              <w:tc>
                <w:tcPr>
                  <w:tcW w:w="426" w:type="pct"/>
                  <w:tcBorders>
                    <w:tl2br w:val="nil"/>
                    <w:tr2bl w:val="nil"/>
                  </w:tcBorders>
                  <w:noWrap w:val="0"/>
                  <w:vAlign w:val="center"/>
                </w:tcPr>
                <w:p w14:paraId="6288B9B2">
                  <w:pPr>
                    <w:pStyle w:val="14"/>
                    <w:spacing w:line="240" w:lineRule="auto"/>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物理形态</w:t>
                  </w:r>
                </w:p>
              </w:tc>
              <w:tc>
                <w:tcPr>
                  <w:tcW w:w="388" w:type="pct"/>
                  <w:tcBorders>
                    <w:tl2br w:val="nil"/>
                    <w:tr2bl w:val="nil"/>
                  </w:tcBorders>
                  <w:noWrap w:val="0"/>
                  <w:vAlign w:val="center"/>
                </w:tcPr>
                <w:p w14:paraId="211E2DF9">
                  <w:pPr>
                    <w:pStyle w:val="14"/>
                    <w:spacing w:line="240" w:lineRule="auto"/>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包装形式</w:t>
                  </w:r>
                </w:p>
              </w:tc>
              <w:tc>
                <w:tcPr>
                  <w:tcW w:w="665" w:type="pct"/>
                  <w:tcBorders>
                    <w:tl2br w:val="nil"/>
                    <w:tr2bl w:val="nil"/>
                  </w:tcBorders>
                  <w:noWrap w:val="0"/>
                  <w:vAlign w:val="center"/>
                </w:tcPr>
                <w:p w14:paraId="294AA636">
                  <w:pPr>
                    <w:pStyle w:val="14"/>
                    <w:spacing w:line="240" w:lineRule="auto"/>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储存位置</w:t>
                  </w:r>
                </w:p>
              </w:tc>
            </w:tr>
            <w:tr w14:paraId="050AD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88" w:type="pct"/>
                  <w:tcBorders>
                    <w:tl2br w:val="nil"/>
                    <w:tr2bl w:val="nil"/>
                  </w:tcBorders>
                  <w:noWrap w:val="0"/>
                  <w:vAlign w:val="center"/>
                </w:tcPr>
                <w:p w14:paraId="20B25515">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1146" w:type="pct"/>
                  <w:tcBorders>
                    <w:tl2br w:val="nil"/>
                    <w:tr2bl w:val="nil"/>
                  </w:tcBorders>
                  <w:noWrap w:val="0"/>
                  <w:vAlign w:val="center"/>
                </w:tcPr>
                <w:p w14:paraId="321E3126">
                  <w:pPr>
                    <w:pStyle w:val="14"/>
                    <w:spacing w:before="120"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塑料</w:t>
                  </w:r>
                  <w:r>
                    <w:rPr>
                      <w:rFonts w:hint="eastAsia" w:ascii="Times New Roman" w:hAnsi="Times New Roman" w:cs="Times New Roman"/>
                      <w:b w:val="0"/>
                      <w:bCs w:val="0"/>
                      <w:color w:val="auto"/>
                      <w:sz w:val="21"/>
                      <w:szCs w:val="21"/>
                      <w:lang w:val="en-US" w:eastAsia="zh-CN"/>
                    </w:rPr>
                    <w:t>颗粒</w:t>
                  </w:r>
                  <w:r>
                    <w:rPr>
                      <w:rFonts w:hint="default" w:ascii="Times New Roman" w:hAnsi="Times New Roman" w:eastAsia="宋体" w:cs="Times New Roman"/>
                      <w:b w:val="0"/>
                      <w:bCs w:val="0"/>
                      <w:color w:val="auto"/>
                      <w:sz w:val="21"/>
                      <w:szCs w:val="21"/>
                      <w:lang w:val="en-US" w:eastAsia="zh-CN"/>
                    </w:rPr>
                    <w:t>（PC/ABS）</w:t>
                  </w:r>
                </w:p>
              </w:tc>
              <w:tc>
                <w:tcPr>
                  <w:tcW w:w="650" w:type="pct"/>
                  <w:tcBorders>
                    <w:tl2br w:val="nil"/>
                    <w:tr2bl w:val="nil"/>
                  </w:tcBorders>
                  <w:noWrap w:val="0"/>
                  <w:vAlign w:val="center"/>
                </w:tcPr>
                <w:p w14:paraId="557413B4">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110</w:t>
                  </w:r>
                </w:p>
              </w:tc>
              <w:tc>
                <w:tcPr>
                  <w:tcW w:w="921" w:type="pct"/>
                  <w:tcBorders>
                    <w:tl2br w:val="nil"/>
                    <w:tr2bl w:val="nil"/>
                  </w:tcBorders>
                  <w:noWrap w:val="0"/>
                  <w:vAlign w:val="center"/>
                </w:tcPr>
                <w:p w14:paraId="76F31048">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PC:70%; ABS:30%</w:t>
                  </w:r>
                </w:p>
              </w:tc>
              <w:tc>
                <w:tcPr>
                  <w:tcW w:w="513" w:type="pct"/>
                  <w:tcBorders>
                    <w:tl2br w:val="nil"/>
                    <w:tr2bl w:val="nil"/>
                  </w:tcBorders>
                  <w:noWrap w:val="0"/>
                  <w:vAlign w:val="center"/>
                </w:tcPr>
                <w:p w14:paraId="770A48AE">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w:t>
                  </w:r>
                </w:p>
              </w:tc>
              <w:tc>
                <w:tcPr>
                  <w:tcW w:w="426" w:type="pct"/>
                  <w:tcBorders>
                    <w:tl2br w:val="nil"/>
                    <w:tr2bl w:val="nil"/>
                  </w:tcBorders>
                  <w:noWrap w:val="0"/>
                  <w:vAlign w:val="center"/>
                </w:tcPr>
                <w:p w14:paraId="02C01D86">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固体</w:t>
                  </w:r>
                </w:p>
              </w:tc>
              <w:tc>
                <w:tcPr>
                  <w:tcW w:w="388" w:type="pct"/>
                  <w:tcBorders>
                    <w:tl2br w:val="nil"/>
                    <w:tr2bl w:val="nil"/>
                  </w:tcBorders>
                  <w:noWrap w:val="0"/>
                  <w:vAlign w:val="center"/>
                </w:tcPr>
                <w:p w14:paraId="523CDE2F">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袋装</w:t>
                  </w:r>
                </w:p>
              </w:tc>
              <w:tc>
                <w:tcPr>
                  <w:tcW w:w="665" w:type="pct"/>
                  <w:tcBorders>
                    <w:tl2br w:val="nil"/>
                    <w:tr2bl w:val="nil"/>
                  </w:tcBorders>
                  <w:noWrap w:val="0"/>
                  <w:vAlign w:val="center"/>
                </w:tcPr>
                <w:p w14:paraId="1974CF16">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36E13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88" w:type="pct"/>
                  <w:tcBorders>
                    <w:tl2br w:val="nil"/>
                    <w:tr2bl w:val="nil"/>
                  </w:tcBorders>
                  <w:noWrap w:val="0"/>
                  <w:vAlign w:val="center"/>
                </w:tcPr>
                <w:p w14:paraId="7CDBC695">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p>
              </w:tc>
              <w:tc>
                <w:tcPr>
                  <w:tcW w:w="1146" w:type="pct"/>
                  <w:tcBorders>
                    <w:tl2br w:val="nil"/>
                    <w:tr2bl w:val="nil"/>
                  </w:tcBorders>
                  <w:noWrap w:val="0"/>
                  <w:vAlign w:val="center"/>
                </w:tcPr>
                <w:p w14:paraId="41590D35">
                  <w:pPr>
                    <w:pStyle w:val="14"/>
                    <w:spacing w:before="120"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塑料</w:t>
                  </w:r>
                  <w:r>
                    <w:rPr>
                      <w:rFonts w:hint="eastAsia" w:ascii="Times New Roman" w:hAnsi="Times New Roman" w:cs="Times New Roman"/>
                      <w:b w:val="0"/>
                      <w:bCs w:val="0"/>
                      <w:color w:val="auto"/>
                      <w:sz w:val="21"/>
                      <w:szCs w:val="21"/>
                      <w:lang w:val="en-US" w:eastAsia="zh-CN"/>
                    </w:rPr>
                    <w:t>颗粒</w:t>
                  </w:r>
                  <w:r>
                    <w:rPr>
                      <w:rFonts w:hint="default" w:ascii="Times New Roman" w:hAnsi="Times New Roman" w:eastAsia="宋体" w:cs="Times New Roman"/>
                      <w:b w:val="0"/>
                      <w:bCs w:val="0"/>
                      <w:color w:val="auto"/>
                      <w:sz w:val="21"/>
                      <w:szCs w:val="21"/>
                      <w:lang w:val="en-US" w:eastAsia="zh-CN"/>
                    </w:rPr>
                    <w:t>（PP）</w:t>
                  </w:r>
                </w:p>
              </w:tc>
              <w:tc>
                <w:tcPr>
                  <w:tcW w:w="650" w:type="pct"/>
                  <w:tcBorders>
                    <w:tl2br w:val="nil"/>
                    <w:tr2bl w:val="nil"/>
                  </w:tcBorders>
                  <w:noWrap w:val="0"/>
                  <w:vAlign w:val="center"/>
                </w:tcPr>
                <w:p w14:paraId="0AD3AC6F">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50</w:t>
                  </w:r>
                </w:p>
              </w:tc>
              <w:tc>
                <w:tcPr>
                  <w:tcW w:w="921" w:type="pct"/>
                  <w:tcBorders>
                    <w:tl2br w:val="nil"/>
                    <w:tr2bl w:val="nil"/>
                  </w:tcBorders>
                  <w:noWrap w:val="0"/>
                  <w:vAlign w:val="center"/>
                </w:tcPr>
                <w:p w14:paraId="46D41568">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PP:100%</w:t>
                  </w:r>
                </w:p>
              </w:tc>
              <w:tc>
                <w:tcPr>
                  <w:tcW w:w="513" w:type="pct"/>
                  <w:tcBorders>
                    <w:tl2br w:val="nil"/>
                    <w:tr2bl w:val="nil"/>
                  </w:tcBorders>
                  <w:noWrap w:val="0"/>
                  <w:vAlign w:val="center"/>
                </w:tcPr>
                <w:p w14:paraId="517A8140">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w:t>
                  </w:r>
                </w:p>
              </w:tc>
              <w:tc>
                <w:tcPr>
                  <w:tcW w:w="426" w:type="pct"/>
                  <w:tcBorders>
                    <w:tl2br w:val="nil"/>
                    <w:tr2bl w:val="nil"/>
                  </w:tcBorders>
                  <w:noWrap w:val="0"/>
                  <w:vAlign w:val="center"/>
                </w:tcPr>
                <w:p w14:paraId="05172FA2">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固体</w:t>
                  </w:r>
                </w:p>
              </w:tc>
              <w:tc>
                <w:tcPr>
                  <w:tcW w:w="388" w:type="pct"/>
                  <w:tcBorders>
                    <w:tl2br w:val="nil"/>
                    <w:tr2bl w:val="nil"/>
                  </w:tcBorders>
                  <w:noWrap w:val="0"/>
                  <w:vAlign w:val="center"/>
                </w:tcPr>
                <w:p w14:paraId="10A60BD8">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袋装</w:t>
                  </w:r>
                </w:p>
              </w:tc>
              <w:tc>
                <w:tcPr>
                  <w:tcW w:w="665" w:type="pct"/>
                  <w:tcBorders>
                    <w:tl2br w:val="nil"/>
                    <w:tr2bl w:val="nil"/>
                  </w:tcBorders>
                  <w:noWrap w:val="0"/>
                  <w:vAlign w:val="center"/>
                </w:tcPr>
                <w:p w14:paraId="57B8C767">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66A3F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88" w:type="pct"/>
                  <w:tcBorders>
                    <w:tl2br w:val="nil"/>
                    <w:tr2bl w:val="nil"/>
                  </w:tcBorders>
                  <w:noWrap w:val="0"/>
                  <w:vAlign w:val="center"/>
                </w:tcPr>
                <w:p w14:paraId="68EDF96A">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1146" w:type="pct"/>
                  <w:tcBorders>
                    <w:tl2br w:val="nil"/>
                    <w:tr2bl w:val="nil"/>
                  </w:tcBorders>
                  <w:noWrap w:val="0"/>
                  <w:vAlign w:val="center"/>
                </w:tcPr>
                <w:p w14:paraId="72B177D9">
                  <w:pPr>
                    <w:pStyle w:val="14"/>
                    <w:spacing w:before="120"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塑料</w:t>
                  </w:r>
                  <w:r>
                    <w:rPr>
                      <w:rFonts w:hint="eastAsia" w:ascii="Times New Roman" w:hAnsi="Times New Roman" w:cs="Times New Roman"/>
                      <w:b w:val="0"/>
                      <w:bCs w:val="0"/>
                      <w:color w:val="auto"/>
                      <w:sz w:val="21"/>
                      <w:szCs w:val="21"/>
                      <w:lang w:val="en-US" w:eastAsia="zh-CN"/>
                    </w:rPr>
                    <w:t>颗粒</w:t>
                  </w:r>
                  <w:r>
                    <w:rPr>
                      <w:rFonts w:hint="default" w:ascii="Times New Roman" w:hAnsi="Times New Roman" w:eastAsia="宋体" w:cs="Times New Roman"/>
                      <w:b w:val="0"/>
                      <w:bCs w:val="0"/>
                      <w:color w:val="auto"/>
                      <w:sz w:val="21"/>
                      <w:szCs w:val="21"/>
                      <w:lang w:val="en-US" w:eastAsia="zh-CN"/>
                    </w:rPr>
                    <w:t>（ABS）</w:t>
                  </w:r>
                </w:p>
              </w:tc>
              <w:tc>
                <w:tcPr>
                  <w:tcW w:w="650" w:type="pct"/>
                  <w:tcBorders>
                    <w:tl2br w:val="nil"/>
                    <w:tr2bl w:val="nil"/>
                  </w:tcBorders>
                  <w:noWrap w:val="0"/>
                  <w:vAlign w:val="center"/>
                </w:tcPr>
                <w:p w14:paraId="56924E3D">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70</w:t>
                  </w:r>
                </w:p>
              </w:tc>
              <w:tc>
                <w:tcPr>
                  <w:tcW w:w="921" w:type="pct"/>
                  <w:tcBorders>
                    <w:tl2br w:val="nil"/>
                    <w:tr2bl w:val="nil"/>
                  </w:tcBorders>
                  <w:noWrap w:val="0"/>
                  <w:vAlign w:val="center"/>
                </w:tcPr>
                <w:p w14:paraId="10E5E2A3">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A:20%; B:30%; S:50%</w:t>
                  </w:r>
                </w:p>
              </w:tc>
              <w:tc>
                <w:tcPr>
                  <w:tcW w:w="513" w:type="pct"/>
                  <w:tcBorders>
                    <w:tl2br w:val="nil"/>
                    <w:tr2bl w:val="nil"/>
                  </w:tcBorders>
                  <w:noWrap w:val="0"/>
                  <w:vAlign w:val="center"/>
                </w:tcPr>
                <w:p w14:paraId="512B8FA1">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w:t>
                  </w:r>
                </w:p>
              </w:tc>
              <w:tc>
                <w:tcPr>
                  <w:tcW w:w="426" w:type="pct"/>
                  <w:tcBorders>
                    <w:tl2br w:val="nil"/>
                    <w:tr2bl w:val="nil"/>
                  </w:tcBorders>
                  <w:noWrap w:val="0"/>
                  <w:vAlign w:val="center"/>
                </w:tcPr>
                <w:p w14:paraId="4B29A28C">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固体</w:t>
                  </w:r>
                </w:p>
              </w:tc>
              <w:tc>
                <w:tcPr>
                  <w:tcW w:w="388" w:type="pct"/>
                  <w:tcBorders>
                    <w:tl2br w:val="nil"/>
                    <w:tr2bl w:val="nil"/>
                  </w:tcBorders>
                  <w:noWrap w:val="0"/>
                  <w:vAlign w:val="center"/>
                </w:tcPr>
                <w:p w14:paraId="52006171">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袋装</w:t>
                  </w:r>
                </w:p>
              </w:tc>
              <w:tc>
                <w:tcPr>
                  <w:tcW w:w="665" w:type="pct"/>
                  <w:tcBorders>
                    <w:tl2br w:val="nil"/>
                    <w:tr2bl w:val="nil"/>
                  </w:tcBorders>
                  <w:noWrap w:val="0"/>
                  <w:vAlign w:val="center"/>
                </w:tcPr>
                <w:p w14:paraId="1F60BEB9">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2553F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88" w:type="pct"/>
                  <w:tcBorders>
                    <w:tl2br w:val="nil"/>
                    <w:tr2bl w:val="nil"/>
                  </w:tcBorders>
                  <w:noWrap w:val="0"/>
                  <w:vAlign w:val="center"/>
                </w:tcPr>
                <w:p w14:paraId="014BB6BC">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1146" w:type="pct"/>
                  <w:tcBorders>
                    <w:tl2br w:val="nil"/>
                    <w:tr2bl w:val="nil"/>
                  </w:tcBorders>
                  <w:noWrap w:val="0"/>
                  <w:vAlign w:val="center"/>
                </w:tcPr>
                <w:p w14:paraId="5080A3EC">
                  <w:pPr>
                    <w:pStyle w:val="14"/>
                    <w:spacing w:before="120"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塑料</w:t>
                  </w:r>
                  <w:r>
                    <w:rPr>
                      <w:rFonts w:hint="eastAsia" w:ascii="Times New Roman" w:hAnsi="Times New Roman" w:cs="Times New Roman"/>
                      <w:b w:val="0"/>
                      <w:bCs w:val="0"/>
                      <w:color w:val="auto"/>
                      <w:sz w:val="21"/>
                      <w:szCs w:val="21"/>
                      <w:lang w:val="en-US" w:eastAsia="zh-CN"/>
                    </w:rPr>
                    <w:t>颗粒</w:t>
                  </w:r>
                  <w:r>
                    <w:rPr>
                      <w:rFonts w:hint="default" w:ascii="Times New Roman" w:hAnsi="Times New Roman" w:eastAsia="宋体" w:cs="Times New Roman"/>
                      <w:b w:val="0"/>
                      <w:bCs w:val="0"/>
                      <w:color w:val="auto"/>
                      <w:sz w:val="21"/>
                      <w:szCs w:val="21"/>
                      <w:lang w:val="en-US" w:eastAsia="zh-CN"/>
                    </w:rPr>
                    <w:t>（PP+EPDM-T20）</w:t>
                  </w:r>
                </w:p>
              </w:tc>
              <w:tc>
                <w:tcPr>
                  <w:tcW w:w="650" w:type="pct"/>
                  <w:tcBorders>
                    <w:tl2br w:val="nil"/>
                    <w:tr2bl w:val="nil"/>
                  </w:tcBorders>
                  <w:noWrap w:val="0"/>
                  <w:vAlign w:val="center"/>
                </w:tcPr>
                <w:p w14:paraId="2695BB34">
                  <w:pPr>
                    <w:pStyle w:val="14"/>
                    <w:spacing w:line="240" w:lineRule="auto"/>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90</w:t>
                  </w:r>
                </w:p>
              </w:tc>
              <w:tc>
                <w:tcPr>
                  <w:tcW w:w="921" w:type="pct"/>
                  <w:tcBorders>
                    <w:tl2br w:val="nil"/>
                    <w:tr2bl w:val="nil"/>
                  </w:tcBorders>
                  <w:noWrap w:val="0"/>
                  <w:vAlign w:val="center"/>
                </w:tcPr>
                <w:p w14:paraId="4445ED2E">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PP:60%; EPDM:20%; T20:20%</w:t>
                  </w:r>
                </w:p>
              </w:tc>
              <w:tc>
                <w:tcPr>
                  <w:tcW w:w="513" w:type="pct"/>
                  <w:tcBorders>
                    <w:tl2br w:val="nil"/>
                    <w:tr2bl w:val="nil"/>
                  </w:tcBorders>
                  <w:noWrap w:val="0"/>
                  <w:vAlign w:val="center"/>
                </w:tcPr>
                <w:p w14:paraId="48DE0DE0">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w:t>
                  </w:r>
                </w:p>
              </w:tc>
              <w:tc>
                <w:tcPr>
                  <w:tcW w:w="426" w:type="pct"/>
                  <w:tcBorders>
                    <w:tl2br w:val="nil"/>
                    <w:tr2bl w:val="nil"/>
                  </w:tcBorders>
                  <w:noWrap w:val="0"/>
                  <w:vAlign w:val="center"/>
                </w:tcPr>
                <w:p w14:paraId="10C64B5F">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固体</w:t>
                  </w:r>
                </w:p>
              </w:tc>
              <w:tc>
                <w:tcPr>
                  <w:tcW w:w="388" w:type="pct"/>
                  <w:tcBorders>
                    <w:tl2br w:val="nil"/>
                    <w:tr2bl w:val="nil"/>
                  </w:tcBorders>
                  <w:noWrap w:val="0"/>
                  <w:vAlign w:val="center"/>
                </w:tcPr>
                <w:p w14:paraId="3F150C84">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袋装</w:t>
                  </w:r>
                </w:p>
              </w:tc>
              <w:tc>
                <w:tcPr>
                  <w:tcW w:w="665" w:type="pct"/>
                  <w:tcBorders>
                    <w:tl2br w:val="nil"/>
                    <w:tr2bl w:val="nil"/>
                  </w:tcBorders>
                  <w:noWrap w:val="0"/>
                  <w:vAlign w:val="center"/>
                </w:tcPr>
                <w:p w14:paraId="48333F70">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495F9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88" w:type="pct"/>
                  <w:tcBorders>
                    <w:tl2br w:val="nil"/>
                    <w:tr2bl w:val="nil"/>
                  </w:tcBorders>
                  <w:noWrap w:val="0"/>
                  <w:vAlign w:val="center"/>
                </w:tcPr>
                <w:p w14:paraId="0138BB2B">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p>
              </w:tc>
              <w:tc>
                <w:tcPr>
                  <w:tcW w:w="1146" w:type="pct"/>
                  <w:tcBorders>
                    <w:tl2br w:val="nil"/>
                    <w:tr2bl w:val="nil"/>
                  </w:tcBorders>
                  <w:noWrap w:val="0"/>
                  <w:vAlign w:val="center"/>
                </w:tcPr>
                <w:p w14:paraId="1BDF8324">
                  <w:pPr>
                    <w:pStyle w:val="14"/>
                    <w:spacing w:before="120"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塑料</w:t>
                  </w:r>
                  <w:r>
                    <w:rPr>
                      <w:rFonts w:hint="eastAsia" w:ascii="Times New Roman" w:hAnsi="Times New Roman" w:cs="Times New Roman"/>
                      <w:b w:val="0"/>
                      <w:bCs w:val="0"/>
                      <w:color w:val="auto"/>
                      <w:sz w:val="21"/>
                      <w:szCs w:val="21"/>
                      <w:lang w:val="en-US" w:eastAsia="zh-CN"/>
                    </w:rPr>
                    <w:t>颗粒</w:t>
                  </w:r>
                  <w:r>
                    <w:rPr>
                      <w:rFonts w:hint="default" w:ascii="Times New Roman" w:hAnsi="Times New Roman" w:eastAsia="宋体" w:cs="Times New Roman"/>
                      <w:b w:val="0"/>
                      <w:bCs w:val="0"/>
                      <w:color w:val="auto"/>
                      <w:sz w:val="21"/>
                      <w:szCs w:val="21"/>
                      <w:lang w:val="en-US" w:eastAsia="zh-CN"/>
                    </w:rPr>
                    <w:t>（PA6-GF30）</w:t>
                  </w:r>
                </w:p>
              </w:tc>
              <w:tc>
                <w:tcPr>
                  <w:tcW w:w="650" w:type="pct"/>
                  <w:tcBorders>
                    <w:tl2br w:val="nil"/>
                    <w:tr2bl w:val="nil"/>
                  </w:tcBorders>
                  <w:noWrap w:val="0"/>
                  <w:vAlign w:val="center"/>
                </w:tcPr>
                <w:p w14:paraId="5EE053ED">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78</w:t>
                  </w:r>
                </w:p>
              </w:tc>
              <w:tc>
                <w:tcPr>
                  <w:tcW w:w="921" w:type="pct"/>
                  <w:tcBorders>
                    <w:tl2br w:val="nil"/>
                    <w:tr2bl w:val="nil"/>
                  </w:tcBorders>
                  <w:noWrap w:val="0"/>
                  <w:vAlign w:val="center"/>
                </w:tcPr>
                <w:p w14:paraId="2F1D374D">
                  <w:pPr>
                    <w:pStyle w:val="14"/>
                    <w:spacing w:line="240" w:lineRule="auto"/>
                    <w:jc w:val="center"/>
                    <w:rPr>
                      <w:rFonts w:hint="default"/>
                      <w:lang w:val="en-US" w:eastAsia="zh-CN"/>
                    </w:rPr>
                  </w:pPr>
                  <w:r>
                    <w:rPr>
                      <w:rFonts w:hint="eastAsia" w:ascii="Times New Roman" w:hAnsi="Times New Roman" w:cs="Times New Roman"/>
                      <w:b w:val="0"/>
                      <w:bCs w:val="0"/>
                      <w:color w:val="auto"/>
                      <w:sz w:val="21"/>
                      <w:szCs w:val="21"/>
                      <w:lang w:val="en-US" w:eastAsia="zh-CN"/>
                    </w:rPr>
                    <w:t>PA6:70%; GF30:30%</w:t>
                  </w:r>
                </w:p>
              </w:tc>
              <w:tc>
                <w:tcPr>
                  <w:tcW w:w="513" w:type="pct"/>
                  <w:tcBorders>
                    <w:tl2br w:val="nil"/>
                    <w:tr2bl w:val="nil"/>
                  </w:tcBorders>
                  <w:noWrap w:val="0"/>
                  <w:vAlign w:val="center"/>
                </w:tcPr>
                <w:p w14:paraId="37A829C5">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w:t>
                  </w:r>
                </w:p>
              </w:tc>
              <w:tc>
                <w:tcPr>
                  <w:tcW w:w="426" w:type="pct"/>
                  <w:tcBorders>
                    <w:tl2br w:val="nil"/>
                    <w:tr2bl w:val="nil"/>
                  </w:tcBorders>
                  <w:noWrap w:val="0"/>
                  <w:vAlign w:val="center"/>
                </w:tcPr>
                <w:p w14:paraId="51C37DF9">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固体</w:t>
                  </w:r>
                </w:p>
              </w:tc>
              <w:tc>
                <w:tcPr>
                  <w:tcW w:w="388" w:type="pct"/>
                  <w:tcBorders>
                    <w:tl2br w:val="nil"/>
                    <w:tr2bl w:val="nil"/>
                  </w:tcBorders>
                  <w:noWrap w:val="0"/>
                  <w:vAlign w:val="center"/>
                </w:tcPr>
                <w:p w14:paraId="621438A3">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袋装</w:t>
                  </w:r>
                </w:p>
              </w:tc>
              <w:tc>
                <w:tcPr>
                  <w:tcW w:w="665" w:type="pct"/>
                  <w:tcBorders>
                    <w:tl2br w:val="nil"/>
                    <w:tr2bl w:val="nil"/>
                  </w:tcBorders>
                  <w:noWrap w:val="0"/>
                  <w:vAlign w:val="center"/>
                </w:tcPr>
                <w:p w14:paraId="40FD929C">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2920F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88" w:type="pct"/>
                  <w:tcBorders>
                    <w:tl2br w:val="nil"/>
                    <w:tr2bl w:val="nil"/>
                  </w:tcBorders>
                  <w:noWrap w:val="0"/>
                  <w:vAlign w:val="center"/>
                </w:tcPr>
                <w:p w14:paraId="450224BC">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6</w:t>
                  </w:r>
                </w:p>
              </w:tc>
              <w:tc>
                <w:tcPr>
                  <w:tcW w:w="1146" w:type="pct"/>
                  <w:tcBorders>
                    <w:tl2br w:val="nil"/>
                    <w:tr2bl w:val="nil"/>
                  </w:tcBorders>
                  <w:noWrap w:val="0"/>
                  <w:vAlign w:val="center"/>
                </w:tcPr>
                <w:p w14:paraId="03B9CAEB">
                  <w:pPr>
                    <w:pStyle w:val="14"/>
                    <w:spacing w:before="120"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干性脱模剂</w:t>
                  </w:r>
                </w:p>
              </w:tc>
              <w:tc>
                <w:tcPr>
                  <w:tcW w:w="650" w:type="pct"/>
                  <w:tcBorders>
                    <w:tl2br w:val="nil"/>
                    <w:tr2bl w:val="nil"/>
                  </w:tcBorders>
                  <w:noWrap w:val="0"/>
                  <w:vAlign w:val="center"/>
                </w:tcPr>
                <w:p w14:paraId="34DFC308">
                  <w:pPr>
                    <w:pStyle w:val="14"/>
                    <w:spacing w:line="240" w:lineRule="auto"/>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921" w:type="pct"/>
                  <w:tcBorders>
                    <w:tl2br w:val="nil"/>
                    <w:tr2bl w:val="nil"/>
                  </w:tcBorders>
                  <w:noWrap w:val="0"/>
                  <w:vAlign w:val="center"/>
                </w:tcPr>
                <w:p w14:paraId="51066629">
                  <w:pPr>
                    <w:pStyle w:val="14"/>
                    <w:spacing w:line="240" w:lineRule="auto"/>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513" w:type="pct"/>
                  <w:tcBorders>
                    <w:tl2br w:val="nil"/>
                    <w:tr2bl w:val="nil"/>
                  </w:tcBorders>
                  <w:noWrap w:val="0"/>
                  <w:vAlign w:val="center"/>
                </w:tcPr>
                <w:p w14:paraId="7543B634">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0.5</w:t>
                  </w:r>
                </w:p>
              </w:tc>
              <w:tc>
                <w:tcPr>
                  <w:tcW w:w="426" w:type="pct"/>
                  <w:tcBorders>
                    <w:tl2br w:val="nil"/>
                    <w:tr2bl w:val="nil"/>
                  </w:tcBorders>
                  <w:noWrap w:val="0"/>
                  <w:vAlign w:val="center"/>
                </w:tcPr>
                <w:p w14:paraId="5A93DB04">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固体</w:t>
                  </w:r>
                </w:p>
              </w:tc>
              <w:tc>
                <w:tcPr>
                  <w:tcW w:w="388" w:type="pct"/>
                  <w:tcBorders>
                    <w:tl2br w:val="nil"/>
                    <w:tr2bl w:val="nil"/>
                  </w:tcBorders>
                  <w:noWrap w:val="0"/>
                  <w:vAlign w:val="center"/>
                </w:tcPr>
                <w:p w14:paraId="65D9C3FB">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桶装</w:t>
                  </w:r>
                </w:p>
              </w:tc>
              <w:tc>
                <w:tcPr>
                  <w:tcW w:w="665" w:type="pct"/>
                  <w:tcBorders>
                    <w:tl2br w:val="nil"/>
                    <w:tr2bl w:val="nil"/>
                  </w:tcBorders>
                  <w:noWrap w:val="0"/>
                  <w:vAlign w:val="center"/>
                </w:tcPr>
                <w:p w14:paraId="75C4EA7F">
                  <w:pPr>
                    <w:pStyle w:val="14"/>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化学品仓库</w:t>
                  </w:r>
                </w:p>
              </w:tc>
            </w:tr>
            <w:tr w14:paraId="047A0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88" w:type="pct"/>
                  <w:tcBorders>
                    <w:tl2br w:val="nil"/>
                    <w:tr2bl w:val="nil"/>
                  </w:tcBorders>
                  <w:noWrap w:val="0"/>
                  <w:vAlign w:val="center"/>
                </w:tcPr>
                <w:p w14:paraId="51F42075">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w:t>
                  </w:r>
                </w:p>
              </w:tc>
              <w:tc>
                <w:tcPr>
                  <w:tcW w:w="1146" w:type="pct"/>
                  <w:tcBorders>
                    <w:tl2br w:val="nil"/>
                    <w:tr2bl w:val="nil"/>
                  </w:tcBorders>
                  <w:noWrap w:val="0"/>
                  <w:vAlign w:val="center"/>
                </w:tcPr>
                <w:p w14:paraId="444ED047">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机油</w:t>
                  </w:r>
                </w:p>
              </w:tc>
              <w:tc>
                <w:tcPr>
                  <w:tcW w:w="650" w:type="pct"/>
                  <w:tcBorders>
                    <w:tl2br w:val="nil"/>
                    <w:tr2bl w:val="nil"/>
                  </w:tcBorders>
                  <w:noWrap w:val="0"/>
                  <w:vAlign w:val="center"/>
                </w:tcPr>
                <w:p w14:paraId="7519719D">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0.25</w:t>
                  </w:r>
                </w:p>
              </w:tc>
              <w:tc>
                <w:tcPr>
                  <w:tcW w:w="921" w:type="pct"/>
                  <w:tcBorders>
                    <w:tl2br w:val="nil"/>
                    <w:tr2bl w:val="nil"/>
                  </w:tcBorders>
                  <w:noWrap w:val="0"/>
                  <w:vAlign w:val="center"/>
                </w:tcPr>
                <w:p w14:paraId="0FFBBEB1">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513" w:type="pct"/>
                  <w:tcBorders>
                    <w:tl2br w:val="nil"/>
                    <w:tr2bl w:val="nil"/>
                  </w:tcBorders>
                  <w:noWrap w:val="0"/>
                  <w:vAlign w:val="center"/>
                </w:tcPr>
                <w:p w14:paraId="1D77ADDD">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0.25</w:t>
                  </w:r>
                </w:p>
              </w:tc>
              <w:tc>
                <w:tcPr>
                  <w:tcW w:w="426" w:type="pct"/>
                  <w:tcBorders>
                    <w:tl2br w:val="nil"/>
                    <w:tr2bl w:val="nil"/>
                  </w:tcBorders>
                  <w:noWrap w:val="0"/>
                  <w:vAlign w:val="center"/>
                </w:tcPr>
                <w:p w14:paraId="404FB78D">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液体</w:t>
                  </w:r>
                </w:p>
              </w:tc>
              <w:tc>
                <w:tcPr>
                  <w:tcW w:w="388" w:type="pct"/>
                  <w:tcBorders>
                    <w:tl2br w:val="nil"/>
                    <w:tr2bl w:val="nil"/>
                  </w:tcBorders>
                  <w:noWrap w:val="0"/>
                  <w:vAlign w:val="center"/>
                </w:tcPr>
                <w:p w14:paraId="29C6FEF5">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桶装</w:t>
                  </w:r>
                </w:p>
              </w:tc>
              <w:tc>
                <w:tcPr>
                  <w:tcW w:w="665" w:type="pct"/>
                  <w:tcBorders>
                    <w:tl2br w:val="nil"/>
                    <w:tr2bl w:val="nil"/>
                  </w:tcBorders>
                  <w:noWrap w:val="0"/>
                  <w:vAlign w:val="center"/>
                </w:tcPr>
                <w:p w14:paraId="4BECA4E9">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化学品仓库</w:t>
                  </w:r>
                </w:p>
              </w:tc>
            </w:tr>
            <w:tr w14:paraId="10E11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288" w:type="pct"/>
                  <w:tcBorders>
                    <w:tl2br w:val="nil"/>
                    <w:tr2bl w:val="nil"/>
                  </w:tcBorders>
                  <w:noWrap w:val="0"/>
                  <w:vAlign w:val="center"/>
                </w:tcPr>
                <w:p w14:paraId="206379E6">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r>
                    <w:rPr>
                      <w:rFonts w:hint="eastAsia" w:ascii="Times New Roman" w:hAnsi="Times New Roman" w:cs="Times New Roman"/>
                      <w:b w:val="0"/>
                      <w:bCs w:val="0"/>
                      <w:color w:val="auto"/>
                      <w:sz w:val="21"/>
                      <w:szCs w:val="21"/>
                      <w:lang w:val="en-US" w:eastAsia="zh-CN"/>
                    </w:rPr>
                    <w:t>1</w:t>
                  </w:r>
                </w:p>
              </w:tc>
              <w:tc>
                <w:tcPr>
                  <w:tcW w:w="1146" w:type="pct"/>
                  <w:tcBorders>
                    <w:tl2br w:val="nil"/>
                    <w:tr2bl w:val="nil"/>
                  </w:tcBorders>
                  <w:noWrap w:val="0"/>
                  <w:vAlign w:val="center"/>
                </w:tcPr>
                <w:p w14:paraId="47D459A0">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生产用电</w:t>
                  </w:r>
                </w:p>
              </w:tc>
              <w:tc>
                <w:tcPr>
                  <w:tcW w:w="1571" w:type="pct"/>
                  <w:gridSpan w:val="2"/>
                  <w:tcBorders>
                    <w:tl2br w:val="nil"/>
                    <w:tr2bl w:val="nil"/>
                  </w:tcBorders>
                  <w:noWrap w:val="0"/>
                  <w:vAlign w:val="center"/>
                </w:tcPr>
                <w:p w14:paraId="39820AE1">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40万kwh/a</w:t>
                  </w:r>
                </w:p>
              </w:tc>
              <w:tc>
                <w:tcPr>
                  <w:tcW w:w="1993" w:type="pct"/>
                  <w:gridSpan w:val="4"/>
                  <w:tcBorders>
                    <w:tl2br w:val="nil"/>
                    <w:tr2bl w:val="nil"/>
                  </w:tcBorders>
                  <w:noWrap w:val="0"/>
                  <w:vAlign w:val="center"/>
                </w:tcPr>
                <w:p w14:paraId="09220181">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5878E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288" w:type="pct"/>
                  <w:tcBorders>
                    <w:tl2br w:val="nil"/>
                    <w:tr2bl w:val="nil"/>
                  </w:tcBorders>
                  <w:noWrap w:val="0"/>
                  <w:vAlign w:val="center"/>
                </w:tcPr>
                <w:p w14:paraId="2AD18181">
                  <w:pPr>
                    <w:pStyle w:val="14"/>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r>
                    <w:rPr>
                      <w:rFonts w:hint="eastAsia" w:ascii="Times New Roman" w:hAnsi="Times New Roman" w:cs="Times New Roman"/>
                      <w:b w:val="0"/>
                      <w:bCs w:val="0"/>
                      <w:color w:val="auto"/>
                      <w:sz w:val="21"/>
                      <w:szCs w:val="21"/>
                      <w:lang w:val="en-US" w:eastAsia="zh-CN"/>
                    </w:rPr>
                    <w:t>2</w:t>
                  </w:r>
                </w:p>
              </w:tc>
              <w:tc>
                <w:tcPr>
                  <w:tcW w:w="1146" w:type="pct"/>
                  <w:tcBorders>
                    <w:tl2br w:val="nil"/>
                    <w:tr2bl w:val="nil"/>
                  </w:tcBorders>
                  <w:noWrap w:val="0"/>
                  <w:vAlign w:val="center"/>
                </w:tcPr>
                <w:p w14:paraId="396DE297">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生产用水</w:t>
                  </w:r>
                </w:p>
              </w:tc>
              <w:tc>
                <w:tcPr>
                  <w:tcW w:w="1571" w:type="pct"/>
                  <w:gridSpan w:val="2"/>
                  <w:tcBorders>
                    <w:tl2br w:val="nil"/>
                    <w:tr2bl w:val="nil"/>
                  </w:tcBorders>
                  <w:noWrap w:val="0"/>
                  <w:vAlign w:val="center"/>
                </w:tcPr>
                <w:p w14:paraId="6BE57EC5">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1000t/a</w:t>
                  </w:r>
                </w:p>
              </w:tc>
              <w:tc>
                <w:tcPr>
                  <w:tcW w:w="1993" w:type="pct"/>
                  <w:gridSpan w:val="4"/>
                  <w:tcBorders>
                    <w:tl2br w:val="nil"/>
                    <w:tr2bl w:val="nil"/>
                  </w:tcBorders>
                  <w:noWrap w:val="0"/>
                  <w:vAlign w:val="center"/>
                </w:tcPr>
                <w:p w14:paraId="29255868">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bl>
          <w:p w14:paraId="3833A7EA">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表2.2-</w:t>
            </w:r>
            <w:r>
              <w:rPr>
                <w:rFonts w:hint="eastAsia" w:ascii="Times New Roman" w:hAnsi="Times New Roman" w:cs="Times New Roman"/>
                <w:b/>
                <w:bCs/>
                <w:color w:val="auto"/>
                <w:sz w:val="24"/>
                <w:szCs w:val="24"/>
                <w:u w:val="none"/>
                <w:lang w:val="en-US" w:eastAsia="zh-CN"/>
              </w:rPr>
              <w:t>5</w:t>
            </w:r>
            <w:r>
              <w:rPr>
                <w:rFonts w:hint="eastAsia" w:ascii="Times New Roman" w:hAnsi="Times New Roman" w:eastAsia="宋体" w:cs="Times New Roman"/>
                <w:b/>
                <w:bCs/>
                <w:color w:val="auto"/>
                <w:sz w:val="24"/>
                <w:szCs w:val="24"/>
                <w:u w:val="none"/>
                <w:lang w:val="en-US" w:eastAsia="zh-CN"/>
              </w:rPr>
              <w:t xml:space="preserve"> 原辅材料</w:t>
            </w:r>
            <w:r>
              <w:rPr>
                <w:rFonts w:hint="eastAsia" w:ascii="Times New Roman" w:hAnsi="Times New Roman" w:cs="Times New Roman"/>
                <w:b/>
                <w:bCs/>
                <w:color w:val="auto"/>
                <w:sz w:val="24"/>
                <w:szCs w:val="24"/>
                <w:u w:val="none"/>
                <w:lang w:val="en-US" w:eastAsia="zh-CN"/>
              </w:rPr>
              <w:t>理化性质表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275"/>
              <w:gridCol w:w="6714"/>
            </w:tblGrid>
            <w:tr w14:paraId="17AEE9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343" w:type="pct"/>
                  <w:tcBorders>
                    <w:tl2br w:val="nil"/>
                    <w:tr2bl w:val="nil"/>
                  </w:tcBorders>
                  <w:vAlign w:val="center"/>
                </w:tcPr>
                <w:p w14:paraId="62C2D0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743" w:type="pct"/>
                  <w:tcBorders>
                    <w:tl2br w:val="nil"/>
                    <w:tr2bl w:val="nil"/>
                  </w:tcBorders>
                  <w:vAlign w:val="center"/>
                </w:tcPr>
                <w:p w14:paraId="3175B8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原辅材料名称</w:t>
                  </w:r>
                </w:p>
              </w:tc>
              <w:tc>
                <w:tcPr>
                  <w:tcW w:w="3912" w:type="pct"/>
                  <w:tcBorders>
                    <w:tl2br w:val="nil"/>
                    <w:tr2bl w:val="nil"/>
                  </w:tcBorders>
                  <w:vAlign w:val="center"/>
                </w:tcPr>
                <w:p w14:paraId="2D80BD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理化性质</w:t>
                  </w:r>
                </w:p>
              </w:tc>
            </w:tr>
            <w:tr w14:paraId="64151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7" w:hRule="atLeast"/>
              </w:trPr>
              <w:tc>
                <w:tcPr>
                  <w:tcW w:w="343" w:type="pct"/>
                  <w:tcBorders>
                    <w:tl2br w:val="nil"/>
                    <w:tr2bl w:val="nil"/>
                  </w:tcBorders>
                  <w:shd w:val="clear" w:color="auto" w:fill="auto"/>
                  <w:vAlign w:val="center"/>
                </w:tcPr>
                <w:p w14:paraId="674F76D3">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1</w:t>
                  </w:r>
                </w:p>
              </w:tc>
              <w:tc>
                <w:tcPr>
                  <w:tcW w:w="743" w:type="pct"/>
                  <w:tcBorders>
                    <w:tl2br w:val="nil"/>
                    <w:tr2bl w:val="nil"/>
                  </w:tcBorders>
                  <w:shd w:val="clear" w:color="auto" w:fill="auto"/>
                  <w:vAlign w:val="center"/>
                </w:tcPr>
                <w:p w14:paraId="2061DF01">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塑料颗粒（PC/ABS）</w:t>
                  </w:r>
                </w:p>
              </w:tc>
              <w:tc>
                <w:tcPr>
                  <w:tcW w:w="3912" w:type="pct"/>
                  <w:tcBorders>
                    <w:tl2br w:val="nil"/>
                    <w:tr2bl w:val="nil"/>
                  </w:tcBorders>
                  <w:vAlign w:val="center"/>
                </w:tcPr>
                <w:p w14:paraId="71EBE7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PC/ABS是一种热塑性塑料合金，它通过</w:t>
                  </w:r>
                  <w:r>
                    <w:rPr>
                      <w:rFonts w:hint="eastAsia" w:cs="Times New Roman"/>
                      <w:color w:val="auto"/>
                      <w:sz w:val="21"/>
                      <w:szCs w:val="21"/>
                      <w:vertAlign w:val="baseline"/>
                      <w:lang w:val="en-US" w:eastAsia="zh-CN"/>
                    </w:rPr>
                    <w:t>聚碳酸酯</w:t>
                  </w:r>
                  <w:r>
                    <w:rPr>
                      <w:rFonts w:hint="default" w:ascii="Times New Roman" w:hAnsi="Times New Roman" w:eastAsia="宋体" w:cs="Times New Roman"/>
                      <w:color w:val="auto"/>
                      <w:sz w:val="21"/>
                      <w:szCs w:val="21"/>
                      <w:vertAlign w:val="baseline"/>
                      <w:lang w:val="en-US" w:eastAsia="zh-CN"/>
                    </w:rPr>
                    <w:t>（PC）和丙烯腈-丁二烯-苯乙烯共聚物（ABS）共混而成。这种合金旨在将PC的优异机械性能、耐热性和耐冲击性与ABS的易加工性和低成本相结合。密度约为1.10-1.20g/cm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，通常为不透明，但可调配成各种颜色。不耐强酸、强碱、酮类、酯类、芳香烃和氯化烃等极性溶剂。</w:t>
                  </w:r>
                </w:p>
              </w:tc>
            </w:tr>
            <w:tr w14:paraId="32A1C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3" w:type="pct"/>
                  <w:tcBorders>
                    <w:tl2br w:val="nil"/>
                    <w:tr2bl w:val="nil"/>
                  </w:tcBorders>
                  <w:shd w:val="clear" w:color="auto" w:fill="auto"/>
                  <w:vAlign w:val="center"/>
                </w:tcPr>
                <w:p w14:paraId="751EFF84">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2</w:t>
                  </w:r>
                </w:p>
              </w:tc>
              <w:tc>
                <w:tcPr>
                  <w:tcW w:w="743" w:type="pct"/>
                  <w:tcBorders>
                    <w:tl2br w:val="nil"/>
                    <w:tr2bl w:val="nil"/>
                  </w:tcBorders>
                  <w:shd w:val="clear" w:color="auto" w:fill="auto"/>
                  <w:vAlign w:val="center"/>
                </w:tcPr>
                <w:p w14:paraId="7CC92877">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塑料颗粒（PP）</w:t>
                  </w:r>
                </w:p>
              </w:tc>
              <w:tc>
                <w:tcPr>
                  <w:tcW w:w="3912" w:type="pct"/>
                  <w:tcBorders>
                    <w:tl2br w:val="nil"/>
                    <w:tr2bl w:val="nil"/>
                  </w:tcBorders>
                  <w:vAlign w:val="center"/>
                </w:tcPr>
                <w:p w14:paraId="76F5EA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聚丙烯（Polypropylene，简称PP）是由丙烯聚合而制得的一种热塑性树脂。其最大特点是成本低、密度小、耐化学性极佳，并且通过不同的聚合工艺和改性，可以获得性能差异很大的多种牌号（如均聚PP、共聚PP）。密度约0.89-0.91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，吸水率极低，几乎不吸水。本身为半透明蜡状。可通过快速冷却制成透明度很高的制品，或添加成核剂增透。在室温下对大多数酸、碱、盐溶液、醇类、油脂均呈惰性。</w:t>
                  </w:r>
                </w:p>
              </w:tc>
            </w:tr>
            <w:tr w14:paraId="33132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2" w:hRule="atLeast"/>
              </w:trPr>
              <w:tc>
                <w:tcPr>
                  <w:tcW w:w="343" w:type="pct"/>
                  <w:tcBorders>
                    <w:tl2br w:val="nil"/>
                    <w:tr2bl w:val="nil"/>
                  </w:tcBorders>
                  <w:shd w:val="clear" w:color="auto" w:fill="auto"/>
                  <w:vAlign w:val="center"/>
                </w:tcPr>
                <w:p w14:paraId="44B84609">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3</w:t>
                  </w:r>
                </w:p>
              </w:tc>
              <w:tc>
                <w:tcPr>
                  <w:tcW w:w="743" w:type="pct"/>
                  <w:tcBorders>
                    <w:tl2br w:val="nil"/>
                    <w:tr2bl w:val="nil"/>
                  </w:tcBorders>
                  <w:shd w:val="clear" w:color="auto" w:fill="auto"/>
                  <w:vAlign w:val="center"/>
                </w:tcPr>
                <w:p w14:paraId="3DD47AF8">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塑料颗粒</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ABS</w:t>
                  </w:r>
                  <w:r>
                    <w:rPr>
                      <w:rFonts w:hint="eastAsia" w:ascii="Times New Roman" w:hAnsi="Times New Roman" w:cs="Times New Roman"/>
                      <w:b w:val="0"/>
                      <w:bCs w:val="0"/>
                      <w:color w:val="auto"/>
                      <w:sz w:val="21"/>
                      <w:szCs w:val="21"/>
                      <w:lang w:val="en-US" w:eastAsia="zh-CN"/>
                    </w:rPr>
                    <w:t>）</w:t>
                  </w:r>
                </w:p>
              </w:tc>
              <w:tc>
                <w:tcPr>
                  <w:tcW w:w="3912" w:type="pct"/>
                  <w:tcBorders>
                    <w:tl2br w:val="nil"/>
                    <w:tr2bl w:val="nil"/>
                  </w:tcBorders>
                  <w:vAlign w:val="center"/>
                </w:tcPr>
                <w:p w14:paraId="69CFF9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ABS是丙烯腈（Acrylonitrile）、丁二烯（Butadiene）、苯乙烯（Styrene）三种单体的三元共聚物。它综合了三种组分的共同优点，因此得名。</w:t>
                  </w:r>
                </w:p>
                <w:p w14:paraId="3F3400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丙烯腈（A）：赋予其硬度、强度、耐热性和耐化学性。丁二烯（B）：赋予其优异的韧性和抗冲击性能。苯乙烯（S）：赋予其刚性和良好的加工流动性、表面光泽。密度约1.03-1.06g/cm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，是一种良好的绝缘材料。耐化学性，对水、无机盐、碱和稀酸具有良好的耐受性；溶于酮类、醛类、酯类和某些氯化烃。</w:t>
                  </w:r>
                </w:p>
              </w:tc>
            </w:tr>
            <w:tr w14:paraId="1F4437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343" w:type="pct"/>
                  <w:tcBorders>
                    <w:tl2br w:val="nil"/>
                    <w:tr2bl w:val="nil"/>
                  </w:tcBorders>
                  <w:shd w:val="clear" w:color="auto" w:fill="auto"/>
                  <w:vAlign w:val="center"/>
                </w:tcPr>
                <w:p w14:paraId="0A69418C">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4</w:t>
                  </w:r>
                </w:p>
              </w:tc>
              <w:tc>
                <w:tcPr>
                  <w:tcW w:w="743" w:type="pct"/>
                  <w:tcBorders>
                    <w:tl2br w:val="nil"/>
                    <w:tr2bl w:val="nil"/>
                  </w:tcBorders>
                  <w:shd w:val="clear" w:color="auto" w:fill="auto"/>
                  <w:vAlign w:val="center"/>
                </w:tcPr>
                <w:p w14:paraId="7D9D231F">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塑料颗粒（PP+EPDM-T20）</w:t>
                  </w:r>
                </w:p>
              </w:tc>
              <w:tc>
                <w:tcPr>
                  <w:tcW w:w="3912" w:type="pct"/>
                  <w:tcBorders>
                    <w:tl2br w:val="nil"/>
                    <w:tr2bl w:val="nil"/>
                  </w:tcBorders>
                  <w:vAlign w:val="center"/>
                </w:tcPr>
                <w:p w14:paraId="6BD2B3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P：聚丙烯，作为基体树脂，提供刚性、耐热性和化学稳定性；EPDM：三元乙丙橡胶，作为增韧改性剂，用以大幅度提高PP的抗冲击韧性，尤其是低温韧性；T20：通常表示添加了20%的滑石粉，作为无机填料，用以提高刚性、耐热性、尺寸稳定性和降低</w:t>
                  </w:r>
                  <w:r>
                    <w:rPr>
                      <w:rFonts w:hint="eastAsia" w:cs="Times New Roman"/>
                      <w:color w:val="auto"/>
                      <w:sz w:val="21"/>
                      <w:szCs w:val="21"/>
                      <w:vertAlign w:val="baseline"/>
                      <w:lang w:val="en-US" w:eastAsia="zh-CN"/>
                    </w:rPr>
                    <w:t>成形</w:t>
                  </w:r>
                  <w:r>
                    <w:rPr>
                      <w:rFonts w:hint="default" w:ascii="Times New Roman" w:hAnsi="Times New Roman" w:eastAsia="宋体" w:cs="Times New Roman"/>
                      <w:color w:val="auto"/>
                      <w:sz w:val="21"/>
                      <w:szCs w:val="21"/>
                      <w:vertAlign w:val="baseline"/>
                      <w:lang w:val="en-US" w:eastAsia="zh-CN"/>
                    </w:rPr>
                    <w:t>收缩率。因此，这是一种集“基体（PP）+增韧（EPDM）+填充增强（Talc”三位一体的高性能复合材料，旨在克服均聚PP或普通共聚PP的固有缺点。其密度约1.04-1.12g/cm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r>
            <w:tr w14:paraId="1A8EE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343" w:type="pct"/>
                  <w:tcBorders>
                    <w:tl2br w:val="nil"/>
                    <w:tr2bl w:val="nil"/>
                  </w:tcBorders>
                  <w:shd w:val="clear" w:color="auto" w:fill="auto"/>
                  <w:vAlign w:val="center"/>
                </w:tcPr>
                <w:p w14:paraId="22CAE5E6">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5</w:t>
                  </w:r>
                </w:p>
              </w:tc>
              <w:tc>
                <w:tcPr>
                  <w:tcW w:w="743" w:type="pct"/>
                  <w:tcBorders>
                    <w:tl2br w:val="nil"/>
                    <w:tr2bl w:val="nil"/>
                  </w:tcBorders>
                  <w:shd w:val="clear" w:color="auto" w:fill="auto"/>
                  <w:vAlign w:val="center"/>
                </w:tcPr>
                <w:p w14:paraId="05753371">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塑料颗粒（PA6-GF30）</w:t>
                  </w:r>
                </w:p>
              </w:tc>
              <w:tc>
                <w:tcPr>
                  <w:tcW w:w="3912" w:type="pct"/>
                  <w:tcBorders>
                    <w:tl2br w:val="nil"/>
                    <w:tr2bl w:val="nil"/>
                  </w:tcBorders>
                  <w:vAlign w:val="center"/>
                </w:tcPr>
                <w:p w14:paraId="2B8EAE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PA6：尼龙6（聚酰胺6），作为基体树脂，提供韧性、耐磨性和耐化学性；GF30：表示加入了30%的玻璃纤维，作为增强材料。玻璃纤维的加入，如同在混凝土中加入钢筋，极大地提升了基体树脂的 能和热性能，使其成为一种高强度、高刚性的工程塑料。密度约1.35-1.38g/cm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。耐化学性，对烃类、油类、酯类有很好的耐受性；不耐强酸、强碱和酚类。吸水后耐化学性会下降。</w:t>
                  </w:r>
                </w:p>
              </w:tc>
            </w:tr>
          </w:tbl>
          <w:p w14:paraId="206ECAC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28" w:name="_Toc4787"/>
            <w:r>
              <w:rPr>
                <w:rFonts w:hint="eastAsia" w:ascii="Times New Roman" w:hAnsi="Times New Roman" w:eastAsia="宋体" w:cs="Times New Roman"/>
                <w:b/>
                <w:bCs/>
                <w:color w:val="auto"/>
                <w:sz w:val="24"/>
                <w:szCs w:val="24"/>
                <w:u w:val="none"/>
                <w:lang w:val="en-US" w:eastAsia="zh-CN"/>
              </w:rPr>
              <w:t>2.2.7项目水平衡</w:t>
            </w:r>
            <w:bookmarkEnd w:id="28"/>
          </w:p>
          <w:p w14:paraId="0F2359DB">
            <w:pPr>
              <w:pStyle w:val="38"/>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b w:val="0"/>
                <w:bCs/>
                <w:color w:val="auto"/>
                <w:sz w:val="24"/>
              </w:rPr>
            </w:pPr>
            <w:bookmarkStart w:id="29" w:name="_Toc81"/>
            <w:r>
              <w:rPr>
                <w:rFonts w:hint="eastAsia"/>
                <w:b w:val="0"/>
                <w:bCs/>
                <w:color w:val="auto"/>
                <w:sz w:val="24"/>
              </w:rPr>
              <w:t>（1）生活污水</w:t>
            </w:r>
            <w:bookmarkEnd w:id="29"/>
          </w:p>
          <w:p w14:paraId="1458C45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color w:val="auto"/>
                <w:kern w:val="0"/>
                <w:sz w:val="24"/>
                <w:lang w:bidi="ar"/>
              </w:rPr>
            </w:pPr>
            <w:r>
              <w:rPr>
                <w:rFonts w:hint="eastAsia"/>
                <w:color w:val="auto"/>
                <w:sz w:val="24"/>
              </w:rPr>
              <w:t>根据</w:t>
            </w:r>
            <w:r>
              <w:rPr>
                <w:color w:val="auto"/>
                <w:sz w:val="24"/>
              </w:rPr>
              <w:t>《建筑给水排水设计标准》</w:t>
            </w:r>
            <w:r>
              <w:rPr>
                <w:rFonts w:hint="eastAsia"/>
                <w:color w:val="auto"/>
                <w:sz w:val="24"/>
                <w:lang w:eastAsia="zh-CN"/>
              </w:rPr>
              <w:t>（</w:t>
            </w:r>
            <w:r>
              <w:rPr>
                <w:color w:val="auto"/>
                <w:sz w:val="24"/>
              </w:rPr>
              <w:t>GB50015-2019</w:t>
            </w:r>
            <w:r>
              <w:rPr>
                <w:rFonts w:hint="eastAsia"/>
                <w:color w:val="auto"/>
                <w:sz w:val="24"/>
                <w:lang w:eastAsia="zh-CN"/>
              </w:rPr>
              <w:t>）</w:t>
            </w:r>
            <w:r>
              <w:rPr>
                <w:color w:val="auto"/>
                <w:sz w:val="24"/>
              </w:rPr>
              <w:t>，本项目</w:t>
            </w:r>
            <w:r>
              <w:rPr>
                <w:rFonts w:hint="eastAsia"/>
                <w:color w:val="auto"/>
                <w:sz w:val="24"/>
              </w:rPr>
              <w:t>不</w:t>
            </w:r>
            <w:r>
              <w:rPr>
                <w:color w:val="auto"/>
                <w:sz w:val="24"/>
              </w:rPr>
              <w:t>住宿员工用水量按</w:t>
            </w:r>
            <w:r>
              <w:rPr>
                <w:rFonts w:hint="eastAsia"/>
                <w:color w:val="auto"/>
                <w:sz w:val="24"/>
              </w:rPr>
              <w:t>50</w:t>
            </w:r>
            <w:r>
              <w:rPr>
                <w:color w:val="auto"/>
                <w:sz w:val="24"/>
              </w:rPr>
              <w:t>L/人·d计</w:t>
            </w:r>
            <w:r>
              <w:rPr>
                <w:color w:val="auto"/>
                <w:kern w:val="0"/>
                <w:sz w:val="24"/>
                <w:lang w:bidi="ar"/>
              </w:rPr>
              <w:t>，项目职工人数</w:t>
            </w:r>
            <w:r>
              <w:rPr>
                <w:rFonts w:hint="eastAsia"/>
                <w:color w:val="auto"/>
                <w:kern w:val="0"/>
                <w:sz w:val="24"/>
                <w:lang w:val="en-US" w:eastAsia="zh-CN" w:bidi="ar"/>
              </w:rPr>
              <w:t>30</w:t>
            </w:r>
            <w:r>
              <w:rPr>
                <w:color w:val="auto"/>
                <w:kern w:val="0"/>
                <w:sz w:val="24"/>
                <w:lang w:bidi="ar"/>
              </w:rPr>
              <w:t>人，均不住厂，则生活用水量约</w:t>
            </w:r>
            <w:r>
              <w:rPr>
                <w:rFonts w:hint="eastAsia"/>
                <w:color w:val="auto"/>
                <w:kern w:val="0"/>
                <w:sz w:val="24"/>
                <w:lang w:val="en-US" w:eastAsia="zh-CN" w:bidi="ar"/>
              </w:rPr>
              <w:t>1.5</w:t>
            </w:r>
            <w:r>
              <w:rPr>
                <w:color w:val="auto"/>
                <w:kern w:val="0"/>
                <w:sz w:val="24"/>
                <w:lang w:bidi="ar"/>
              </w:rPr>
              <w:t>t/d</w:t>
            </w:r>
            <w:r>
              <w:rPr>
                <w:rFonts w:hint="eastAsia"/>
                <w:color w:val="auto"/>
                <w:kern w:val="0"/>
                <w:sz w:val="24"/>
                <w:lang w:eastAsia="zh-CN" w:bidi="ar"/>
              </w:rPr>
              <w:t>，</w:t>
            </w:r>
            <w:r>
              <w:rPr>
                <w:color w:val="auto"/>
                <w:kern w:val="0"/>
                <w:sz w:val="24"/>
                <w:lang w:bidi="ar"/>
              </w:rPr>
              <w:t>（</w:t>
            </w:r>
            <w:r>
              <w:rPr>
                <w:rFonts w:hint="eastAsia"/>
                <w:color w:val="auto"/>
                <w:kern w:val="0"/>
                <w:sz w:val="24"/>
                <w:lang w:val="en-US" w:eastAsia="zh-CN" w:bidi="ar"/>
              </w:rPr>
              <w:t>450</w:t>
            </w:r>
            <w:r>
              <w:rPr>
                <w:color w:val="auto"/>
                <w:kern w:val="0"/>
                <w:sz w:val="24"/>
                <w:lang w:bidi="ar"/>
              </w:rPr>
              <w:t>t/a），项目废水排放系数按照0.8计算，则废水产生量为</w:t>
            </w:r>
            <w:r>
              <w:rPr>
                <w:rFonts w:hint="eastAsia"/>
                <w:color w:val="auto"/>
                <w:kern w:val="0"/>
                <w:sz w:val="24"/>
                <w:lang w:val="en-US" w:eastAsia="zh-CN" w:bidi="ar"/>
              </w:rPr>
              <w:t>1.2</w:t>
            </w:r>
            <w:r>
              <w:rPr>
                <w:color w:val="auto"/>
                <w:kern w:val="0"/>
                <w:sz w:val="24"/>
                <w:lang w:bidi="ar"/>
              </w:rPr>
              <w:t>t/d（</w:t>
            </w:r>
            <w:r>
              <w:rPr>
                <w:rFonts w:hint="eastAsia"/>
                <w:color w:val="auto"/>
                <w:kern w:val="0"/>
                <w:sz w:val="24"/>
                <w:lang w:val="en-US" w:eastAsia="zh-CN" w:bidi="ar"/>
              </w:rPr>
              <w:t>360</w:t>
            </w:r>
            <w:r>
              <w:rPr>
                <w:color w:val="auto"/>
                <w:kern w:val="0"/>
                <w:sz w:val="24"/>
                <w:lang w:bidi="ar"/>
              </w:rPr>
              <w:t>t/a）</w:t>
            </w:r>
            <w:r>
              <w:rPr>
                <w:rFonts w:hint="eastAsia"/>
                <w:color w:val="auto"/>
                <w:kern w:val="0"/>
                <w:sz w:val="24"/>
                <w:lang w:eastAsia="zh-CN" w:bidi="ar"/>
              </w:rPr>
              <w:t>，</w:t>
            </w:r>
            <w:r>
              <w:rPr>
                <w:rFonts w:hint="eastAsia"/>
                <w:color w:val="auto"/>
                <w:kern w:val="0"/>
                <w:sz w:val="24"/>
                <w:lang w:val="en-US" w:eastAsia="zh-CN" w:bidi="ar"/>
              </w:rPr>
              <w:t>生活污水依托厂内已建的化粪池处理后进入市政污水管网纳入</w:t>
            </w:r>
            <w:r>
              <w:rPr>
                <w:rFonts w:hint="eastAsia" w:ascii="Times New Roman" w:hAnsi="Times New Roman" w:eastAsia="宋体" w:cs="Times New Roman"/>
                <w:color w:val="auto"/>
                <w:spacing w:val="0"/>
                <w:sz w:val="24"/>
                <w:szCs w:val="24"/>
                <w:highlight w:val="none"/>
                <w:u w:val="none"/>
                <w:lang w:eastAsia="zh-CN"/>
              </w:rPr>
              <w:t>福清市融元污水处理厂</w:t>
            </w:r>
            <w:r>
              <w:rPr>
                <w:rFonts w:hint="eastAsia"/>
                <w:color w:val="auto"/>
                <w:kern w:val="0"/>
                <w:sz w:val="24"/>
                <w:lang w:val="en-US" w:eastAsia="zh-CN" w:bidi="ar"/>
              </w:rPr>
              <w:t>集中处理</w:t>
            </w:r>
            <w:r>
              <w:rPr>
                <w:rFonts w:hint="eastAsia"/>
                <w:color w:val="auto"/>
                <w:kern w:val="0"/>
                <w:sz w:val="24"/>
                <w:lang w:bidi="ar"/>
              </w:rPr>
              <w:t>。</w:t>
            </w:r>
          </w:p>
          <w:p w14:paraId="17E1DCBC">
            <w:pPr>
              <w:pStyle w:val="38"/>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b w:val="0"/>
                <w:bCs/>
                <w:color w:val="auto"/>
                <w:sz w:val="24"/>
              </w:rPr>
            </w:pPr>
            <w:bookmarkStart w:id="30" w:name="_Toc27624"/>
            <w:r>
              <w:rPr>
                <w:rFonts w:hint="eastAsia"/>
                <w:b w:val="0"/>
                <w:bCs/>
                <w:color w:val="auto"/>
                <w:sz w:val="24"/>
              </w:rPr>
              <w:t>（2）注塑冷却水</w:t>
            </w:r>
            <w:bookmarkEnd w:id="30"/>
          </w:p>
          <w:p w14:paraId="28C0DFA1">
            <w:pPr>
              <w:pStyle w:val="39"/>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color w:val="auto"/>
                <w:sz w:val="24"/>
                <w:szCs w:val="24"/>
                <w:highlight w:val="none"/>
              </w:rPr>
            </w:pPr>
            <w:r>
              <w:rPr>
                <w:color w:val="auto"/>
                <w:sz w:val="24"/>
                <w:highlight w:val="none"/>
              </w:rPr>
              <w:t>本项目拟设1台冷却塔，</w:t>
            </w:r>
            <w:r>
              <w:rPr>
                <w:rFonts w:hint="eastAsia"/>
                <w:color w:val="auto"/>
                <w:sz w:val="24"/>
                <w:highlight w:val="none"/>
              </w:rPr>
              <w:t>主要供给项目注塑机等设备</w:t>
            </w:r>
            <w:r>
              <w:rPr>
                <w:color w:val="auto"/>
                <w:sz w:val="24"/>
                <w:highlight w:val="none"/>
              </w:rPr>
              <w:t>冷却使用</w:t>
            </w:r>
            <w:r>
              <w:rPr>
                <w:rFonts w:hint="eastAsia"/>
                <w:color w:val="auto"/>
                <w:sz w:val="24"/>
                <w:highlight w:val="none"/>
              </w:rPr>
              <w:t>，通过设备安装循环管道进行冷却，</w:t>
            </w:r>
            <w:r>
              <w:rPr>
                <w:color w:val="auto"/>
                <w:sz w:val="24"/>
                <w:highlight w:val="none"/>
              </w:rPr>
              <w:t>为间接冷却方式，</w:t>
            </w:r>
            <w:r>
              <w:rPr>
                <w:rFonts w:hint="eastAsia"/>
                <w:color w:val="auto"/>
                <w:sz w:val="24"/>
                <w:highlight w:val="none"/>
              </w:rPr>
              <w:t>项目</w:t>
            </w:r>
            <w:r>
              <w:rPr>
                <w:color w:val="auto"/>
                <w:sz w:val="24"/>
                <w:highlight w:val="none"/>
              </w:rPr>
              <w:t>冷却塔循环水循环使用，不外排</w:t>
            </w:r>
            <w:r>
              <w:rPr>
                <w:rFonts w:hint="eastAsia"/>
                <w:color w:val="auto"/>
                <w:sz w:val="24"/>
                <w:highlight w:val="none"/>
              </w:rPr>
              <w:t>；</w:t>
            </w:r>
            <w:r>
              <w:rPr>
                <w:color w:val="auto"/>
                <w:sz w:val="24"/>
                <w:highlight w:val="none"/>
              </w:rPr>
              <w:t>本项目冷却塔</w:t>
            </w:r>
            <w:r>
              <w:rPr>
                <w:rFonts w:hint="eastAsia"/>
                <w:color w:val="auto"/>
                <w:sz w:val="24"/>
                <w:highlight w:val="none"/>
                <w:lang w:val="en-US" w:eastAsia="zh-CN"/>
              </w:rPr>
              <w:t>容量</w:t>
            </w:r>
            <w:r>
              <w:rPr>
                <w:rFonts w:hint="eastAsia"/>
                <w:color w:val="auto"/>
                <w:sz w:val="24"/>
                <w:highlight w:val="none"/>
              </w:rPr>
              <w:t>为</w:t>
            </w:r>
            <w:r>
              <w:rPr>
                <w:rFonts w:hint="eastAsia"/>
                <w:color w:val="auto"/>
                <w:sz w:val="24"/>
                <w:highlight w:val="none"/>
                <w:lang w:val="en-US" w:eastAsia="zh-CN"/>
              </w:rPr>
              <w:t>4</w:t>
            </w:r>
            <w:r>
              <w:rPr>
                <w:color w:val="auto"/>
                <w:sz w:val="24"/>
                <w:highlight w:val="none"/>
              </w:rPr>
              <w:t>m</w:t>
            </w:r>
            <w:r>
              <w:rPr>
                <w:color w:val="auto"/>
                <w:sz w:val="24"/>
                <w:highlight w:val="none"/>
                <w:vertAlign w:val="superscript"/>
              </w:rPr>
              <w:t>3</w:t>
            </w:r>
            <w:r>
              <w:rPr>
                <w:rFonts w:hint="eastAsia"/>
                <w:color w:val="auto"/>
                <w:sz w:val="24"/>
                <w:highlight w:val="none"/>
              </w:rPr>
              <w:t>，</w:t>
            </w:r>
            <w:r>
              <w:rPr>
                <w:rFonts w:hint="eastAsia"/>
                <w:color w:val="auto"/>
                <w:sz w:val="24"/>
                <w:highlight w:val="none"/>
                <w:lang w:val="en-US" w:eastAsia="zh-CN"/>
              </w:rPr>
              <w:t>设计流量80m</w:t>
            </w:r>
            <w:r>
              <w:rPr>
                <w:rFonts w:hint="eastAsia"/>
                <w:color w:val="auto"/>
                <w:sz w:val="24"/>
                <w:highlight w:val="none"/>
                <w:vertAlign w:val="superscript"/>
                <w:lang w:val="en-US" w:eastAsia="zh-CN"/>
              </w:rPr>
              <w:t>3</w:t>
            </w:r>
            <w:r>
              <w:rPr>
                <w:rFonts w:hint="eastAsia"/>
                <w:color w:val="auto"/>
                <w:sz w:val="24"/>
                <w:highlight w:val="none"/>
                <w:lang w:val="en-US" w:eastAsia="zh-CN"/>
              </w:rPr>
              <w:t>/h。</w:t>
            </w:r>
            <w:r>
              <w:rPr>
                <w:rFonts w:hint="eastAsia"/>
                <w:color w:val="auto"/>
                <w:sz w:val="24"/>
                <w:szCs w:val="24"/>
                <w:highlight w:val="none"/>
              </w:rPr>
              <w:t>年运行时长为</w:t>
            </w:r>
            <w:r>
              <w:rPr>
                <w:rFonts w:hint="eastAsia"/>
                <w:color w:val="auto"/>
                <w:sz w:val="24"/>
                <w:szCs w:val="24"/>
                <w:highlight w:val="none"/>
                <w:lang w:val="en-US" w:eastAsia="zh-CN"/>
              </w:rPr>
              <w:t>7200</w:t>
            </w:r>
            <w:r>
              <w:rPr>
                <w:rFonts w:hint="eastAsia"/>
                <w:color w:val="auto"/>
                <w:sz w:val="24"/>
                <w:szCs w:val="24"/>
                <w:highlight w:val="none"/>
              </w:rPr>
              <w:t>h，参考《工业循环水冷却设计规范》（GB/T50102—2014）中相关设计规范计算补水量，冷却塔风吹损失水率为0.15%，冷却塔蒸发损失水率为2%，则冷却塔补水量约为循环水量的2.15％，</w:t>
            </w:r>
            <w:r>
              <w:rPr>
                <w:color w:val="auto"/>
                <w:sz w:val="24"/>
                <w:szCs w:val="24"/>
                <w:highlight w:val="none"/>
              </w:rPr>
              <w:t>则年补充新鲜水量约</w:t>
            </w:r>
            <w:r>
              <w:rPr>
                <w:rFonts w:hint="eastAsia"/>
                <w:color w:val="auto"/>
                <w:sz w:val="24"/>
                <w:szCs w:val="24"/>
                <w:highlight w:val="none"/>
                <w:lang w:val="en-US" w:eastAsia="zh-CN"/>
              </w:rPr>
              <w:t>1.72</w:t>
            </w:r>
            <w:r>
              <w:rPr>
                <w:rFonts w:hint="eastAsia"/>
                <w:color w:val="auto"/>
                <w:sz w:val="24"/>
                <w:szCs w:val="24"/>
                <w:highlight w:val="none"/>
              </w:rPr>
              <w:t>t/d，</w:t>
            </w:r>
            <w:r>
              <w:rPr>
                <w:rFonts w:hint="eastAsia"/>
                <w:color w:val="auto"/>
                <w:sz w:val="24"/>
                <w:szCs w:val="24"/>
                <w:highlight w:val="none"/>
                <w:lang w:val="en-US" w:eastAsia="zh-CN"/>
              </w:rPr>
              <w:t>516</w:t>
            </w:r>
            <w:r>
              <w:rPr>
                <w:color w:val="auto"/>
                <w:sz w:val="24"/>
                <w:szCs w:val="24"/>
                <w:highlight w:val="none"/>
              </w:rPr>
              <w:t>t/a。</w:t>
            </w:r>
          </w:p>
          <w:p w14:paraId="218CDDEB">
            <w:pPr>
              <w:pStyle w:val="38"/>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bCs/>
                <w:color w:val="auto"/>
                <w:sz w:val="24"/>
                <w:lang w:val="en-US" w:eastAsia="zh-CN"/>
              </w:rPr>
            </w:pPr>
            <w:bookmarkStart w:id="31" w:name="_Toc11791"/>
            <w:r>
              <w:rPr>
                <w:rFonts w:hint="eastAsia" w:ascii="Times New Roman" w:hAnsi="Times New Roman" w:eastAsia="宋体" w:cs="Times New Roman"/>
                <w:b w:val="0"/>
                <w:bCs/>
                <w:color w:val="auto"/>
                <w:sz w:val="24"/>
                <w:lang w:val="en-US" w:eastAsia="zh-CN"/>
              </w:rPr>
              <w:t>项目水平衡图详见图2.1-1。</w:t>
            </w:r>
            <w:bookmarkEnd w:id="31"/>
          </w:p>
          <w:p w14:paraId="202B0E56">
            <w:pPr>
              <w:pStyle w:val="38"/>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color w:val="auto"/>
                <w:sz w:val="24"/>
                <w:lang w:val="en-US" w:eastAsia="zh-CN"/>
              </w:rPr>
            </w:pPr>
            <w:bookmarkStart w:id="32" w:name="_Toc7619"/>
            <w:r>
              <w:rPr>
                <w:rFonts w:hint="eastAsia" w:ascii="Times New Roman" w:hAnsi="Times New Roman" w:eastAsia="宋体" w:cs="Times New Roman"/>
                <w:b w:val="0"/>
                <w:bCs/>
                <w:color w:val="auto"/>
                <w:sz w:val="24"/>
                <w:lang w:val="en-US" w:eastAsia="zh-CN"/>
              </w:rPr>
              <w:drawing>
                <wp:inline distT="0" distB="0" distL="114300" distR="114300">
                  <wp:extent cx="5477510" cy="2127250"/>
                  <wp:effectExtent l="0" t="0" r="8890" b="6350"/>
                  <wp:docPr id="1" name="F360BE8B-6686-4F3D-AEAF-501FE73E4058-1" descr="C:/Users/AA/AppData/Local/Temp/大松水平衡.png大松水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60BE8B-6686-4F3D-AEAF-501FE73E4058-1" descr="C:/Users/AA/AppData/Local/Temp/大松水平衡.png大松水平衡"/>
                          <pic:cNvPicPr>
                            <a:picLocks noChangeAspect="1"/>
                          </pic:cNvPicPr>
                        </pic:nvPicPr>
                        <pic:blipFill>
                          <a:blip r:embed="rId19"/>
                          <a:stretch>
                            <a:fillRect/>
                          </a:stretch>
                        </pic:blipFill>
                        <pic:spPr>
                          <a:xfrm>
                            <a:off x="0" y="0"/>
                            <a:ext cx="5477510" cy="2127250"/>
                          </a:xfrm>
                          <a:prstGeom prst="rect">
                            <a:avLst/>
                          </a:prstGeom>
                        </pic:spPr>
                      </pic:pic>
                    </a:graphicData>
                  </a:graphic>
                </wp:inline>
              </w:drawing>
            </w:r>
            <w:bookmarkEnd w:id="32"/>
          </w:p>
          <w:p w14:paraId="18171B8D">
            <w:pPr>
              <w:pStyle w:val="38"/>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color w:val="auto"/>
                <w:sz w:val="24"/>
                <w:szCs w:val="24"/>
                <w:lang w:val="en-US" w:eastAsia="zh-CN"/>
              </w:rPr>
            </w:pPr>
            <w:bookmarkStart w:id="33" w:name="_Toc7512"/>
            <w:r>
              <w:rPr>
                <w:rFonts w:hint="default" w:ascii="Times New Roman" w:hAnsi="Times New Roman" w:eastAsia="宋体" w:cs="Times New Roman"/>
                <w:b/>
                <w:bCs w:val="0"/>
                <w:color w:val="auto"/>
                <w:sz w:val="24"/>
                <w:szCs w:val="24"/>
                <w:lang w:val="en-US" w:eastAsia="zh-CN"/>
              </w:rPr>
              <w:t>图2.1-1 项目水平衡图（单位：t/d）</w:t>
            </w:r>
            <w:bookmarkEnd w:id="33"/>
          </w:p>
          <w:p w14:paraId="4BE4046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34" w:name="_Toc28119"/>
            <w:r>
              <w:rPr>
                <w:rFonts w:hint="eastAsia" w:ascii="Times New Roman" w:hAnsi="Times New Roman" w:eastAsia="宋体" w:cs="Times New Roman"/>
                <w:b/>
                <w:bCs/>
                <w:color w:val="auto"/>
                <w:sz w:val="24"/>
                <w:szCs w:val="24"/>
                <w:u w:val="none"/>
                <w:lang w:val="en-US" w:eastAsia="zh-CN"/>
              </w:rPr>
              <w:t>2.2.8项目平面布置合理性分析</w:t>
            </w:r>
            <w:bookmarkEnd w:id="34"/>
          </w:p>
          <w:p w14:paraId="00AD403E">
            <w:pPr>
              <w:spacing w:line="360" w:lineRule="auto"/>
              <w:ind w:firstLine="480" w:firstLineChars="200"/>
              <w:rPr>
                <w:color w:val="auto"/>
                <w:sz w:val="24"/>
                <w:highlight w:val="none"/>
              </w:rPr>
            </w:pPr>
            <w:r>
              <w:rPr>
                <w:color w:val="auto"/>
                <w:sz w:val="24"/>
              </w:rPr>
              <w:t>项目</w:t>
            </w:r>
            <w:r>
              <w:rPr>
                <w:rFonts w:hint="eastAsia" w:ascii="Times New Roman" w:hAnsi="Times New Roman" w:eastAsia="宋体" w:cs="Times New Roman"/>
                <w:color w:val="auto"/>
                <w:sz w:val="21"/>
                <w:szCs w:val="21"/>
                <w:highlight w:val="none"/>
                <w:vertAlign w:val="baseline"/>
                <w:lang w:val="en-US" w:eastAsia="zh-CN"/>
              </w:rPr>
              <w:t>一</w:t>
            </w:r>
            <w:r>
              <w:rPr>
                <w:rFonts w:hint="eastAsia"/>
                <w:color w:val="auto"/>
                <w:sz w:val="24"/>
                <w:lang w:val="en-US" w:eastAsia="zh-CN"/>
              </w:rPr>
              <w:t>层主要为汽车塑料配件生产线、三层为原料存</w:t>
            </w:r>
            <w:r>
              <w:rPr>
                <w:rFonts w:hint="eastAsia"/>
                <w:color w:val="auto"/>
                <w:sz w:val="24"/>
              </w:rPr>
              <w:t>放区</w:t>
            </w:r>
            <w:r>
              <w:rPr>
                <w:rFonts w:hint="eastAsia"/>
                <w:color w:val="auto"/>
                <w:sz w:val="24"/>
                <w:lang w:val="en-US" w:eastAsia="zh-CN"/>
              </w:rPr>
              <w:t>及</w:t>
            </w:r>
            <w:r>
              <w:rPr>
                <w:rFonts w:hint="eastAsia"/>
                <w:color w:val="auto"/>
                <w:sz w:val="24"/>
              </w:rPr>
              <w:t>成品区</w:t>
            </w:r>
            <w:r>
              <w:rPr>
                <w:rFonts w:hint="eastAsia"/>
                <w:color w:val="auto"/>
                <w:sz w:val="24"/>
                <w:lang w:eastAsia="zh-CN"/>
              </w:rPr>
              <w:t>、</w:t>
            </w:r>
            <w:r>
              <w:rPr>
                <w:rFonts w:hint="eastAsia"/>
                <w:color w:val="auto"/>
                <w:sz w:val="24"/>
                <w:lang w:val="en-US" w:eastAsia="zh-CN"/>
              </w:rPr>
              <w:t>四层为办公区</w:t>
            </w:r>
            <w:r>
              <w:rPr>
                <w:rFonts w:hint="eastAsia"/>
                <w:color w:val="auto"/>
                <w:sz w:val="24"/>
              </w:rPr>
              <w:t>等</w:t>
            </w:r>
            <w:r>
              <w:rPr>
                <w:color w:val="auto"/>
                <w:sz w:val="24"/>
              </w:rPr>
              <w:t>，此平面布置方案功能划分相对清晰，各</w:t>
            </w:r>
            <w:r>
              <w:rPr>
                <w:rFonts w:hint="eastAsia"/>
                <w:color w:val="auto"/>
                <w:sz w:val="24"/>
                <w:lang w:val="en-US" w:eastAsia="zh-CN"/>
              </w:rPr>
              <w:t>区</w:t>
            </w:r>
            <w:r>
              <w:rPr>
                <w:color w:val="auto"/>
                <w:sz w:val="24"/>
              </w:rPr>
              <w:t>之间物流顺畅，运输距离较短，有利于生产布置。在满足生产条件要求的前提下，充分利用厂区空间进行设备布置，布局紧凑，生产流程比较流畅，布局基本合理。</w:t>
            </w:r>
            <w:r>
              <w:rPr>
                <w:rFonts w:hint="eastAsia"/>
                <w:color w:val="auto"/>
                <w:sz w:val="24"/>
                <w:lang w:val="en-US" w:eastAsia="zh-CN"/>
              </w:rPr>
              <w:t>项目</w:t>
            </w:r>
            <w:r>
              <w:rPr>
                <w:color w:val="auto"/>
                <w:sz w:val="24"/>
                <w:highlight w:val="none"/>
              </w:rPr>
              <w:t>平面布置图详见</w:t>
            </w:r>
            <w:r>
              <w:rPr>
                <w:b/>
                <w:bCs/>
                <w:color w:val="auto"/>
                <w:sz w:val="24"/>
                <w:highlight w:val="none"/>
              </w:rPr>
              <w:t>附图</w:t>
            </w:r>
            <w:r>
              <w:rPr>
                <w:rFonts w:hint="eastAsia"/>
                <w:b/>
                <w:bCs/>
                <w:color w:val="auto"/>
                <w:sz w:val="24"/>
                <w:highlight w:val="none"/>
                <w:lang w:val="en-US" w:eastAsia="zh-CN"/>
              </w:rPr>
              <w:t>六</w:t>
            </w:r>
            <w:r>
              <w:rPr>
                <w:color w:val="auto"/>
                <w:sz w:val="24"/>
                <w:highlight w:val="none"/>
              </w:rPr>
              <w:t>。</w:t>
            </w:r>
          </w:p>
          <w:p w14:paraId="7B733D5F">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rPr>
              <w:t>当地</w:t>
            </w:r>
            <w:r>
              <w:rPr>
                <w:rFonts w:hint="default" w:ascii="Times New Roman" w:hAnsi="Times New Roman" w:eastAsia="宋体" w:cs="Times New Roman"/>
                <w:color w:val="auto"/>
                <w:sz w:val="24"/>
                <w:szCs w:val="24"/>
                <w:highlight w:val="none"/>
                <w:lang w:eastAsia="zh-CN"/>
              </w:rPr>
              <w:t>常年主导风向为</w:t>
            </w:r>
            <w:r>
              <w:rPr>
                <w:rFonts w:hint="eastAsia" w:ascii="Times New Roman" w:hAnsi="Times New Roman" w:eastAsia="宋体" w:cs="Times New Roman"/>
                <w:color w:val="auto"/>
                <w:sz w:val="24"/>
                <w:szCs w:val="24"/>
                <w:highlight w:val="none"/>
                <w:lang w:val="en-US" w:eastAsia="zh-CN"/>
              </w:rPr>
              <w:t>东北侧</w:t>
            </w:r>
            <w:r>
              <w:rPr>
                <w:rFonts w:hint="default" w:ascii="Times New Roman" w:hAnsi="Times New Roman" w:eastAsia="宋体" w:cs="Times New Roman"/>
                <w:color w:val="auto"/>
                <w:sz w:val="24"/>
                <w:szCs w:val="24"/>
                <w:highlight w:val="none"/>
              </w:rPr>
              <w:t>，说明其下风向</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西南侧</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受污染</w:t>
            </w:r>
            <w:r>
              <w:rPr>
                <w:rFonts w:hint="eastAsia" w:ascii="Times New Roman" w:hAnsi="Times New Roman" w:eastAsia="宋体" w:cs="Times New Roman"/>
                <w:color w:val="auto"/>
                <w:sz w:val="24"/>
                <w:szCs w:val="24"/>
                <w:highlight w:val="none"/>
                <w:lang w:eastAsia="zh-CN"/>
              </w:rPr>
              <w:t>的概率</w:t>
            </w:r>
            <w:r>
              <w:rPr>
                <w:rFonts w:hint="default" w:ascii="Times New Roman" w:hAnsi="Times New Roman" w:eastAsia="宋体" w:cs="Times New Roman"/>
                <w:color w:val="auto"/>
                <w:sz w:val="24"/>
                <w:szCs w:val="24"/>
                <w:highlight w:val="none"/>
              </w:rPr>
              <w:t>最高</w:t>
            </w: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lang w:eastAsia="zh-CN"/>
              </w:rPr>
              <w:t>将</w:t>
            </w:r>
            <w:r>
              <w:rPr>
                <w:rFonts w:hint="eastAsia" w:ascii="Times New Roman" w:hAnsi="Times New Roman" w:eastAsia="宋体" w:cs="Times New Roman"/>
                <w:color w:val="auto"/>
                <w:sz w:val="24"/>
                <w:szCs w:val="24"/>
                <w:highlight w:val="none"/>
                <w:lang w:eastAsia="zh-CN"/>
              </w:rPr>
              <w:t>废气</w:t>
            </w:r>
            <w:r>
              <w:rPr>
                <w:rFonts w:hint="default" w:ascii="Times New Roman" w:hAnsi="Times New Roman" w:eastAsia="宋体" w:cs="Times New Roman"/>
                <w:color w:val="auto"/>
                <w:sz w:val="24"/>
                <w:szCs w:val="24"/>
                <w:highlight w:val="none"/>
                <w:lang w:eastAsia="zh-CN"/>
              </w:rPr>
              <w:t>排气筒设置</w:t>
            </w:r>
            <w:r>
              <w:rPr>
                <w:rFonts w:hint="eastAsia" w:ascii="Times New Roman" w:hAnsi="Times New Roman" w:eastAsia="宋体" w:cs="Times New Roman"/>
                <w:color w:val="auto"/>
                <w:sz w:val="24"/>
                <w:szCs w:val="24"/>
                <w:highlight w:val="none"/>
                <w:lang w:val="en-US" w:eastAsia="zh-CN"/>
              </w:rPr>
              <w:t>在厂房</w:t>
            </w:r>
            <w:r>
              <w:rPr>
                <w:rFonts w:hint="default" w:ascii="Times New Roman" w:hAnsi="Times New Roman" w:eastAsia="宋体" w:cs="Times New Roman"/>
                <w:color w:val="auto"/>
                <w:sz w:val="24"/>
                <w:szCs w:val="24"/>
                <w:highlight w:val="none"/>
                <w:lang w:eastAsia="zh-CN"/>
              </w:rPr>
              <w:t>屋顶</w:t>
            </w:r>
            <w:r>
              <w:rPr>
                <w:rFonts w:hint="eastAsia" w:ascii="Times New Roman" w:hAnsi="Times New Roman" w:eastAsia="宋体" w:cs="Times New Roman"/>
                <w:color w:val="auto"/>
                <w:sz w:val="24"/>
                <w:szCs w:val="24"/>
                <w:highlight w:val="none"/>
                <w:lang w:val="en-US" w:eastAsia="zh-CN"/>
              </w:rPr>
              <w:t>北侧区域</w:t>
            </w:r>
            <w:r>
              <w:rPr>
                <w:rFonts w:hint="eastAsia" w:ascii="Times New Roman" w:hAnsi="Times New Roman" w:eastAsia="宋体" w:cs="Times New Roman"/>
                <w:color w:val="auto"/>
                <w:sz w:val="24"/>
                <w:szCs w:val="24"/>
                <w:highlight w:val="none"/>
                <w:lang w:eastAsia="zh-CN"/>
              </w:rPr>
              <w:t>，排放口朝内</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不位于</w:t>
            </w:r>
            <w:r>
              <w:rPr>
                <w:rFonts w:hint="default" w:ascii="Times New Roman" w:hAnsi="Times New Roman" w:eastAsia="宋体" w:cs="Times New Roman"/>
                <w:color w:val="auto"/>
                <w:sz w:val="24"/>
                <w:szCs w:val="24"/>
                <w:highlight w:val="none"/>
                <w:lang w:eastAsia="zh-CN"/>
              </w:rPr>
              <w:t>常年主导风向</w:t>
            </w:r>
            <w:r>
              <w:rPr>
                <w:rFonts w:hint="eastAsia" w:ascii="Times New Roman" w:hAnsi="Times New Roman" w:eastAsia="宋体" w:cs="Times New Roman"/>
                <w:color w:val="auto"/>
                <w:sz w:val="24"/>
                <w:szCs w:val="24"/>
                <w:highlight w:val="none"/>
                <w:lang w:val="en-US" w:eastAsia="zh-CN"/>
              </w:rPr>
              <w:t>上风向，</w:t>
            </w:r>
            <w:r>
              <w:rPr>
                <w:rFonts w:hint="default" w:ascii="Times New Roman" w:hAnsi="Times New Roman" w:eastAsia="宋体" w:cs="Times New Roman"/>
                <w:color w:val="auto"/>
                <w:sz w:val="24"/>
                <w:szCs w:val="24"/>
                <w:highlight w:val="none"/>
                <w:lang w:eastAsia="zh-CN"/>
              </w:rPr>
              <w:t>拟将危险废物暂存场所设置于</w:t>
            </w:r>
            <w:r>
              <w:rPr>
                <w:rFonts w:hint="eastAsia" w:ascii="Times New Roman" w:hAnsi="Times New Roman" w:eastAsia="宋体" w:cs="Times New Roman"/>
                <w:color w:val="auto"/>
                <w:sz w:val="24"/>
                <w:szCs w:val="24"/>
                <w:highlight w:val="none"/>
                <w:lang w:val="en-US" w:eastAsia="zh-CN"/>
              </w:rPr>
              <w:t>车间西南侧区域</w:t>
            </w:r>
            <w:r>
              <w:rPr>
                <w:rFonts w:hint="default" w:ascii="Times New Roman" w:hAnsi="Times New Roman" w:eastAsia="宋体" w:cs="Times New Roman"/>
                <w:color w:val="auto"/>
                <w:sz w:val="24"/>
                <w:szCs w:val="24"/>
                <w:highlight w:val="none"/>
                <w:lang w:eastAsia="zh-CN"/>
              </w:rPr>
              <w:t>，方便危险废物的分类收集，</w:t>
            </w:r>
            <w:r>
              <w:rPr>
                <w:rFonts w:hint="eastAsia" w:ascii="Times New Roman" w:hAnsi="Times New Roman" w:eastAsia="宋体" w:cs="Times New Roman"/>
                <w:color w:val="auto"/>
                <w:sz w:val="24"/>
                <w:szCs w:val="24"/>
                <w:highlight w:val="none"/>
                <w:lang w:val="en-US" w:eastAsia="zh-CN"/>
              </w:rPr>
              <w:t>危险废物</w:t>
            </w:r>
            <w:r>
              <w:rPr>
                <w:rFonts w:hint="default" w:ascii="Times New Roman" w:hAnsi="Times New Roman" w:eastAsia="宋体" w:cs="Times New Roman"/>
                <w:color w:val="auto"/>
                <w:sz w:val="24"/>
                <w:szCs w:val="24"/>
                <w:highlight w:val="none"/>
                <w:lang w:eastAsia="zh-CN"/>
              </w:rPr>
              <w:t>可以</w:t>
            </w:r>
            <w:r>
              <w:rPr>
                <w:rFonts w:hint="eastAsia" w:ascii="Times New Roman" w:hAnsi="Times New Roman" w:eastAsia="宋体" w:cs="Times New Roman"/>
                <w:color w:val="auto"/>
                <w:sz w:val="24"/>
                <w:szCs w:val="24"/>
                <w:highlight w:val="none"/>
                <w:lang w:eastAsia="zh-CN"/>
              </w:rPr>
              <w:t>得到有效的</w:t>
            </w:r>
            <w:r>
              <w:rPr>
                <w:rFonts w:hint="default" w:ascii="Times New Roman" w:hAnsi="Times New Roman" w:eastAsia="宋体" w:cs="Times New Roman"/>
                <w:color w:val="auto"/>
                <w:sz w:val="24"/>
                <w:szCs w:val="24"/>
                <w:highlight w:val="none"/>
                <w:lang w:eastAsia="zh-CN"/>
              </w:rPr>
              <w:t>处理处置，可避免造成二次污染；项目</w:t>
            </w:r>
            <w:r>
              <w:rPr>
                <w:rFonts w:hint="eastAsia" w:ascii="Times New Roman" w:hAnsi="Times New Roman" w:eastAsia="宋体" w:cs="Times New Roman"/>
                <w:color w:val="auto"/>
                <w:sz w:val="24"/>
                <w:szCs w:val="24"/>
                <w:highlight w:val="none"/>
                <w:lang w:eastAsia="zh-CN"/>
              </w:rPr>
              <w:t>设备噪声经</w:t>
            </w:r>
            <w:r>
              <w:rPr>
                <w:rFonts w:hint="default" w:ascii="Times New Roman" w:hAnsi="Times New Roman" w:eastAsia="宋体" w:cs="Times New Roman"/>
                <w:color w:val="auto"/>
                <w:sz w:val="24"/>
                <w:szCs w:val="24"/>
                <w:highlight w:val="none"/>
                <w:lang w:eastAsia="zh-CN"/>
              </w:rPr>
              <w:t>基础减振、厂房墙体隔声等综合降噪措施后，可实现噪声达标排放。</w:t>
            </w:r>
            <w:r>
              <w:rPr>
                <w:rFonts w:hint="default" w:ascii="Times New Roman" w:hAnsi="Times New Roman" w:eastAsia="宋体" w:cs="Times New Roman"/>
                <w:color w:val="auto"/>
                <w:sz w:val="24"/>
                <w:szCs w:val="24"/>
                <w:highlight w:val="none"/>
              </w:rPr>
              <w:t>从环境影响的角度看，</w:t>
            </w:r>
            <w:r>
              <w:rPr>
                <w:rFonts w:hint="default" w:ascii="Times New Roman" w:hAnsi="Times New Roman" w:eastAsia="宋体" w:cs="Times New Roman"/>
                <w:color w:val="auto"/>
                <w:sz w:val="24"/>
                <w:szCs w:val="24"/>
                <w:highlight w:val="none"/>
                <w:lang w:eastAsia="zh-CN"/>
              </w:rPr>
              <w:t>项目环保设施平面布置基本合理。</w:t>
            </w:r>
          </w:p>
          <w:p w14:paraId="368077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color w:val="auto"/>
                <w:sz w:val="24"/>
                <w:szCs w:val="24"/>
                <w:highlight w:val="none"/>
              </w:rPr>
              <w:t>综上所述，本项目的布置基本合理。</w:t>
            </w:r>
          </w:p>
        </w:tc>
      </w:tr>
      <w:tr w14:paraId="7A0C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3" w:hRule="atLeast"/>
        </w:trPr>
        <w:tc>
          <w:tcPr>
            <w:tcW w:w="261" w:type="pct"/>
            <w:vAlign w:val="center"/>
          </w:tcPr>
          <w:p w14:paraId="39C968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sz w:val="24"/>
                <w:szCs w:val="24"/>
                <w:vertAlign w:val="baseline"/>
                <w:lang w:eastAsia="zh-CN"/>
              </w:rPr>
            </w:pPr>
            <w:r>
              <w:rPr>
                <w:rFonts w:ascii="Times New Roman" w:hAnsi="Times New Roman"/>
                <w:sz w:val="24"/>
                <w:szCs w:val="24"/>
              </w:rPr>
              <w:t>工艺流程和产排污环节</w:t>
            </w:r>
          </w:p>
        </w:tc>
        <w:tc>
          <w:tcPr>
            <w:tcW w:w="4738" w:type="pct"/>
            <w:vAlign w:val="top"/>
          </w:tcPr>
          <w:p w14:paraId="30F389D5">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cs="Times New Roman"/>
                <w:color w:val="auto"/>
                <w:sz w:val="28"/>
                <w:szCs w:val="28"/>
                <w:u w:val="none"/>
                <w:lang w:val="en-US" w:eastAsia="zh-CN"/>
              </w:rPr>
            </w:pPr>
            <w:bookmarkStart w:id="35" w:name="_Toc17717"/>
            <w:r>
              <w:rPr>
                <w:rFonts w:hint="eastAsia" w:ascii="Times New Roman" w:hAnsi="Times New Roman" w:eastAsia="宋体" w:cs="Times New Roman"/>
                <w:color w:val="auto"/>
                <w:sz w:val="28"/>
                <w:szCs w:val="28"/>
                <w:u w:val="none"/>
                <w:lang w:val="en-US" w:eastAsia="zh-CN"/>
              </w:rPr>
              <w:t>2.3</w:t>
            </w:r>
            <w:r>
              <w:rPr>
                <w:rFonts w:hint="eastAsia" w:ascii="Times New Roman" w:hAnsi="Times New Roman" w:cs="Times New Roman"/>
                <w:color w:val="auto"/>
                <w:sz w:val="28"/>
                <w:szCs w:val="28"/>
                <w:u w:val="none"/>
                <w:lang w:val="en-US" w:eastAsia="zh-CN"/>
              </w:rPr>
              <w:t>项目</w:t>
            </w:r>
            <w:r>
              <w:rPr>
                <w:rFonts w:hint="eastAsia" w:ascii="Times New Roman" w:hAnsi="Times New Roman" w:eastAsia="宋体" w:cs="Times New Roman"/>
                <w:color w:val="auto"/>
                <w:sz w:val="28"/>
                <w:szCs w:val="28"/>
                <w:u w:val="none"/>
                <w:lang w:val="en-US" w:eastAsia="zh-CN"/>
              </w:rPr>
              <w:t>生产工艺</w:t>
            </w:r>
            <w:r>
              <w:rPr>
                <w:rFonts w:hint="eastAsia" w:ascii="Times New Roman" w:hAnsi="Times New Roman" w:cs="Times New Roman"/>
                <w:color w:val="auto"/>
                <w:sz w:val="28"/>
                <w:szCs w:val="28"/>
                <w:u w:val="none"/>
                <w:lang w:val="en-US" w:eastAsia="zh-CN"/>
              </w:rPr>
              <w:t>流程及产污环节</w:t>
            </w:r>
            <w:bookmarkEnd w:id="35"/>
          </w:p>
          <w:p w14:paraId="51F1530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36" w:name="_Toc26856"/>
            <w:r>
              <w:rPr>
                <w:rFonts w:hint="eastAsia" w:ascii="Times New Roman" w:hAnsi="Times New Roman" w:eastAsia="宋体" w:cs="Times New Roman"/>
                <w:b/>
                <w:bCs/>
                <w:color w:val="auto"/>
                <w:sz w:val="24"/>
                <w:szCs w:val="24"/>
                <w:u w:val="none"/>
                <w:lang w:val="en-US" w:eastAsia="zh-CN"/>
              </w:rPr>
              <w:t>2.3.1项目工艺流程及工艺介绍</w:t>
            </w:r>
            <w:bookmarkEnd w:id="36"/>
          </w:p>
          <w:p w14:paraId="16E483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汽车塑料配件</w:t>
            </w:r>
            <w:r>
              <w:rPr>
                <w:rFonts w:hint="eastAsia" w:cs="Times New Roman"/>
                <w:color w:val="auto"/>
                <w:sz w:val="24"/>
                <w:szCs w:val="24"/>
                <w:highlight w:val="none"/>
                <w:lang w:val="en-US" w:eastAsia="zh-CN"/>
              </w:rPr>
              <w:t>生产工艺流程及产污环节详见图2.3-1。</w:t>
            </w:r>
          </w:p>
          <w:p w14:paraId="466F563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bCs w:val="0"/>
                <w:color w:val="auto"/>
                <w:sz w:val="24"/>
                <w:szCs w:val="24"/>
                <w:highlight w:val="yellow"/>
                <w:lang w:val="en-US" w:eastAsia="zh-CN"/>
              </w:rPr>
            </w:pPr>
            <w:r>
              <w:rPr>
                <w:rFonts w:hint="default" w:cs="Times New Roman"/>
                <w:color w:val="auto"/>
                <w:sz w:val="24"/>
                <w:szCs w:val="24"/>
                <w:highlight w:val="none"/>
                <w:lang w:val="en-US" w:eastAsia="zh-CN"/>
              </w:rPr>
              <w:drawing>
                <wp:inline distT="0" distB="0" distL="114300" distR="114300">
                  <wp:extent cx="5405120" cy="1584325"/>
                  <wp:effectExtent l="0" t="0" r="5080" b="15875"/>
                  <wp:docPr id="2" name="F360BE8B-6686-4F3D-AEAF-501FE73E4058-2" descr="C:/Users/AA/AppData/Local/Temp/大松模具生产工艺流程图（塑料产品）.png大松模具生产工艺流程图（塑料产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60BE8B-6686-4F3D-AEAF-501FE73E4058-2" descr="C:/Users/AA/AppData/Local/Temp/大松模具生产工艺流程图（塑料产品）.png大松模具生产工艺流程图（塑料产品）"/>
                          <pic:cNvPicPr>
                            <a:picLocks noChangeAspect="1"/>
                          </pic:cNvPicPr>
                        </pic:nvPicPr>
                        <pic:blipFill>
                          <a:blip r:embed="rId20"/>
                          <a:stretch>
                            <a:fillRect/>
                          </a:stretch>
                        </pic:blipFill>
                        <pic:spPr>
                          <a:xfrm>
                            <a:off x="0" y="0"/>
                            <a:ext cx="5405120" cy="1584325"/>
                          </a:xfrm>
                          <a:prstGeom prst="rect">
                            <a:avLst/>
                          </a:prstGeom>
                        </pic:spPr>
                      </pic:pic>
                    </a:graphicData>
                  </a:graphic>
                </wp:inline>
              </w:drawing>
            </w:r>
          </w:p>
          <w:p w14:paraId="68FBFC1F">
            <w:pPr>
              <w:pStyle w:val="38"/>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bCs w:val="0"/>
                <w:color w:val="auto"/>
                <w:sz w:val="24"/>
                <w:szCs w:val="24"/>
                <w:highlight w:val="none"/>
                <w:lang w:val="en-US" w:eastAsia="zh-CN"/>
              </w:rPr>
            </w:pPr>
            <w:bookmarkStart w:id="37" w:name="_Toc5034"/>
            <w:r>
              <w:rPr>
                <w:rFonts w:hint="eastAsia" w:ascii="Times New Roman" w:hAnsi="Times New Roman" w:eastAsia="宋体" w:cs="Times New Roman"/>
                <w:b/>
                <w:bCs w:val="0"/>
                <w:color w:val="auto"/>
                <w:sz w:val="24"/>
                <w:szCs w:val="24"/>
                <w:highlight w:val="none"/>
                <w:lang w:val="en-US" w:eastAsia="zh-CN"/>
              </w:rPr>
              <w:t>图2.3-1 汽车塑料配件生产工艺流程图</w:t>
            </w:r>
            <w:bookmarkEnd w:id="37"/>
          </w:p>
          <w:p w14:paraId="2951C62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default" w:ascii="Times New Roman" w:hAnsi="Times New Roman" w:eastAsia="宋体" w:cs="Times New Roman"/>
                <w:b w:val="0"/>
                <w:bCs w:val="0"/>
                <w:color w:val="auto"/>
                <w:kern w:val="0"/>
                <w:sz w:val="24"/>
                <w:szCs w:val="24"/>
                <w:highlight w:val="none"/>
                <w:u w:val="none"/>
                <w:lang w:val="en-US" w:eastAsia="zh-CN" w:bidi="ar-SA"/>
              </w:rPr>
            </w:pPr>
            <w:r>
              <w:rPr>
                <w:rFonts w:hint="eastAsia" w:ascii="Times New Roman" w:hAnsi="Times New Roman" w:eastAsia="宋体" w:cs="Times New Roman"/>
                <w:b/>
                <w:bCs/>
                <w:color w:val="auto"/>
                <w:sz w:val="24"/>
                <w:szCs w:val="24"/>
                <w:highlight w:val="none"/>
                <w:lang w:val="en-US" w:eastAsia="zh-CN"/>
              </w:rPr>
              <w:t>工艺说明：</w:t>
            </w:r>
            <w:r>
              <w:rPr>
                <w:rFonts w:hint="eastAsia" w:ascii="Times New Roman" w:hAnsi="Times New Roman" w:eastAsia="宋体" w:cs="Times New Roman"/>
                <w:color w:val="auto"/>
                <w:sz w:val="24"/>
                <w:szCs w:val="24"/>
                <w:highlight w:val="none"/>
                <w:lang w:val="en-US" w:eastAsia="zh-CN"/>
              </w:rPr>
              <w:t>将所需模具安装到注塑机上</w:t>
            </w:r>
            <w:r>
              <w:rPr>
                <w:rFonts w:hint="eastAsia" w:cs="Times New Roman"/>
                <w:color w:val="auto"/>
                <w:sz w:val="24"/>
                <w:szCs w:val="24"/>
                <w:highlight w:val="none"/>
                <w:lang w:val="en-US" w:eastAsia="zh-CN"/>
              </w:rPr>
              <w:t>，由注塑机将原材料（塑料颗粒）</w:t>
            </w:r>
            <w:r>
              <w:rPr>
                <w:rFonts w:hint="default" w:ascii="Times New Roman" w:hAnsi="Times New Roman" w:eastAsia="宋体" w:cs="Times New Roman"/>
                <w:b w:val="0"/>
                <w:bCs w:val="0"/>
                <w:color w:val="auto"/>
                <w:kern w:val="0"/>
                <w:sz w:val="24"/>
                <w:szCs w:val="24"/>
                <w:highlight w:val="none"/>
                <w:u w:val="none"/>
                <w:lang w:val="en-US" w:eastAsia="zh-CN" w:bidi="ar-SA"/>
              </w:rPr>
              <w:t>通过喷嘴压注</w:t>
            </w:r>
            <w:r>
              <w:rPr>
                <w:rFonts w:hint="eastAsia" w:ascii="Times New Roman" w:hAnsi="Times New Roman" w:eastAsia="宋体"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即注塑</w:t>
            </w:r>
            <w:r>
              <w:rPr>
                <w:rFonts w:hint="eastAsia" w:ascii="Times New Roman" w:hAnsi="Times New Roman" w:eastAsia="宋体"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到模具内腔后进行冷却，成型成目标形状。加工的流程依次可分为材料的</w:t>
            </w:r>
            <w:r>
              <w:rPr>
                <w:rFonts w:hint="eastAsia" w:ascii="Times New Roman" w:hAnsi="Times New Roman" w:eastAsia="宋体"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熔化</w:t>
            </w:r>
            <w:r>
              <w:rPr>
                <w:rFonts w:hint="eastAsia" w:ascii="Times New Roman" w:hAnsi="Times New Roman" w:eastAsia="宋体" w:cs="Times New Roman"/>
                <w:b w:val="0"/>
                <w:bCs w:val="0"/>
                <w:color w:val="auto"/>
                <w:kern w:val="0"/>
                <w:sz w:val="24"/>
                <w:szCs w:val="24"/>
                <w:highlight w:val="none"/>
                <w:u w:val="none"/>
                <w:lang w:val="en-US" w:eastAsia="zh-CN" w:bidi="ar-SA"/>
              </w:rPr>
              <w:t>”“注入”“</w:t>
            </w:r>
            <w:r>
              <w:rPr>
                <w:rFonts w:hint="default" w:ascii="Times New Roman" w:hAnsi="Times New Roman" w:eastAsia="宋体" w:cs="Times New Roman"/>
                <w:b w:val="0"/>
                <w:bCs w:val="0"/>
                <w:color w:val="auto"/>
                <w:kern w:val="0"/>
                <w:sz w:val="24"/>
                <w:szCs w:val="24"/>
                <w:highlight w:val="none"/>
                <w:u w:val="none"/>
                <w:lang w:val="en-US" w:eastAsia="zh-CN" w:bidi="ar-SA"/>
              </w:rPr>
              <w:t>固化</w:t>
            </w:r>
            <w:r>
              <w:rPr>
                <w:rFonts w:hint="eastAsia" w:ascii="Times New Roman" w:hAnsi="Times New Roman" w:eastAsia="宋体" w:cs="Times New Roman"/>
                <w:b w:val="0"/>
                <w:bCs w:val="0"/>
                <w:color w:val="auto"/>
                <w:kern w:val="0"/>
                <w:sz w:val="24"/>
                <w:szCs w:val="24"/>
                <w:highlight w:val="none"/>
                <w:u w:val="none"/>
                <w:lang w:val="en-US" w:eastAsia="zh-CN" w:bidi="ar-SA"/>
              </w:rPr>
              <w:t>”“冷却”“脱模”</w:t>
            </w:r>
            <w:r>
              <w:rPr>
                <w:rFonts w:hint="default" w:ascii="Times New Roman" w:hAnsi="Times New Roman" w:eastAsia="宋体" w:cs="Times New Roman"/>
                <w:b w:val="0"/>
                <w:bCs w:val="0"/>
                <w:color w:val="auto"/>
                <w:kern w:val="0"/>
                <w:sz w:val="24"/>
                <w:szCs w:val="24"/>
                <w:highlight w:val="none"/>
                <w:u w:val="none"/>
                <w:lang w:val="en-US" w:eastAsia="zh-CN" w:bidi="ar-SA"/>
              </w:rPr>
              <w:t>。</w:t>
            </w:r>
            <w:r>
              <w:rPr>
                <w:rFonts w:hint="eastAsia" w:ascii="Times New Roman" w:hAnsi="Times New Roman" w:eastAsia="宋体" w:cs="Times New Roman"/>
                <w:b w:val="0"/>
                <w:bCs w:val="0"/>
                <w:color w:val="auto"/>
                <w:kern w:val="0"/>
                <w:sz w:val="24"/>
                <w:szCs w:val="24"/>
                <w:highlight w:val="none"/>
                <w:u w:val="none"/>
                <w:lang w:val="en-US" w:eastAsia="zh-CN" w:bidi="ar-SA"/>
              </w:rPr>
              <w:t>通过</w:t>
            </w:r>
            <w:r>
              <w:rPr>
                <w:rFonts w:hint="default" w:ascii="Times New Roman" w:hAnsi="Times New Roman" w:eastAsia="宋体" w:cs="Times New Roman"/>
                <w:b w:val="0"/>
                <w:bCs w:val="0"/>
                <w:color w:val="auto"/>
                <w:kern w:val="0"/>
                <w:sz w:val="24"/>
                <w:szCs w:val="24"/>
                <w:highlight w:val="none"/>
                <w:u w:val="none"/>
                <w:lang w:val="en-US" w:eastAsia="zh-CN" w:bidi="ar-SA"/>
              </w:rPr>
              <w:t>控制</w:t>
            </w:r>
            <w:r>
              <w:rPr>
                <w:rFonts w:hint="eastAsia" w:ascii="Times New Roman" w:hAnsi="Times New Roman" w:eastAsia="宋体" w:cs="Times New Roman"/>
                <w:b w:val="0"/>
                <w:bCs w:val="0"/>
                <w:color w:val="auto"/>
                <w:kern w:val="0"/>
                <w:sz w:val="24"/>
                <w:szCs w:val="24"/>
                <w:highlight w:val="none"/>
                <w:u w:val="none"/>
                <w:lang w:val="en-US" w:eastAsia="zh-CN" w:bidi="ar-SA"/>
              </w:rPr>
              <w:t>注塑机</w:t>
            </w:r>
            <w:r>
              <w:rPr>
                <w:rFonts w:hint="default" w:ascii="Times New Roman" w:hAnsi="Times New Roman" w:eastAsia="宋体" w:cs="Times New Roman"/>
                <w:b w:val="0"/>
                <w:bCs w:val="0"/>
                <w:color w:val="auto"/>
                <w:kern w:val="0"/>
                <w:sz w:val="24"/>
                <w:szCs w:val="24"/>
                <w:highlight w:val="none"/>
                <w:u w:val="none"/>
                <w:lang w:val="en-US" w:eastAsia="zh-CN" w:bidi="ar-SA"/>
              </w:rPr>
              <w:t>的温度、压力以及注塑速度</w:t>
            </w:r>
            <w:r>
              <w:rPr>
                <w:rFonts w:hint="eastAsia" w:ascii="Times New Roman" w:hAnsi="Times New Roman" w:eastAsia="宋体" w:cs="Times New Roman"/>
                <w:b w:val="0"/>
                <w:bCs w:val="0"/>
                <w:color w:val="auto"/>
                <w:kern w:val="0"/>
                <w:sz w:val="24"/>
                <w:szCs w:val="24"/>
                <w:highlight w:val="none"/>
                <w:u w:val="none"/>
                <w:lang w:val="en-US" w:eastAsia="zh-CN" w:bidi="ar-SA"/>
              </w:rPr>
              <w:t>保证产品的品质</w:t>
            </w:r>
            <w:r>
              <w:rPr>
                <w:rFonts w:hint="default" w:ascii="Times New Roman" w:hAnsi="Times New Roman" w:eastAsia="宋体" w:cs="Times New Roman"/>
                <w:b w:val="0"/>
                <w:bCs w:val="0"/>
                <w:color w:val="auto"/>
                <w:kern w:val="0"/>
                <w:sz w:val="24"/>
                <w:szCs w:val="24"/>
                <w:highlight w:val="none"/>
                <w:u w:val="none"/>
                <w:lang w:val="en-US" w:eastAsia="zh-CN" w:bidi="ar-SA"/>
              </w:rPr>
              <w:t>。注塑机的预热温度范围</w:t>
            </w:r>
            <w:r>
              <w:rPr>
                <w:rFonts w:hint="eastAsia" w:ascii="Times New Roman" w:hAnsi="Times New Roman" w:cs="Times New Roman"/>
                <w:b w:val="0"/>
                <w:bCs w:val="0"/>
                <w:color w:val="auto"/>
                <w:kern w:val="0"/>
                <w:sz w:val="24"/>
                <w:szCs w:val="24"/>
                <w:highlight w:val="none"/>
                <w:u w:val="none"/>
                <w:lang w:val="en-US" w:eastAsia="zh-CN" w:bidi="ar-SA"/>
              </w:rPr>
              <w:t>200-280</w:t>
            </w:r>
            <w:r>
              <w:rPr>
                <w:rFonts w:hint="default" w:ascii="Times New Roman" w:hAnsi="Times New Roman" w:eastAsia="宋体" w:cs="Times New Roman"/>
                <w:b w:val="0"/>
                <w:bCs w:val="0"/>
                <w:color w:val="auto"/>
                <w:kern w:val="0"/>
                <w:sz w:val="24"/>
                <w:szCs w:val="24"/>
                <w:highlight w:val="none"/>
                <w:u w:val="none"/>
                <w:lang w:val="en-US" w:eastAsia="zh-CN" w:bidi="ar-SA"/>
              </w:rPr>
              <w:t>℃，模具温度</w:t>
            </w:r>
            <w:r>
              <w:rPr>
                <w:rFonts w:hint="eastAsia" w:ascii="Times New Roman" w:hAnsi="Times New Roman" w:eastAsia="宋体" w:cs="Times New Roman"/>
                <w:b w:val="0"/>
                <w:bCs w:val="0"/>
                <w:color w:val="auto"/>
                <w:kern w:val="0"/>
                <w:sz w:val="24"/>
                <w:szCs w:val="24"/>
                <w:highlight w:val="none"/>
                <w:u w:val="none"/>
                <w:lang w:val="en-US" w:eastAsia="zh-CN" w:bidi="ar-SA"/>
              </w:rPr>
              <w:t>范围30-130（</w:t>
            </w:r>
            <w:r>
              <w:rPr>
                <w:rFonts w:hint="default" w:ascii="Times New Roman" w:hAnsi="Times New Roman" w:eastAsia="宋体" w:cs="Times New Roman"/>
                <w:b w:val="0"/>
                <w:bCs w:val="0"/>
                <w:color w:val="auto"/>
                <w:kern w:val="0"/>
                <w:sz w:val="24"/>
                <w:szCs w:val="24"/>
                <w:highlight w:val="none"/>
                <w:u w:val="none"/>
                <w:lang w:val="en-US" w:eastAsia="zh-CN" w:bidi="ar-SA"/>
              </w:rPr>
              <w:t>80℃</w:t>
            </w:r>
            <w:r>
              <w:rPr>
                <w:rFonts w:hint="eastAsia" w:ascii="Times New Roman" w:hAnsi="Times New Roman" w:eastAsia="宋体" w:cs="Times New Roman"/>
                <w:b w:val="0"/>
                <w:bCs w:val="0"/>
                <w:color w:val="auto"/>
                <w:kern w:val="0"/>
                <w:sz w:val="24"/>
                <w:szCs w:val="24"/>
                <w:highlight w:val="none"/>
                <w:u w:val="none"/>
                <w:lang w:val="en-US" w:eastAsia="zh-CN" w:bidi="ar-SA"/>
              </w:rPr>
              <w:t>最佳）</w:t>
            </w:r>
            <w:r>
              <w:rPr>
                <w:rFonts w:hint="default" w:ascii="Times New Roman" w:hAnsi="Times New Roman" w:eastAsia="宋体" w:cs="Times New Roman"/>
                <w:b w:val="0"/>
                <w:bCs w:val="0"/>
                <w:color w:val="auto"/>
                <w:kern w:val="0"/>
                <w:sz w:val="24"/>
                <w:szCs w:val="24"/>
                <w:highlight w:val="none"/>
                <w:u w:val="none"/>
                <w:lang w:val="en-US" w:eastAsia="zh-CN" w:bidi="ar-SA"/>
              </w:rPr>
              <w:t>，喷嘴温度240~</w:t>
            </w:r>
            <w:r>
              <w:rPr>
                <w:rFonts w:hint="eastAsia" w:ascii="Times New Roman" w:hAnsi="Times New Roman" w:eastAsia="宋体" w:cs="Times New Roman"/>
                <w:b w:val="0"/>
                <w:bCs w:val="0"/>
                <w:color w:val="auto"/>
                <w:kern w:val="0"/>
                <w:sz w:val="24"/>
                <w:szCs w:val="24"/>
                <w:highlight w:val="none"/>
                <w:u w:val="none"/>
                <w:lang w:val="en-US" w:eastAsia="zh-CN" w:bidi="ar-SA"/>
              </w:rPr>
              <w:t>260</w:t>
            </w:r>
            <w:r>
              <w:rPr>
                <w:rFonts w:hint="default" w:ascii="Times New Roman" w:hAnsi="Times New Roman" w:eastAsia="宋体" w:cs="Times New Roman"/>
                <w:b w:val="0"/>
                <w:bCs w:val="0"/>
                <w:color w:val="auto"/>
                <w:kern w:val="0"/>
                <w:sz w:val="24"/>
                <w:szCs w:val="24"/>
                <w:highlight w:val="none"/>
                <w:u w:val="none"/>
                <w:lang w:val="en-US" w:eastAsia="zh-CN" w:bidi="ar-SA"/>
              </w:rPr>
              <w:t>℃，</w:t>
            </w:r>
            <w:r>
              <w:rPr>
                <w:rFonts w:hint="eastAsia" w:ascii="Times New Roman" w:hAnsi="Times New Roman" w:eastAsia="宋体" w:cs="Times New Roman"/>
                <w:b w:val="0"/>
                <w:bCs w:val="0"/>
                <w:color w:val="auto"/>
                <w:kern w:val="0"/>
                <w:sz w:val="24"/>
                <w:szCs w:val="24"/>
                <w:highlight w:val="none"/>
                <w:u w:val="none"/>
                <w:lang w:val="en-US" w:eastAsia="zh-CN" w:bidi="ar-SA"/>
              </w:rPr>
              <w:t>熔体温度最佳处理温度为250℃。本工序产生有机废气（VOCs）以及噪声。脱模后产品进行人工检验合成产品进行包装成品送检后入库。不合格产品及边角料</w:t>
            </w:r>
            <w:r>
              <w:rPr>
                <w:rFonts w:hint="eastAsia" w:ascii="Times New Roman" w:hAnsi="Times New Roman" w:cs="Times New Roman"/>
                <w:b w:val="0"/>
                <w:bCs w:val="0"/>
                <w:color w:val="auto"/>
                <w:kern w:val="0"/>
                <w:sz w:val="24"/>
                <w:szCs w:val="24"/>
                <w:highlight w:val="none"/>
                <w:u w:val="none"/>
                <w:lang w:val="en-US" w:eastAsia="zh-CN" w:bidi="ar-SA"/>
              </w:rPr>
              <w:t>通过破碎机破碎后</w:t>
            </w:r>
            <w:r>
              <w:rPr>
                <w:rFonts w:hint="eastAsia" w:ascii="Times New Roman" w:hAnsi="Times New Roman" w:eastAsia="宋体" w:cs="Times New Roman"/>
                <w:b w:val="0"/>
                <w:bCs w:val="0"/>
                <w:color w:val="auto"/>
                <w:kern w:val="0"/>
                <w:sz w:val="24"/>
                <w:szCs w:val="24"/>
                <w:highlight w:val="none"/>
                <w:u w:val="none"/>
                <w:lang w:val="en-US" w:eastAsia="zh-CN" w:bidi="ar-SA"/>
              </w:rPr>
              <w:t>回用于生产，重新进行注塑。</w:t>
            </w:r>
          </w:p>
          <w:p w14:paraId="3631869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38" w:name="_Toc5078"/>
            <w:r>
              <w:rPr>
                <w:rFonts w:hint="eastAsia" w:ascii="Times New Roman" w:hAnsi="Times New Roman" w:eastAsia="宋体" w:cs="Times New Roman"/>
                <w:b/>
                <w:bCs/>
                <w:color w:val="auto"/>
                <w:sz w:val="24"/>
                <w:szCs w:val="24"/>
                <w:u w:val="none"/>
                <w:lang w:val="en-US" w:eastAsia="zh-CN"/>
              </w:rPr>
              <w:t>2.3.2产污环节分析</w:t>
            </w:r>
            <w:bookmarkEnd w:id="38"/>
          </w:p>
          <w:p w14:paraId="517A131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val="0"/>
                <w:bCs w:val="0"/>
                <w:color w:val="auto"/>
                <w:kern w:val="0"/>
                <w:sz w:val="24"/>
                <w:szCs w:val="24"/>
                <w:highlight w:val="none"/>
                <w:u w:val="none"/>
                <w:lang w:val="en-US" w:eastAsia="zh-CN" w:bidi="ar-SA"/>
              </w:rPr>
              <w:t>项目产污环节分析情况一览表详见表2.3-1</w:t>
            </w:r>
            <w:r>
              <w:rPr>
                <w:rFonts w:hint="eastAsia" w:ascii="Times New Roman" w:hAnsi="Times New Roman" w:cs="Times New Roman"/>
                <w:b w:val="0"/>
                <w:bCs w:val="0"/>
                <w:color w:val="auto"/>
                <w:kern w:val="0"/>
                <w:sz w:val="24"/>
                <w:szCs w:val="24"/>
                <w:highlight w:val="none"/>
                <w:u w:val="none"/>
                <w:lang w:val="en-US" w:eastAsia="zh-CN" w:bidi="ar-SA"/>
              </w:rPr>
              <w:t>。</w:t>
            </w:r>
          </w:p>
          <w:p w14:paraId="7CD675F0">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表2.3-1 项目产污环节分析一览表</w:t>
            </w:r>
          </w:p>
          <w:tbl>
            <w:tblPr>
              <w:tblStyle w:val="23"/>
              <w:tblW w:w="499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7"/>
              <w:gridCol w:w="418"/>
              <w:gridCol w:w="1082"/>
              <w:gridCol w:w="1847"/>
              <w:gridCol w:w="691"/>
              <w:gridCol w:w="4116"/>
            </w:tblGrid>
            <w:tr w14:paraId="560A44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3" w:type="pct"/>
                  <w:tcBorders>
                    <w:tl2br w:val="nil"/>
                    <w:tr2bl w:val="nil"/>
                  </w:tcBorders>
                  <w:vAlign w:val="center"/>
                </w:tcPr>
                <w:p w14:paraId="75F20DB6">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序号</w:t>
                  </w:r>
                </w:p>
              </w:tc>
              <w:tc>
                <w:tcPr>
                  <w:tcW w:w="244" w:type="pct"/>
                  <w:tcBorders>
                    <w:tl2br w:val="nil"/>
                    <w:tr2bl w:val="nil"/>
                  </w:tcBorders>
                  <w:vAlign w:val="center"/>
                </w:tcPr>
                <w:p w14:paraId="3A59386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类别</w:t>
                  </w:r>
                </w:p>
              </w:tc>
              <w:tc>
                <w:tcPr>
                  <w:tcW w:w="631" w:type="pct"/>
                  <w:tcBorders>
                    <w:tl2br w:val="nil"/>
                    <w:tr2bl w:val="nil"/>
                  </w:tcBorders>
                  <w:vAlign w:val="center"/>
                </w:tcPr>
                <w:p w14:paraId="5B291F1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污染源/污染工段</w:t>
                  </w:r>
                </w:p>
              </w:tc>
              <w:tc>
                <w:tcPr>
                  <w:tcW w:w="1077" w:type="pct"/>
                  <w:tcBorders>
                    <w:tl2br w:val="nil"/>
                    <w:tr2bl w:val="nil"/>
                  </w:tcBorders>
                  <w:vAlign w:val="center"/>
                </w:tcPr>
                <w:p w14:paraId="14AB82E6">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主要污染物</w:t>
                  </w:r>
                </w:p>
              </w:tc>
              <w:tc>
                <w:tcPr>
                  <w:tcW w:w="403" w:type="pct"/>
                  <w:tcBorders>
                    <w:tl2br w:val="nil"/>
                    <w:tr2bl w:val="nil"/>
                  </w:tcBorders>
                  <w:vAlign w:val="center"/>
                </w:tcPr>
                <w:p w14:paraId="4F81847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排放周期</w:t>
                  </w:r>
                </w:p>
              </w:tc>
              <w:tc>
                <w:tcPr>
                  <w:tcW w:w="2400" w:type="pct"/>
                  <w:tcBorders>
                    <w:tl2br w:val="nil"/>
                    <w:tr2bl w:val="nil"/>
                  </w:tcBorders>
                  <w:vAlign w:val="center"/>
                </w:tcPr>
                <w:p w14:paraId="68C3C449">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环保措施</w:t>
                  </w:r>
                </w:p>
              </w:tc>
            </w:tr>
            <w:tr w14:paraId="109D9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 w:type="pct"/>
                  <w:vMerge w:val="restart"/>
                  <w:tcBorders>
                    <w:tl2br w:val="nil"/>
                    <w:tr2bl w:val="nil"/>
                  </w:tcBorders>
                  <w:vAlign w:val="center"/>
                </w:tcPr>
                <w:p w14:paraId="49A3FDC1">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1</w:t>
                  </w:r>
                </w:p>
              </w:tc>
              <w:tc>
                <w:tcPr>
                  <w:tcW w:w="244" w:type="pct"/>
                  <w:vMerge w:val="restart"/>
                  <w:tcBorders>
                    <w:tl2br w:val="nil"/>
                    <w:tr2bl w:val="nil"/>
                  </w:tcBorders>
                  <w:vAlign w:val="center"/>
                </w:tcPr>
                <w:p w14:paraId="61FBDD72">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废水</w:t>
                  </w:r>
                </w:p>
              </w:tc>
              <w:tc>
                <w:tcPr>
                  <w:tcW w:w="631" w:type="pct"/>
                  <w:tcBorders>
                    <w:tl2br w:val="nil"/>
                    <w:tr2bl w:val="nil"/>
                  </w:tcBorders>
                  <w:vAlign w:val="center"/>
                </w:tcPr>
                <w:p w14:paraId="40CA0015">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冷却工序</w:t>
                  </w:r>
                </w:p>
              </w:tc>
              <w:tc>
                <w:tcPr>
                  <w:tcW w:w="1077" w:type="pct"/>
                  <w:tcBorders>
                    <w:tl2br w:val="nil"/>
                    <w:tr2bl w:val="nil"/>
                  </w:tcBorders>
                  <w:vAlign w:val="center"/>
                </w:tcPr>
                <w:p w14:paraId="5CE4F9D4">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w:t>
                  </w:r>
                </w:p>
              </w:tc>
              <w:tc>
                <w:tcPr>
                  <w:tcW w:w="403" w:type="pct"/>
                  <w:tcBorders>
                    <w:tl2br w:val="nil"/>
                    <w:tr2bl w:val="nil"/>
                  </w:tcBorders>
                  <w:vAlign w:val="center"/>
                </w:tcPr>
                <w:p w14:paraId="2264524F">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w:t>
                  </w:r>
                </w:p>
              </w:tc>
              <w:tc>
                <w:tcPr>
                  <w:tcW w:w="2400" w:type="pct"/>
                  <w:tcBorders>
                    <w:tl2br w:val="nil"/>
                    <w:tr2bl w:val="nil"/>
                  </w:tcBorders>
                  <w:vAlign w:val="center"/>
                </w:tcPr>
                <w:p w14:paraId="7C9FADA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kern w:val="0"/>
                      <w:sz w:val="21"/>
                      <w:szCs w:val="21"/>
                    </w:rPr>
                    <w:t>冷却水循环使用不外排，定期补充新鲜用水</w:t>
                  </w:r>
                </w:p>
              </w:tc>
            </w:tr>
            <w:tr w14:paraId="6B167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 w:type="pct"/>
                  <w:vMerge w:val="continue"/>
                  <w:tcBorders>
                    <w:tl2br w:val="nil"/>
                    <w:tr2bl w:val="nil"/>
                  </w:tcBorders>
                  <w:vAlign w:val="center"/>
                </w:tcPr>
                <w:p w14:paraId="4E77B97F">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244" w:type="pct"/>
                  <w:vMerge w:val="continue"/>
                  <w:tcBorders>
                    <w:tl2br w:val="nil"/>
                    <w:tr2bl w:val="nil"/>
                  </w:tcBorders>
                  <w:vAlign w:val="center"/>
                </w:tcPr>
                <w:p w14:paraId="41E6E93F">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631" w:type="pct"/>
                  <w:tcBorders>
                    <w:tl2br w:val="nil"/>
                    <w:tr2bl w:val="nil"/>
                  </w:tcBorders>
                  <w:vAlign w:val="center"/>
                </w:tcPr>
                <w:p w14:paraId="751EF570">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生活用水</w:t>
                  </w:r>
                </w:p>
              </w:tc>
              <w:tc>
                <w:tcPr>
                  <w:tcW w:w="1077" w:type="pct"/>
                  <w:tcBorders>
                    <w:tl2br w:val="nil"/>
                    <w:tr2bl w:val="nil"/>
                  </w:tcBorders>
                  <w:vAlign w:val="center"/>
                </w:tcPr>
                <w:p w14:paraId="1E20D286">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Cs/>
                      <w:color w:val="000000"/>
                      <w:sz w:val="21"/>
                      <w:szCs w:val="21"/>
                    </w:rPr>
                    <w:t>pH、COD、BOD</w:t>
                  </w:r>
                  <w:r>
                    <w:rPr>
                      <w:rFonts w:hint="default" w:ascii="Times New Roman" w:hAnsi="Times New Roman" w:eastAsia="宋体" w:cs="Times New Roman"/>
                      <w:bCs/>
                      <w:color w:val="000000"/>
                      <w:sz w:val="21"/>
                      <w:szCs w:val="21"/>
                      <w:vertAlign w:val="subscript"/>
                    </w:rPr>
                    <w:t>5</w:t>
                  </w:r>
                  <w:r>
                    <w:rPr>
                      <w:rFonts w:hint="default" w:ascii="Times New Roman" w:hAnsi="Times New Roman" w:eastAsia="宋体" w:cs="Times New Roman"/>
                      <w:bCs/>
                      <w:color w:val="000000"/>
                      <w:sz w:val="21"/>
                      <w:szCs w:val="21"/>
                    </w:rPr>
                    <w:t>、SS、NH</w:t>
                  </w:r>
                  <w:r>
                    <w:rPr>
                      <w:rFonts w:hint="default" w:ascii="Times New Roman" w:hAnsi="Times New Roman" w:eastAsia="宋体" w:cs="Times New Roman"/>
                      <w:bCs/>
                      <w:color w:val="000000"/>
                      <w:sz w:val="21"/>
                      <w:szCs w:val="21"/>
                      <w:vertAlign w:val="subscript"/>
                    </w:rPr>
                    <w:t>3</w:t>
                  </w:r>
                  <w:r>
                    <w:rPr>
                      <w:rFonts w:hint="default" w:ascii="Times New Roman" w:hAnsi="Times New Roman" w:eastAsia="宋体" w:cs="Times New Roman"/>
                      <w:bCs/>
                      <w:color w:val="000000"/>
                      <w:sz w:val="21"/>
                      <w:szCs w:val="21"/>
                    </w:rPr>
                    <w:t>-N</w:t>
                  </w:r>
                </w:p>
              </w:tc>
              <w:tc>
                <w:tcPr>
                  <w:tcW w:w="403" w:type="pct"/>
                  <w:tcBorders>
                    <w:tl2br w:val="nil"/>
                    <w:tr2bl w:val="nil"/>
                  </w:tcBorders>
                  <w:vAlign w:val="center"/>
                </w:tcPr>
                <w:p w14:paraId="64EB930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间歇</w:t>
                  </w:r>
                </w:p>
              </w:tc>
              <w:tc>
                <w:tcPr>
                  <w:tcW w:w="2400" w:type="pct"/>
                  <w:tcBorders>
                    <w:tl2br w:val="nil"/>
                    <w:tr2bl w:val="nil"/>
                  </w:tcBorders>
                  <w:vAlign w:val="center"/>
                </w:tcPr>
                <w:p w14:paraId="636D28D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Cs/>
                      <w:color w:val="000000"/>
                      <w:sz w:val="21"/>
                      <w:szCs w:val="21"/>
                    </w:rPr>
                    <w:t>经化</w:t>
                  </w:r>
                  <w:r>
                    <w:rPr>
                      <w:rFonts w:hint="default" w:ascii="Times New Roman" w:hAnsi="Times New Roman" w:eastAsia="宋体" w:cs="Times New Roman"/>
                      <w:bCs/>
                      <w:color w:val="auto"/>
                      <w:sz w:val="21"/>
                      <w:szCs w:val="21"/>
                    </w:rPr>
                    <w:t>粪池预处理后接入市政污水管网排入福清市融元污水处理厂集中处</w:t>
                  </w:r>
                  <w:r>
                    <w:rPr>
                      <w:rFonts w:hint="default" w:ascii="Times New Roman" w:hAnsi="Times New Roman" w:eastAsia="宋体" w:cs="Times New Roman"/>
                      <w:bCs/>
                      <w:color w:val="000000"/>
                      <w:sz w:val="21"/>
                      <w:szCs w:val="21"/>
                    </w:rPr>
                    <w:t>理</w:t>
                  </w:r>
                </w:p>
              </w:tc>
            </w:tr>
            <w:tr w14:paraId="6EC58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 w:type="pct"/>
                  <w:vMerge w:val="restart"/>
                  <w:tcBorders>
                    <w:tl2br w:val="nil"/>
                    <w:tr2bl w:val="nil"/>
                  </w:tcBorders>
                  <w:vAlign w:val="center"/>
                </w:tcPr>
                <w:p w14:paraId="11301E1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2</w:t>
                  </w:r>
                </w:p>
              </w:tc>
              <w:tc>
                <w:tcPr>
                  <w:tcW w:w="244" w:type="pct"/>
                  <w:vMerge w:val="restart"/>
                  <w:tcBorders>
                    <w:tl2br w:val="nil"/>
                    <w:tr2bl w:val="nil"/>
                  </w:tcBorders>
                  <w:vAlign w:val="center"/>
                </w:tcPr>
                <w:p w14:paraId="6019F0B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废气</w:t>
                  </w:r>
                </w:p>
              </w:tc>
              <w:tc>
                <w:tcPr>
                  <w:tcW w:w="631" w:type="pct"/>
                  <w:tcBorders>
                    <w:tl2br w:val="nil"/>
                    <w:tr2bl w:val="nil"/>
                  </w:tcBorders>
                  <w:shd w:val="clear" w:color="auto" w:fill="auto"/>
                  <w:vAlign w:val="center"/>
                </w:tcPr>
                <w:p w14:paraId="6C02BF7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注塑废气</w:t>
                  </w:r>
                </w:p>
              </w:tc>
              <w:tc>
                <w:tcPr>
                  <w:tcW w:w="1077" w:type="pct"/>
                  <w:tcBorders>
                    <w:tl2br w:val="nil"/>
                    <w:tr2bl w:val="nil"/>
                  </w:tcBorders>
                  <w:shd w:val="clear" w:color="auto" w:fill="auto"/>
                  <w:vAlign w:val="center"/>
                </w:tcPr>
                <w:p w14:paraId="61F15354">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非甲烷总烃、臭气浓度</w:t>
                  </w:r>
                  <w:r>
                    <w:rPr>
                      <w:rFonts w:hint="eastAsia" w:ascii="Times New Roman" w:hAnsi="Times New Roman" w:cs="Times New Roman"/>
                      <w:b w:val="0"/>
                      <w:bCs w:val="0"/>
                      <w:color w:val="auto"/>
                      <w:kern w:val="0"/>
                      <w:sz w:val="21"/>
                      <w:szCs w:val="21"/>
                      <w:highlight w:val="none"/>
                      <w:u w:val="none"/>
                      <w:vertAlign w:val="baseline"/>
                      <w:lang w:val="en-US" w:eastAsia="zh-CN" w:bidi="ar-SA"/>
                    </w:rPr>
                    <w:t>、</w:t>
                  </w:r>
                  <w:r>
                    <w:rPr>
                      <w:rFonts w:hint="eastAsia" w:cs="Times New Roman"/>
                      <w:bCs/>
                      <w:color w:val="auto"/>
                      <w:kern w:val="2"/>
                      <w:sz w:val="21"/>
                      <w:szCs w:val="21"/>
                      <w:lang w:val="en-US" w:eastAsia="zh-CN" w:bidi="ar-SA"/>
                    </w:rPr>
                    <w:t>苯乙烯、丙烯腈、1,3-丁二烯、甲苯、乙苯</w:t>
                  </w:r>
                </w:p>
              </w:tc>
              <w:tc>
                <w:tcPr>
                  <w:tcW w:w="403" w:type="pct"/>
                  <w:tcBorders>
                    <w:tl2br w:val="nil"/>
                    <w:tr2bl w:val="nil"/>
                  </w:tcBorders>
                  <w:shd w:val="clear" w:color="auto" w:fill="auto"/>
                  <w:vAlign w:val="center"/>
                </w:tcPr>
                <w:p w14:paraId="1833E6C7">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连续</w:t>
                  </w:r>
                </w:p>
              </w:tc>
              <w:tc>
                <w:tcPr>
                  <w:tcW w:w="2400" w:type="pct"/>
                  <w:tcBorders>
                    <w:tl2br w:val="nil"/>
                    <w:tr2bl w:val="nil"/>
                  </w:tcBorders>
                  <w:shd w:val="clear" w:color="auto" w:fill="auto"/>
                  <w:vAlign w:val="center"/>
                </w:tcPr>
                <w:p w14:paraId="765A7770">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注塑废气通过集气罩收集后由一套</w:t>
                  </w:r>
                  <w:r>
                    <w:rPr>
                      <w:rFonts w:hint="eastAsia" w:ascii="Times New Roman" w:hAnsi="Times New Roman" w:eastAsia="宋体" w:cs="Times New Roman"/>
                      <w:color w:val="auto"/>
                      <w:sz w:val="21"/>
                      <w:szCs w:val="21"/>
                      <w:highlight w:val="none"/>
                      <w:vertAlign w:val="baseline"/>
                      <w:lang w:val="en-US" w:eastAsia="zh-CN"/>
                    </w:rPr>
                    <w:t>“二级</w:t>
                  </w:r>
                  <w:r>
                    <w:rPr>
                      <w:rFonts w:hint="default" w:ascii="Times New Roman" w:hAnsi="Times New Roman" w:eastAsia="宋体" w:cs="Times New Roman"/>
                      <w:color w:val="auto"/>
                      <w:sz w:val="21"/>
                      <w:szCs w:val="21"/>
                      <w:highlight w:val="none"/>
                      <w:vertAlign w:val="baseline"/>
                      <w:lang w:val="en-US" w:eastAsia="zh-CN"/>
                    </w:rPr>
                    <w:t>活性炭吸附装置</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（TA001）处理后，通过1根15m高排气筒</w:t>
                  </w:r>
                  <w:r>
                    <w:rPr>
                      <w:rFonts w:hint="eastAsia" w:ascii="Times New Roman" w:hAnsi="Times New Roman"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D</w:t>
                  </w:r>
                  <w:r>
                    <w:rPr>
                      <w:rFonts w:hint="default" w:ascii="Times New Roman" w:hAnsi="Times New Roman" w:eastAsia="宋体" w:cs="Times New Roman"/>
                      <w:color w:val="auto"/>
                      <w:sz w:val="21"/>
                      <w:szCs w:val="21"/>
                      <w:highlight w:val="none"/>
                      <w:vertAlign w:val="baseline"/>
                      <w:lang w:val="en-US" w:eastAsia="zh-CN"/>
                    </w:rPr>
                    <w:t>A001</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排放</w:t>
                  </w:r>
                </w:p>
              </w:tc>
            </w:tr>
            <w:tr w14:paraId="4FAAB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 w:type="pct"/>
                  <w:vMerge w:val="continue"/>
                  <w:tcBorders>
                    <w:tl2br w:val="nil"/>
                    <w:tr2bl w:val="nil"/>
                  </w:tcBorders>
                  <w:vAlign w:val="center"/>
                </w:tcPr>
                <w:p w14:paraId="4543BF90">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244" w:type="pct"/>
                  <w:vMerge w:val="continue"/>
                  <w:tcBorders>
                    <w:tl2br w:val="nil"/>
                    <w:tr2bl w:val="nil"/>
                  </w:tcBorders>
                  <w:vAlign w:val="center"/>
                </w:tcPr>
                <w:p w14:paraId="5DDB12F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631" w:type="pct"/>
                  <w:tcBorders>
                    <w:tl2br w:val="nil"/>
                    <w:tr2bl w:val="nil"/>
                  </w:tcBorders>
                  <w:shd w:val="clear" w:color="auto" w:fill="auto"/>
                  <w:vAlign w:val="center"/>
                </w:tcPr>
                <w:p w14:paraId="01F3277C">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破碎废气</w:t>
                  </w:r>
                </w:p>
              </w:tc>
              <w:tc>
                <w:tcPr>
                  <w:tcW w:w="1077" w:type="pct"/>
                  <w:tcBorders>
                    <w:tl2br w:val="nil"/>
                    <w:tr2bl w:val="nil"/>
                  </w:tcBorders>
                  <w:shd w:val="clear" w:color="auto" w:fill="auto"/>
                  <w:vAlign w:val="center"/>
                </w:tcPr>
                <w:p w14:paraId="507DD00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颗粒物</w:t>
                  </w:r>
                </w:p>
              </w:tc>
              <w:tc>
                <w:tcPr>
                  <w:tcW w:w="403" w:type="pct"/>
                  <w:tcBorders>
                    <w:tl2br w:val="nil"/>
                    <w:tr2bl w:val="nil"/>
                  </w:tcBorders>
                  <w:vAlign w:val="center"/>
                </w:tcPr>
                <w:p w14:paraId="27898FA5">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间歇</w:t>
                  </w:r>
                </w:p>
              </w:tc>
              <w:tc>
                <w:tcPr>
                  <w:tcW w:w="2400" w:type="pct"/>
                  <w:tcBorders>
                    <w:tl2br w:val="nil"/>
                    <w:tr2bl w:val="nil"/>
                  </w:tcBorders>
                  <w:vAlign w:val="center"/>
                </w:tcPr>
                <w:p w14:paraId="6CA9AC14">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破碎颗粒物通过集气罩收集后经布袋除尘器（TA002）处理后，并入15m高排气筒</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DA001</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排放</w:t>
                  </w:r>
                </w:p>
              </w:tc>
            </w:tr>
            <w:tr w14:paraId="1BB10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43" w:type="pct"/>
                  <w:vMerge w:val="restart"/>
                  <w:tcBorders>
                    <w:tl2br w:val="nil"/>
                    <w:tr2bl w:val="nil"/>
                  </w:tcBorders>
                  <w:vAlign w:val="center"/>
                </w:tcPr>
                <w:p w14:paraId="0EAF5A90">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3</w:t>
                  </w:r>
                </w:p>
              </w:tc>
              <w:tc>
                <w:tcPr>
                  <w:tcW w:w="244" w:type="pct"/>
                  <w:vMerge w:val="restart"/>
                  <w:tcBorders>
                    <w:tl2br w:val="nil"/>
                    <w:tr2bl w:val="nil"/>
                  </w:tcBorders>
                  <w:vAlign w:val="center"/>
                </w:tcPr>
                <w:p w14:paraId="6A8D872E">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固废</w:t>
                  </w:r>
                </w:p>
              </w:tc>
              <w:tc>
                <w:tcPr>
                  <w:tcW w:w="631" w:type="pct"/>
                  <w:tcBorders>
                    <w:tl2br w:val="nil"/>
                    <w:tr2bl w:val="nil"/>
                  </w:tcBorders>
                  <w:shd w:val="clear" w:color="auto" w:fill="auto"/>
                  <w:vAlign w:val="center"/>
                </w:tcPr>
                <w:p w14:paraId="563AE5D2">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生活垃圾</w:t>
                  </w:r>
                </w:p>
              </w:tc>
              <w:tc>
                <w:tcPr>
                  <w:tcW w:w="1077" w:type="pct"/>
                  <w:tcBorders>
                    <w:tl2br w:val="nil"/>
                    <w:tr2bl w:val="nil"/>
                  </w:tcBorders>
                  <w:shd w:val="clear" w:color="auto" w:fill="auto"/>
                  <w:vAlign w:val="center"/>
                </w:tcPr>
                <w:p w14:paraId="4C74542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Cs/>
                      <w:sz w:val="21"/>
                      <w:szCs w:val="21"/>
                    </w:rPr>
                    <w:t>纸屑、塑料袋等</w:t>
                  </w:r>
                </w:p>
              </w:tc>
              <w:tc>
                <w:tcPr>
                  <w:tcW w:w="403" w:type="pct"/>
                  <w:tcBorders>
                    <w:tl2br w:val="nil"/>
                    <w:tr2bl w:val="nil"/>
                  </w:tcBorders>
                  <w:shd w:val="clear" w:color="auto" w:fill="auto"/>
                  <w:vAlign w:val="center"/>
                </w:tcPr>
                <w:p w14:paraId="086CE02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000000"/>
                      <w:sz w:val="21"/>
                      <w:szCs w:val="21"/>
                      <w:lang w:val="en-US" w:eastAsia="zh-CN"/>
                    </w:rPr>
                    <w:t>间歇</w:t>
                  </w:r>
                </w:p>
              </w:tc>
              <w:tc>
                <w:tcPr>
                  <w:tcW w:w="2400" w:type="pct"/>
                  <w:tcBorders>
                    <w:tl2br w:val="nil"/>
                    <w:tr2bl w:val="nil"/>
                  </w:tcBorders>
                  <w:shd w:val="clear" w:color="auto" w:fill="auto"/>
                  <w:vAlign w:val="center"/>
                </w:tcPr>
                <w:p w14:paraId="1262240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GB" w:eastAsia="zh-CN"/>
                    </w:rPr>
                    <w:t>厂区内设置生活垃圾桶，分类收集后委托环卫部门每日清运处置</w:t>
                  </w:r>
                </w:p>
              </w:tc>
            </w:tr>
            <w:tr w14:paraId="04920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43" w:type="pct"/>
                  <w:vMerge w:val="continue"/>
                  <w:vAlign w:val="center"/>
                </w:tcPr>
                <w:p w14:paraId="418748E6">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244" w:type="pct"/>
                  <w:vMerge w:val="continue"/>
                  <w:vAlign w:val="center"/>
                </w:tcPr>
                <w:p w14:paraId="1F7F72C6">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631" w:type="pct"/>
                  <w:shd w:val="clear" w:color="auto" w:fill="auto"/>
                  <w:vAlign w:val="center"/>
                </w:tcPr>
                <w:p w14:paraId="251BEC8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产品检验</w:t>
                  </w:r>
                </w:p>
              </w:tc>
              <w:tc>
                <w:tcPr>
                  <w:tcW w:w="1077" w:type="pct"/>
                  <w:shd w:val="clear" w:color="auto" w:fill="auto"/>
                  <w:vAlign w:val="center"/>
                </w:tcPr>
                <w:p w14:paraId="4DDFF30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不合格产品及边角料</w:t>
                  </w:r>
                </w:p>
              </w:tc>
              <w:tc>
                <w:tcPr>
                  <w:tcW w:w="403" w:type="pct"/>
                  <w:shd w:val="clear" w:color="auto" w:fill="auto"/>
                  <w:vAlign w:val="center"/>
                </w:tcPr>
                <w:p w14:paraId="085890C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000000"/>
                      <w:sz w:val="21"/>
                      <w:szCs w:val="21"/>
                      <w:lang w:val="en-US" w:eastAsia="zh-CN"/>
                    </w:rPr>
                    <w:t>间歇</w:t>
                  </w:r>
                </w:p>
              </w:tc>
              <w:tc>
                <w:tcPr>
                  <w:tcW w:w="2400" w:type="pct"/>
                  <w:shd w:val="clear" w:color="auto" w:fill="auto"/>
                  <w:vAlign w:val="center"/>
                </w:tcPr>
                <w:p w14:paraId="4E00ED7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注塑过程所产生的不合格产品及边角料</w:t>
                  </w:r>
                  <w:r>
                    <w:rPr>
                      <w:rFonts w:hint="eastAsia" w:ascii="Times New Roman" w:hAnsi="Times New Roman" w:eastAsia="宋体" w:cs="Times New Roman"/>
                      <w:color w:val="auto"/>
                      <w:kern w:val="2"/>
                      <w:sz w:val="21"/>
                      <w:szCs w:val="21"/>
                      <w:highlight w:val="none"/>
                      <w:vertAlign w:val="baseline"/>
                      <w:lang w:val="en-US" w:eastAsia="zh-CN" w:bidi="ar-SA"/>
                    </w:rPr>
                    <w:t>经破碎处理后</w:t>
                  </w:r>
                  <w:r>
                    <w:rPr>
                      <w:rFonts w:hint="default" w:ascii="Times New Roman" w:hAnsi="Times New Roman" w:eastAsia="宋体" w:cs="Times New Roman"/>
                      <w:color w:val="auto"/>
                      <w:kern w:val="2"/>
                      <w:sz w:val="21"/>
                      <w:szCs w:val="21"/>
                      <w:highlight w:val="none"/>
                      <w:vertAlign w:val="baseline"/>
                      <w:lang w:val="en-US" w:eastAsia="zh-CN" w:bidi="ar-SA"/>
                    </w:rPr>
                    <w:t>回用于生产</w:t>
                  </w:r>
                </w:p>
              </w:tc>
            </w:tr>
            <w:tr w14:paraId="2B271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243" w:type="pct"/>
                  <w:vMerge w:val="continue"/>
                  <w:vAlign w:val="center"/>
                </w:tcPr>
                <w:p w14:paraId="3194F27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244" w:type="pct"/>
                  <w:vMerge w:val="continue"/>
                  <w:vAlign w:val="center"/>
                </w:tcPr>
                <w:p w14:paraId="7572B8E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631" w:type="pct"/>
                  <w:shd w:val="clear" w:color="auto" w:fill="auto"/>
                  <w:vAlign w:val="center"/>
                </w:tcPr>
                <w:p w14:paraId="2C4F56C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生产工序</w:t>
                  </w:r>
                </w:p>
              </w:tc>
              <w:tc>
                <w:tcPr>
                  <w:tcW w:w="1077" w:type="pct"/>
                  <w:shd w:val="clear" w:color="auto" w:fill="auto"/>
                  <w:vAlign w:val="center"/>
                </w:tcPr>
                <w:p w14:paraId="5EC3AD6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废包装材料</w:t>
                  </w:r>
                </w:p>
              </w:tc>
              <w:tc>
                <w:tcPr>
                  <w:tcW w:w="403" w:type="pct"/>
                  <w:shd w:val="clear" w:color="auto" w:fill="auto"/>
                  <w:vAlign w:val="center"/>
                </w:tcPr>
                <w:p w14:paraId="54E56AA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Cs/>
                      <w:color w:val="000000"/>
                      <w:sz w:val="21"/>
                      <w:szCs w:val="21"/>
                      <w:lang w:val="en-US" w:eastAsia="zh-CN"/>
                    </w:rPr>
                    <w:t>间歇</w:t>
                  </w:r>
                </w:p>
              </w:tc>
              <w:tc>
                <w:tcPr>
                  <w:tcW w:w="2400" w:type="pct"/>
                  <w:shd w:val="clear" w:color="auto" w:fill="auto"/>
                  <w:vAlign w:val="center"/>
                </w:tcPr>
                <w:p w14:paraId="3974444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设一般工业固废暂存间，妥善分类收集后出售给回收企业综合利用</w:t>
                  </w:r>
                </w:p>
              </w:tc>
            </w:tr>
            <w:tr w14:paraId="48C50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43" w:type="pct"/>
                  <w:vMerge w:val="continue"/>
                  <w:vAlign w:val="center"/>
                </w:tcPr>
                <w:p w14:paraId="024CAF8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244" w:type="pct"/>
                  <w:vMerge w:val="continue"/>
                  <w:vAlign w:val="center"/>
                </w:tcPr>
                <w:p w14:paraId="6E89E45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631" w:type="pct"/>
                  <w:shd w:val="clear" w:color="auto" w:fill="auto"/>
                  <w:vAlign w:val="center"/>
                </w:tcPr>
                <w:p w14:paraId="10671DE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废气处理</w:t>
                  </w:r>
                </w:p>
              </w:tc>
              <w:tc>
                <w:tcPr>
                  <w:tcW w:w="1077" w:type="pct"/>
                  <w:shd w:val="clear" w:color="auto" w:fill="auto"/>
                  <w:vAlign w:val="center"/>
                </w:tcPr>
                <w:p w14:paraId="5947D46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布袋除尘器收集的粉尘</w:t>
                  </w:r>
                </w:p>
              </w:tc>
              <w:tc>
                <w:tcPr>
                  <w:tcW w:w="403" w:type="pct"/>
                  <w:shd w:val="clear" w:color="auto" w:fill="auto"/>
                  <w:vAlign w:val="center"/>
                </w:tcPr>
                <w:p w14:paraId="028CF74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连续</w:t>
                  </w:r>
                </w:p>
              </w:tc>
              <w:tc>
                <w:tcPr>
                  <w:tcW w:w="2400" w:type="pct"/>
                  <w:shd w:val="clear" w:color="auto" w:fill="auto"/>
                  <w:vAlign w:val="center"/>
                </w:tcPr>
                <w:p w14:paraId="4F3A456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收集粉尘主要为废塑料颗粒委托环卫部门定期处置</w:t>
                  </w:r>
                </w:p>
              </w:tc>
            </w:tr>
            <w:tr w14:paraId="19C9B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243" w:type="pct"/>
                  <w:vMerge w:val="continue"/>
                  <w:vAlign w:val="center"/>
                </w:tcPr>
                <w:p w14:paraId="23A6CEB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244" w:type="pct"/>
                  <w:vMerge w:val="continue"/>
                  <w:vAlign w:val="center"/>
                </w:tcPr>
                <w:p w14:paraId="2C37DCCF">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631" w:type="pct"/>
                  <w:shd w:val="clear" w:color="auto" w:fill="auto"/>
                  <w:vAlign w:val="center"/>
                </w:tcPr>
                <w:p w14:paraId="4DDBD5F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废气处理</w:t>
                  </w:r>
                </w:p>
              </w:tc>
              <w:tc>
                <w:tcPr>
                  <w:tcW w:w="1077" w:type="pct"/>
                  <w:shd w:val="clear" w:color="auto" w:fill="auto"/>
                  <w:vAlign w:val="center"/>
                </w:tcPr>
                <w:p w14:paraId="73713AD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废活性炭</w:t>
                  </w:r>
                </w:p>
              </w:tc>
              <w:tc>
                <w:tcPr>
                  <w:tcW w:w="403" w:type="pct"/>
                  <w:vMerge w:val="restart"/>
                  <w:shd w:val="clear" w:color="auto" w:fill="auto"/>
                  <w:vAlign w:val="center"/>
                </w:tcPr>
                <w:p w14:paraId="497898C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000000"/>
                      <w:sz w:val="21"/>
                      <w:szCs w:val="21"/>
                      <w:lang w:val="en-US" w:eastAsia="zh-CN"/>
                    </w:rPr>
                    <w:t>间歇</w:t>
                  </w:r>
                </w:p>
              </w:tc>
              <w:tc>
                <w:tcPr>
                  <w:tcW w:w="2400" w:type="pct"/>
                  <w:vMerge w:val="restart"/>
                  <w:shd w:val="clear" w:color="auto" w:fill="auto"/>
                  <w:vAlign w:val="center"/>
                </w:tcPr>
                <w:p w14:paraId="1CE63A6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按照规范要求设置一间危险废物贮存库，面积约5m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，存放废活性炭</w:t>
                  </w:r>
                  <w:r>
                    <w:rPr>
                      <w:rFonts w:hint="eastAsia" w:ascii="Times New Roman" w:hAnsi="Times New Roman" w:eastAsia="宋体" w:cs="Times New Roman"/>
                      <w:color w:val="auto"/>
                      <w:sz w:val="21"/>
                      <w:szCs w:val="21"/>
                      <w:highlight w:val="none"/>
                      <w:vertAlign w:val="baseline"/>
                      <w:lang w:val="en-US" w:eastAsia="zh-CN"/>
                    </w:rPr>
                    <w:t>、废机油</w:t>
                  </w:r>
                  <w:r>
                    <w:rPr>
                      <w:rFonts w:hint="default" w:ascii="Times New Roman" w:hAnsi="Times New Roman" w:eastAsia="宋体" w:cs="Times New Roman"/>
                      <w:color w:val="auto"/>
                      <w:sz w:val="21"/>
                      <w:szCs w:val="21"/>
                      <w:highlight w:val="none"/>
                      <w:vertAlign w:val="baseline"/>
                      <w:lang w:val="en-US" w:eastAsia="zh-CN"/>
                    </w:rPr>
                    <w:t>等危险废物。贮存间内张贴明显</w:t>
                  </w:r>
                  <w:r>
                    <w:rPr>
                      <w:rFonts w:hint="eastAsia" w:cs="Times New Roman"/>
                      <w:color w:val="auto"/>
                      <w:sz w:val="21"/>
                      <w:szCs w:val="21"/>
                      <w:highlight w:val="none"/>
                      <w:vertAlign w:val="baseline"/>
                      <w:lang w:val="en-US" w:eastAsia="zh-CN"/>
                    </w:rPr>
                    <w:t>警示标志</w:t>
                  </w:r>
                  <w:r>
                    <w:rPr>
                      <w:rFonts w:hint="default" w:ascii="Times New Roman" w:hAnsi="Times New Roman" w:eastAsia="宋体" w:cs="Times New Roman"/>
                      <w:color w:val="auto"/>
                      <w:sz w:val="21"/>
                      <w:szCs w:val="21"/>
                      <w:highlight w:val="none"/>
                      <w:vertAlign w:val="baseline"/>
                      <w:lang w:val="en-US" w:eastAsia="zh-CN"/>
                    </w:rPr>
                    <w:t>并设置围堰及导流沟，地面刷环氧树脂漆。并与有资质的单位签署危废委托协调</w:t>
                  </w:r>
                </w:p>
              </w:tc>
            </w:tr>
            <w:tr w14:paraId="7E51F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43" w:type="pct"/>
                  <w:vMerge w:val="continue"/>
                  <w:vAlign w:val="center"/>
                </w:tcPr>
                <w:p w14:paraId="127324D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244" w:type="pct"/>
                  <w:vMerge w:val="continue"/>
                  <w:vAlign w:val="center"/>
                </w:tcPr>
                <w:p w14:paraId="6166EBD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631" w:type="pct"/>
                  <w:shd w:val="clear" w:color="auto" w:fill="auto"/>
                  <w:vAlign w:val="center"/>
                </w:tcPr>
                <w:p w14:paraId="60F55FA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设备维护</w:t>
                  </w:r>
                </w:p>
              </w:tc>
              <w:tc>
                <w:tcPr>
                  <w:tcW w:w="1077" w:type="pct"/>
                  <w:shd w:val="clear" w:color="auto" w:fill="auto"/>
                  <w:vAlign w:val="center"/>
                </w:tcPr>
                <w:p w14:paraId="743A769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废润滑油</w:t>
                  </w:r>
                </w:p>
              </w:tc>
              <w:tc>
                <w:tcPr>
                  <w:tcW w:w="403" w:type="pct"/>
                  <w:vMerge w:val="continue"/>
                  <w:shd w:val="clear" w:color="auto" w:fill="auto"/>
                  <w:vAlign w:val="center"/>
                </w:tcPr>
                <w:p w14:paraId="15E3E4B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2400" w:type="pct"/>
                  <w:vMerge w:val="continue"/>
                  <w:shd w:val="clear" w:color="auto" w:fill="auto"/>
                  <w:vAlign w:val="center"/>
                </w:tcPr>
                <w:p w14:paraId="139B14A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r>
            <w:tr w14:paraId="6244F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243" w:type="pct"/>
                  <w:vAlign w:val="center"/>
                </w:tcPr>
                <w:p w14:paraId="3D907765">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4</w:t>
                  </w:r>
                </w:p>
              </w:tc>
              <w:tc>
                <w:tcPr>
                  <w:tcW w:w="244" w:type="pct"/>
                  <w:vAlign w:val="center"/>
                </w:tcPr>
                <w:p w14:paraId="3844B736">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噪声</w:t>
                  </w:r>
                </w:p>
              </w:tc>
              <w:tc>
                <w:tcPr>
                  <w:tcW w:w="631" w:type="pct"/>
                  <w:shd w:val="clear" w:color="auto" w:fill="auto"/>
                  <w:vAlign w:val="center"/>
                </w:tcPr>
                <w:p w14:paraId="57E1846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生产设备</w:t>
                  </w:r>
                </w:p>
              </w:tc>
              <w:tc>
                <w:tcPr>
                  <w:tcW w:w="1077" w:type="pct"/>
                  <w:shd w:val="clear" w:color="auto" w:fill="auto"/>
                  <w:vAlign w:val="center"/>
                </w:tcPr>
                <w:p w14:paraId="6162408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Leq</w:t>
                  </w:r>
                </w:p>
              </w:tc>
              <w:tc>
                <w:tcPr>
                  <w:tcW w:w="403" w:type="pct"/>
                  <w:shd w:val="clear" w:color="auto" w:fill="auto"/>
                  <w:vAlign w:val="center"/>
                </w:tcPr>
                <w:p w14:paraId="487A580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连续</w:t>
                  </w:r>
                </w:p>
              </w:tc>
              <w:tc>
                <w:tcPr>
                  <w:tcW w:w="2400" w:type="pct"/>
                  <w:shd w:val="clear" w:color="auto" w:fill="auto"/>
                  <w:vAlign w:val="center"/>
                </w:tcPr>
                <w:p w14:paraId="34538EC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u w:val="none"/>
                      <w:lang w:val="en-US" w:eastAsia="zh-CN"/>
                    </w:rPr>
                    <w:t>厂房隔声、设备基础减振等综合降噪措施</w:t>
                  </w:r>
                </w:p>
              </w:tc>
            </w:tr>
          </w:tbl>
          <w:p w14:paraId="3EA1D80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right="0"/>
              <w:textAlignment w:val="auto"/>
              <w:rPr>
                <w:rFonts w:hint="default" w:ascii="Times New Roman" w:hAnsi="Times New Roman" w:eastAsia="宋体" w:cs="Times New Roman"/>
                <w:b w:val="0"/>
                <w:bCs w:val="0"/>
                <w:color w:val="auto"/>
                <w:kern w:val="0"/>
                <w:sz w:val="24"/>
                <w:szCs w:val="24"/>
                <w:highlight w:val="none"/>
                <w:u w:val="none"/>
                <w:lang w:val="en-US" w:eastAsia="zh-CN" w:bidi="ar-SA"/>
              </w:rPr>
            </w:pPr>
          </w:p>
        </w:tc>
      </w:tr>
      <w:tr w14:paraId="7872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1" w:hRule="atLeast"/>
        </w:trPr>
        <w:tc>
          <w:tcPr>
            <w:tcW w:w="261" w:type="pct"/>
            <w:vAlign w:val="center"/>
          </w:tcPr>
          <w:p w14:paraId="35D504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sz w:val="24"/>
                <w:szCs w:val="24"/>
                <w:vertAlign w:val="baseline"/>
                <w:lang w:eastAsia="zh-CN"/>
              </w:rPr>
            </w:pPr>
            <w:r>
              <w:rPr>
                <w:rFonts w:ascii="Times New Roman" w:hAnsi="Times New Roman"/>
                <w:bCs/>
                <w:kern w:val="2"/>
                <w:sz w:val="24"/>
                <w:szCs w:val="24"/>
              </w:rPr>
              <w:t>与项目有关的原有环境污染问题</w:t>
            </w:r>
          </w:p>
        </w:tc>
        <w:tc>
          <w:tcPr>
            <w:tcW w:w="4738" w:type="pct"/>
            <w:vAlign w:val="center"/>
          </w:tcPr>
          <w:p w14:paraId="1DDC777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default" w:ascii="Times New Roman" w:hAnsi="Times New Roman" w:cs="Times New Roman"/>
                <w:b w:val="0"/>
                <w:bCs w:val="0"/>
                <w:sz w:val="24"/>
                <w:szCs w:val="24"/>
                <w:vertAlign w:val="baseline"/>
                <w:lang w:eastAsia="zh-CN"/>
              </w:rPr>
            </w:pPr>
            <w:r>
              <w:rPr>
                <w:rFonts w:hint="eastAsia" w:ascii="Times New Roman" w:hAnsi="Times New Roman" w:eastAsia="宋体" w:cs="Times New Roman"/>
                <w:b w:val="0"/>
                <w:bCs w:val="0"/>
                <w:color w:val="auto"/>
                <w:kern w:val="0"/>
                <w:sz w:val="24"/>
                <w:szCs w:val="24"/>
                <w:highlight w:val="none"/>
                <w:u w:val="none"/>
                <w:lang w:val="en-US" w:eastAsia="zh-CN" w:bidi="ar-SA"/>
              </w:rPr>
              <w:t>新建项目，购置已建厂房进行生产，不涉及项目有关的原有环境污染问题</w:t>
            </w:r>
          </w:p>
        </w:tc>
      </w:tr>
    </w:tbl>
    <w:p w14:paraId="354DADD8">
      <w:pPr>
        <w:rPr>
          <w:rFonts w:hint="default" w:ascii="Times New Roman" w:hAnsi="Times New Roman" w:eastAsia="黑体" w:cs="Times New Roman"/>
          <w:snapToGrid w:val="0"/>
          <w:color w:val="auto"/>
          <w:sz w:val="30"/>
          <w:szCs w:val="30"/>
          <w:u w:val="none"/>
        </w:rPr>
      </w:pPr>
      <w:bookmarkStart w:id="39" w:name="_Toc7756"/>
      <w:r>
        <w:rPr>
          <w:rFonts w:hint="default" w:ascii="Times New Roman" w:hAnsi="Times New Roman" w:eastAsia="黑体" w:cs="Times New Roman"/>
          <w:snapToGrid w:val="0"/>
          <w:color w:val="auto"/>
          <w:sz w:val="30"/>
          <w:szCs w:val="30"/>
          <w:u w:val="none"/>
        </w:rPr>
        <w:br w:type="page"/>
      </w:r>
    </w:p>
    <w:p w14:paraId="5B565178">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40" w:name="_Toc22187"/>
      <w:r>
        <w:rPr>
          <w:rFonts w:hint="default" w:ascii="Times New Roman" w:hAnsi="Times New Roman" w:eastAsia="黑体" w:cs="Times New Roman"/>
          <w:snapToGrid w:val="0"/>
          <w:color w:val="auto"/>
          <w:sz w:val="30"/>
          <w:szCs w:val="30"/>
          <w:u w:val="none"/>
          <w:lang w:val="en-US" w:eastAsia="zh-CN"/>
        </w:rPr>
        <w:t>三、区域环境质量现状、环境保护目标及评价标准</w:t>
      </w:r>
      <w:bookmarkEnd w:id="39"/>
      <w:bookmarkEnd w:id="40"/>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26"/>
      </w:tblGrid>
      <w:tr w14:paraId="34E8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7" w:hRule="atLeast"/>
        </w:trPr>
        <w:tc>
          <w:tcPr>
            <w:tcW w:w="456" w:type="dxa"/>
            <w:vAlign w:val="center"/>
          </w:tcPr>
          <w:p w14:paraId="021708E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区域</w:t>
            </w:r>
          </w:p>
          <w:p w14:paraId="39DE063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环境</w:t>
            </w:r>
          </w:p>
          <w:p w14:paraId="647E765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质量</w:t>
            </w:r>
          </w:p>
          <w:p w14:paraId="71F55191">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eastAsia="zh-CN"/>
              </w:rPr>
            </w:pPr>
            <w:r>
              <w:rPr>
                <w:rFonts w:ascii="Times New Roman" w:hAnsi="Times New Roman" w:eastAsia="宋体" w:cs="Times New Roman"/>
                <w:bCs/>
                <w:kern w:val="2"/>
                <w:sz w:val="24"/>
                <w:szCs w:val="24"/>
              </w:rPr>
              <w:t>现状</w:t>
            </w:r>
          </w:p>
        </w:tc>
        <w:tc>
          <w:tcPr>
            <w:tcW w:w="8749" w:type="dxa"/>
          </w:tcPr>
          <w:p w14:paraId="4F2DB76B">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41" w:name="_Toc29247"/>
            <w:r>
              <w:rPr>
                <w:rFonts w:hint="eastAsia" w:ascii="Times New Roman" w:hAnsi="Times New Roman" w:eastAsia="宋体" w:cs="Times New Roman"/>
                <w:color w:val="auto"/>
                <w:sz w:val="28"/>
                <w:szCs w:val="28"/>
                <w:u w:val="none"/>
                <w:lang w:val="en-US" w:eastAsia="zh-CN"/>
              </w:rPr>
              <w:t>3.1大气环境质量现状</w:t>
            </w:r>
            <w:bookmarkEnd w:id="41"/>
          </w:p>
          <w:p w14:paraId="0F23A53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42" w:name="_Toc9849"/>
            <w:r>
              <w:rPr>
                <w:rFonts w:hint="eastAsia" w:ascii="Times New Roman" w:hAnsi="Times New Roman" w:eastAsia="宋体" w:cs="Times New Roman"/>
                <w:b/>
                <w:bCs/>
                <w:color w:val="auto"/>
                <w:sz w:val="24"/>
                <w:szCs w:val="24"/>
                <w:u w:val="none"/>
                <w:lang w:val="en-US" w:eastAsia="zh-CN"/>
              </w:rPr>
              <w:t>3.1.1环境空气质量功能区划</w:t>
            </w:r>
            <w:bookmarkEnd w:id="42"/>
          </w:p>
          <w:p w14:paraId="1AC459E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eastAsia" w:ascii="Times New Roman" w:hAnsi="Times New Roman" w:eastAsia="宋体" w:cs="Times New Roman"/>
                <w:b w:val="0"/>
                <w:bCs w:val="0"/>
                <w:color w:val="auto"/>
                <w:kern w:val="0"/>
                <w:sz w:val="24"/>
                <w:szCs w:val="24"/>
                <w:highlight w:val="none"/>
                <w:u w:val="none"/>
                <w:lang w:val="en-US" w:eastAsia="zh-CN" w:bidi="ar-SA"/>
              </w:rPr>
            </w:pPr>
            <w:bookmarkStart w:id="43" w:name="_Toc339964236"/>
            <w:bookmarkStart w:id="44" w:name="_Toc338850492"/>
            <w:r>
              <w:rPr>
                <w:rFonts w:hint="default" w:ascii="Times New Roman" w:hAnsi="Times New Roman" w:eastAsia="宋体" w:cs="Times New Roman"/>
                <w:b w:val="0"/>
                <w:bCs w:val="0"/>
                <w:color w:val="auto"/>
                <w:kern w:val="0"/>
                <w:sz w:val="24"/>
                <w:szCs w:val="24"/>
                <w:highlight w:val="none"/>
                <w:u w:val="none"/>
                <w:lang w:val="en-US" w:eastAsia="zh-CN" w:bidi="ar-SA"/>
              </w:rPr>
              <w:t>根据福州市人民政府榕政综</w:t>
            </w:r>
            <w:r>
              <w:rPr>
                <w:rFonts w:hint="eastAsia" w:ascii="Times New Roman" w:hAnsi="Times New Roman" w:eastAsia="宋体" w:cs="Times New Roman"/>
                <w:b w:val="0"/>
                <w:bCs w:val="0"/>
                <w:color w:val="auto"/>
                <w:kern w:val="0"/>
                <w:sz w:val="24"/>
                <w:szCs w:val="24"/>
                <w:highlight w:val="none"/>
                <w:u w:val="none"/>
                <w:lang w:val="en-US" w:eastAsia="zh-CN" w:bidi="ar-SA"/>
              </w:rPr>
              <w:t>〔2014〕30号</w:t>
            </w:r>
            <w:r>
              <w:rPr>
                <w:rFonts w:hint="default" w:ascii="Times New Roman" w:hAnsi="Times New Roman" w:eastAsia="宋体" w:cs="Times New Roman"/>
                <w:b w:val="0"/>
                <w:bCs w:val="0"/>
                <w:color w:val="auto"/>
                <w:kern w:val="0"/>
                <w:sz w:val="24"/>
                <w:szCs w:val="24"/>
                <w:highlight w:val="none"/>
                <w:u w:val="none"/>
                <w:lang w:val="en-US" w:eastAsia="zh-CN" w:bidi="ar-SA"/>
              </w:rPr>
              <w:t>文件正式批准实施《福州市环境空气质量功能区划</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报批稿</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》的规定，项目所在区域环境空气功能规划为二类区，环境空气质量执行《环境空气质量标准》</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GB3095-2012</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及其修改单中的二级标准。项目</w:t>
            </w:r>
            <w:r>
              <w:rPr>
                <w:rFonts w:hint="eastAsia" w:ascii="Times New Roman" w:hAnsi="Times New Roman" w:eastAsia="宋体" w:cs="Times New Roman"/>
                <w:b w:val="0"/>
                <w:bCs w:val="0"/>
                <w:color w:val="auto"/>
                <w:kern w:val="0"/>
                <w:sz w:val="24"/>
                <w:szCs w:val="24"/>
                <w:highlight w:val="none"/>
                <w:u w:val="none"/>
                <w:lang w:val="en-US" w:eastAsia="zh-CN" w:bidi="ar-SA"/>
              </w:rPr>
              <w:t>其他污染因子</w:t>
            </w:r>
            <w:r>
              <w:rPr>
                <w:rFonts w:hint="default" w:ascii="Times New Roman" w:hAnsi="Times New Roman" w:eastAsia="宋体" w:cs="Times New Roman"/>
                <w:b w:val="0"/>
                <w:bCs w:val="0"/>
                <w:color w:val="auto"/>
                <w:kern w:val="0"/>
                <w:sz w:val="24"/>
                <w:szCs w:val="24"/>
                <w:highlight w:val="none"/>
                <w:u w:val="none"/>
                <w:lang w:val="en-US" w:eastAsia="zh-CN" w:bidi="ar-SA"/>
              </w:rPr>
              <w:t>非甲烷总烃参照执行《大气污染物综合排放标准详解》</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国家</w:t>
            </w:r>
            <w:r>
              <w:rPr>
                <w:rFonts w:hint="eastAsia" w:ascii="Times New Roman" w:hAnsi="Times New Roman" w:eastAsia="宋体" w:cs="Times New Roman"/>
                <w:b w:val="0"/>
                <w:bCs w:val="0"/>
                <w:color w:val="auto"/>
                <w:kern w:val="0"/>
                <w:sz w:val="24"/>
                <w:szCs w:val="24"/>
                <w:highlight w:val="none"/>
                <w:u w:val="none"/>
                <w:lang w:val="en-US" w:eastAsia="zh-CN" w:bidi="ar-SA"/>
              </w:rPr>
              <w:t>生态环境局</w:t>
            </w:r>
            <w:r>
              <w:rPr>
                <w:rFonts w:hint="default" w:ascii="Times New Roman" w:hAnsi="Times New Roman" w:eastAsia="宋体" w:cs="Times New Roman"/>
                <w:b w:val="0"/>
                <w:bCs w:val="0"/>
                <w:color w:val="auto"/>
                <w:kern w:val="0"/>
                <w:sz w:val="24"/>
                <w:szCs w:val="24"/>
                <w:highlight w:val="none"/>
                <w:u w:val="none"/>
                <w:lang w:val="en-US" w:eastAsia="zh-CN" w:bidi="ar-SA"/>
              </w:rPr>
              <w:t>科技标准司</w:t>
            </w:r>
            <w:r>
              <w:rPr>
                <w:rFonts w:hint="eastAsia" w:ascii="Times New Roman" w:hAnsi="Times New Roman" w:eastAsia="宋体" w:cs="Times New Roman"/>
                <w:b w:val="0"/>
                <w:bCs w:val="0"/>
                <w:color w:val="auto"/>
                <w:kern w:val="0"/>
                <w:sz w:val="24"/>
                <w:szCs w:val="24"/>
                <w:highlight w:val="none"/>
                <w:u w:val="none"/>
                <w:lang w:val="en-US" w:eastAsia="zh-CN" w:bidi="ar-SA"/>
              </w:rPr>
              <w:t>，1996年8月</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中规定的标准限值，具体详见表3.1-1。</w:t>
            </w:r>
            <w:bookmarkEnd w:id="43"/>
            <w:bookmarkEnd w:id="44"/>
          </w:p>
          <w:p w14:paraId="2FFA32A8">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表3.1-1  项目环境空气标准一览表</w:t>
            </w:r>
          </w:p>
          <w:tbl>
            <w:tblPr>
              <w:tblStyle w:val="22"/>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647"/>
              <w:gridCol w:w="2052"/>
              <w:gridCol w:w="1604"/>
              <w:gridCol w:w="3307"/>
            </w:tblGrid>
            <w:tr w14:paraId="55B095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618" w:hRule="atLeast"/>
                <w:jc w:val="center"/>
              </w:trPr>
              <w:tc>
                <w:tcPr>
                  <w:tcW w:w="956" w:type="pct"/>
                  <w:noWrap w:val="0"/>
                  <w:vAlign w:val="center"/>
                </w:tcPr>
                <w:p w14:paraId="051763A5">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1191" w:type="pct"/>
                  <w:noWrap w:val="0"/>
                  <w:vAlign w:val="center"/>
                </w:tcPr>
                <w:p w14:paraId="1B63E81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取值时间</w:t>
                  </w:r>
                </w:p>
              </w:tc>
              <w:tc>
                <w:tcPr>
                  <w:tcW w:w="931" w:type="pct"/>
                  <w:noWrap w:val="0"/>
                  <w:vAlign w:val="center"/>
                </w:tcPr>
                <w:p w14:paraId="0D48D5F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w:t>
                  </w:r>
                </w:p>
              </w:tc>
              <w:tc>
                <w:tcPr>
                  <w:tcW w:w="1920" w:type="pct"/>
                  <w:noWrap w:val="0"/>
                  <w:vAlign w:val="center"/>
                </w:tcPr>
                <w:p w14:paraId="17BA828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标准来源</w:t>
                  </w:r>
                </w:p>
              </w:tc>
            </w:tr>
            <w:tr w14:paraId="1F9224B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68" w:hRule="atLeast"/>
                <w:jc w:val="center"/>
              </w:trPr>
              <w:tc>
                <w:tcPr>
                  <w:tcW w:w="956" w:type="pct"/>
                  <w:vMerge w:val="restart"/>
                  <w:noWrap w:val="0"/>
                  <w:vAlign w:val="center"/>
                </w:tcPr>
                <w:p w14:paraId="17D0D35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191" w:type="pct"/>
                  <w:noWrap w:val="0"/>
                  <w:vAlign w:val="center"/>
                </w:tcPr>
                <w:p w14:paraId="5369CC4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3A5A04E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70μg/m</w:t>
                  </w:r>
                  <w:r>
                    <w:rPr>
                      <w:rFonts w:hint="default" w:ascii="Times New Roman" w:hAnsi="Times New Roman" w:eastAsia="宋体" w:cs="Times New Roman"/>
                      <w:color w:val="auto"/>
                      <w:sz w:val="21"/>
                      <w:szCs w:val="21"/>
                      <w:vertAlign w:val="superscript"/>
                    </w:rPr>
                    <w:t>3</w:t>
                  </w:r>
                </w:p>
              </w:tc>
              <w:tc>
                <w:tcPr>
                  <w:tcW w:w="1920" w:type="pct"/>
                  <w:vMerge w:val="restart"/>
                  <w:noWrap w:val="0"/>
                  <w:vAlign w:val="center"/>
                </w:tcPr>
                <w:p w14:paraId="2B34A07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GB309</w:t>
                  </w:r>
                  <w:r>
                    <w:rPr>
                      <w:rFonts w:hint="default" w:ascii="Times New Roman" w:hAnsi="Times New Roman" w:eastAsia="宋体" w:cs="Times New Roman"/>
                      <w:color w:val="auto"/>
                      <w:sz w:val="21"/>
                      <w:szCs w:val="21"/>
                      <w:lang w:eastAsia="zh-CN"/>
                    </w:rPr>
                    <w:t>6-2</w:t>
                  </w:r>
                  <w:r>
                    <w:rPr>
                      <w:rFonts w:hint="default" w:ascii="Times New Roman" w:hAnsi="Times New Roman" w:eastAsia="宋体" w:cs="Times New Roman"/>
                      <w:color w:val="auto"/>
                      <w:sz w:val="21"/>
                      <w:szCs w:val="21"/>
                    </w:rPr>
                    <w:t>012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及其修改单中的二级标准</w:t>
                  </w:r>
                </w:p>
              </w:tc>
            </w:tr>
            <w:tr w14:paraId="4646495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35" w:hRule="atLeast"/>
                <w:jc w:val="center"/>
              </w:trPr>
              <w:tc>
                <w:tcPr>
                  <w:tcW w:w="956" w:type="pct"/>
                  <w:vMerge w:val="continue"/>
                  <w:noWrap w:val="0"/>
                  <w:vAlign w:val="center"/>
                </w:tcPr>
                <w:p w14:paraId="0087F55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51D2096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0C21FEF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66B1C5F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3091102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85" w:hRule="atLeast"/>
                <w:jc w:val="center"/>
              </w:trPr>
              <w:tc>
                <w:tcPr>
                  <w:tcW w:w="956" w:type="pct"/>
                  <w:vMerge w:val="restart"/>
                  <w:noWrap w:val="0"/>
                  <w:vAlign w:val="center"/>
                </w:tcPr>
                <w:p w14:paraId="78B37F50">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191" w:type="pct"/>
                  <w:noWrap w:val="0"/>
                  <w:vAlign w:val="center"/>
                </w:tcPr>
                <w:p w14:paraId="4EA38CF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5B37634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7398D7B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2891942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52" w:hRule="atLeast"/>
                <w:jc w:val="center"/>
              </w:trPr>
              <w:tc>
                <w:tcPr>
                  <w:tcW w:w="956" w:type="pct"/>
                  <w:vMerge w:val="continue"/>
                  <w:noWrap w:val="0"/>
                  <w:vAlign w:val="center"/>
                </w:tcPr>
                <w:p w14:paraId="417FA41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27754D3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15F8FDB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635CAC6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2FFD13C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02" w:hRule="atLeast"/>
                <w:jc w:val="center"/>
              </w:trPr>
              <w:tc>
                <w:tcPr>
                  <w:tcW w:w="956" w:type="pct"/>
                  <w:vMerge w:val="restart"/>
                  <w:noWrap w:val="0"/>
                  <w:vAlign w:val="center"/>
                </w:tcPr>
                <w:p w14:paraId="6B63733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191" w:type="pct"/>
                  <w:noWrap w:val="0"/>
                  <w:vAlign w:val="center"/>
                </w:tcPr>
                <w:p w14:paraId="6B3AA73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71898EA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4189660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2306C9F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52" w:hRule="atLeast"/>
                <w:jc w:val="center"/>
              </w:trPr>
              <w:tc>
                <w:tcPr>
                  <w:tcW w:w="956" w:type="pct"/>
                  <w:vMerge w:val="continue"/>
                  <w:noWrap w:val="0"/>
                  <w:vAlign w:val="center"/>
                </w:tcPr>
                <w:p w14:paraId="7B2FC1B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5DD5564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22883365">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59E22D5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4FC7D7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35" w:hRule="atLeast"/>
                <w:jc w:val="center"/>
              </w:trPr>
              <w:tc>
                <w:tcPr>
                  <w:tcW w:w="956" w:type="pct"/>
                  <w:vMerge w:val="continue"/>
                  <w:noWrap w:val="0"/>
                  <w:vAlign w:val="center"/>
                </w:tcPr>
                <w:p w14:paraId="664D25BF">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0A42B75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931" w:type="pct"/>
                  <w:noWrap w:val="0"/>
                  <w:vAlign w:val="center"/>
                </w:tcPr>
                <w:p w14:paraId="36AE8FA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3AD287E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796E0B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02" w:hRule="atLeast"/>
                <w:jc w:val="center"/>
              </w:trPr>
              <w:tc>
                <w:tcPr>
                  <w:tcW w:w="956" w:type="pct"/>
                  <w:vMerge w:val="restart"/>
                  <w:noWrap w:val="0"/>
                  <w:vAlign w:val="center"/>
                </w:tcPr>
                <w:p w14:paraId="4C9956E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191" w:type="pct"/>
                  <w:noWrap w:val="0"/>
                  <w:vAlign w:val="center"/>
                </w:tcPr>
                <w:p w14:paraId="36D0D465">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76066D0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159D7E99">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31DDBE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02" w:hRule="atLeast"/>
                <w:jc w:val="center"/>
              </w:trPr>
              <w:tc>
                <w:tcPr>
                  <w:tcW w:w="956" w:type="pct"/>
                  <w:vMerge w:val="continue"/>
                  <w:noWrap w:val="0"/>
                  <w:vAlign w:val="center"/>
                </w:tcPr>
                <w:p w14:paraId="6E2A489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22058DD2">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67E08E1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3286BEE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77A5D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85" w:hRule="atLeast"/>
                <w:jc w:val="center"/>
              </w:trPr>
              <w:tc>
                <w:tcPr>
                  <w:tcW w:w="956" w:type="pct"/>
                  <w:vMerge w:val="continue"/>
                  <w:noWrap w:val="0"/>
                  <w:vAlign w:val="center"/>
                </w:tcPr>
                <w:p w14:paraId="4DB1103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0560EE4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931" w:type="pct"/>
                  <w:noWrap w:val="0"/>
                  <w:vAlign w:val="center"/>
                </w:tcPr>
                <w:p w14:paraId="6216B64D">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4A93AC1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ADDDAA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52" w:hRule="atLeast"/>
                <w:jc w:val="center"/>
              </w:trPr>
              <w:tc>
                <w:tcPr>
                  <w:tcW w:w="956" w:type="pct"/>
                  <w:vMerge w:val="restart"/>
                  <w:noWrap w:val="0"/>
                  <w:vAlign w:val="center"/>
                </w:tcPr>
                <w:p w14:paraId="0B1D020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CO</w:t>
                  </w:r>
                </w:p>
              </w:tc>
              <w:tc>
                <w:tcPr>
                  <w:tcW w:w="1191" w:type="pct"/>
                  <w:noWrap w:val="0"/>
                  <w:vAlign w:val="center"/>
                </w:tcPr>
                <w:p w14:paraId="0CF18B0F">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6AEC3E7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4mg/m</w:t>
                  </w:r>
                  <w:r>
                    <w:rPr>
                      <w:rFonts w:hint="default" w:ascii="Times New Roman" w:hAnsi="Times New Roman" w:eastAsia="宋体" w:cs="Times New Roman"/>
                      <w:color w:val="auto"/>
                      <w:sz w:val="21"/>
                      <w:szCs w:val="21"/>
                      <w:vertAlign w:val="superscript"/>
                      <w:lang w:bidi="ar"/>
                    </w:rPr>
                    <w:t>3</w:t>
                  </w:r>
                </w:p>
              </w:tc>
              <w:tc>
                <w:tcPr>
                  <w:tcW w:w="1920" w:type="pct"/>
                  <w:vMerge w:val="continue"/>
                  <w:noWrap w:val="0"/>
                  <w:vAlign w:val="center"/>
                </w:tcPr>
                <w:p w14:paraId="6D191F11">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7784C93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35" w:hRule="atLeast"/>
                <w:jc w:val="center"/>
              </w:trPr>
              <w:tc>
                <w:tcPr>
                  <w:tcW w:w="956" w:type="pct"/>
                  <w:vMerge w:val="continue"/>
                  <w:noWrap w:val="0"/>
                  <w:vAlign w:val="center"/>
                </w:tcPr>
                <w:p w14:paraId="6BF1A948">
                  <w:pPr>
                    <w:keepNext w:val="0"/>
                    <w:keepLines w:val="0"/>
                    <w:pageBreakBefore w:val="0"/>
                    <w:widowControl w:val="0"/>
                    <w:kinsoku/>
                    <w:wordWrap/>
                    <w:overflowPunct/>
                    <w:topLinePunct w:val="0"/>
                    <w:autoSpaceDE/>
                    <w:bidi w:val="0"/>
                    <w:adjustRightInd w:val="0"/>
                    <w:snapToGrid w:val="0"/>
                    <w:spacing w:line="340" w:lineRule="atLeast"/>
                    <w:rPr>
                      <w:rFonts w:hint="default" w:ascii="Times New Roman" w:hAnsi="Times New Roman" w:eastAsia="宋体" w:cs="Times New Roman"/>
                      <w:color w:val="auto"/>
                      <w:sz w:val="21"/>
                      <w:szCs w:val="21"/>
                    </w:rPr>
                  </w:pPr>
                </w:p>
              </w:tc>
              <w:tc>
                <w:tcPr>
                  <w:tcW w:w="1191" w:type="pct"/>
                  <w:noWrap w:val="0"/>
                  <w:vAlign w:val="center"/>
                </w:tcPr>
                <w:p w14:paraId="6E895052">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1小时平均</w:t>
                  </w:r>
                </w:p>
              </w:tc>
              <w:tc>
                <w:tcPr>
                  <w:tcW w:w="931" w:type="pct"/>
                  <w:noWrap w:val="0"/>
                  <w:vAlign w:val="center"/>
                </w:tcPr>
                <w:p w14:paraId="6E6F279C">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10mg/m</w:t>
                  </w:r>
                  <w:r>
                    <w:rPr>
                      <w:rFonts w:hint="default" w:ascii="Times New Roman" w:hAnsi="Times New Roman" w:eastAsia="宋体" w:cs="Times New Roman"/>
                      <w:color w:val="auto"/>
                      <w:sz w:val="21"/>
                      <w:szCs w:val="21"/>
                      <w:vertAlign w:val="superscript"/>
                      <w:lang w:bidi="ar"/>
                    </w:rPr>
                    <w:t>3</w:t>
                  </w:r>
                </w:p>
              </w:tc>
              <w:tc>
                <w:tcPr>
                  <w:tcW w:w="1920" w:type="pct"/>
                  <w:vMerge w:val="continue"/>
                  <w:noWrap w:val="0"/>
                  <w:vAlign w:val="center"/>
                </w:tcPr>
                <w:p w14:paraId="36B6810D">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F5DDA5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51" w:hRule="atLeast"/>
                <w:jc w:val="center"/>
              </w:trPr>
              <w:tc>
                <w:tcPr>
                  <w:tcW w:w="956" w:type="pct"/>
                  <w:vMerge w:val="restart"/>
                  <w:noWrap w:val="0"/>
                  <w:vAlign w:val="center"/>
                </w:tcPr>
                <w:p w14:paraId="4EE852C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O</w:t>
                  </w:r>
                  <w:r>
                    <w:rPr>
                      <w:rFonts w:hint="default" w:ascii="Times New Roman" w:hAnsi="Times New Roman" w:eastAsia="宋体" w:cs="Times New Roman"/>
                      <w:color w:val="auto"/>
                      <w:sz w:val="21"/>
                      <w:szCs w:val="21"/>
                      <w:vertAlign w:val="subscript"/>
                      <w:lang w:bidi="ar"/>
                    </w:rPr>
                    <w:t>3</w:t>
                  </w:r>
                </w:p>
              </w:tc>
              <w:tc>
                <w:tcPr>
                  <w:tcW w:w="1191" w:type="pct"/>
                  <w:noWrap w:val="0"/>
                  <w:vAlign w:val="center"/>
                </w:tcPr>
                <w:p w14:paraId="4097354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日最大8小时平均</w:t>
                  </w:r>
                </w:p>
              </w:tc>
              <w:tc>
                <w:tcPr>
                  <w:tcW w:w="931" w:type="pct"/>
                  <w:noWrap w:val="0"/>
                  <w:vAlign w:val="center"/>
                </w:tcPr>
                <w:p w14:paraId="6F8934A7">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160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2381B86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775046C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69" w:hRule="atLeast"/>
                <w:jc w:val="center"/>
              </w:trPr>
              <w:tc>
                <w:tcPr>
                  <w:tcW w:w="956" w:type="pct"/>
                  <w:vMerge w:val="continue"/>
                  <w:noWrap w:val="0"/>
                  <w:vAlign w:val="center"/>
                </w:tcPr>
                <w:p w14:paraId="29E97A3B">
                  <w:pPr>
                    <w:keepNext w:val="0"/>
                    <w:keepLines w:val="0"/>
                    <w:pageBreakBefore w:val="0"/>
                    <w:widowControl w:val="0"/>
                    <w:kinsoku/>
                    <w:wordWrap/>
                    <w:overflowPunct/>
                    <w:topLinePunct w:val="0"/>
                    <w:autoSpaceDE/>
                    <w:bidi w:val="0"/>
                    <w:adjustRightInd w:val="0"/>
                    <w:snapToGrid w:val="0"/>
                    <w:spacing w:line="340" w:lineRule="atLeast"/>
                    <w:rPr>
                      <w:rFonts w:hint="default" w:ascii="Times New Roman" w:hAnsi="Times New Roman" w:eastAsia="宋体" w:cs="Times New Roman"/>
                      <w:color w:val="auto"/>
                      <w:sz w:val="21"/>
                      <w:szCs w:val="21"/>
                    </w:rPr>
                  </w:pPr>
                </w:p>
              </w:tc>
              <w:tc>
                <w:tcPr>
                  <w:tcW w:w="1191" w:type="pct"/>
                  <w:noWrap w:val="0"/>
                  <w:vAlign w:val="center"/>
                </w:tcPr>
                <w:p w14:paraId="366276BB">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1小时平均</w:t>
                  </w:r>
                </w:p>
              </w:tc>
              <w:tc>
                <w:tcPr>
                  <w:tcW w:w="931" w:type="pct"/>
                  <w:noWrap w:val="0"/>
                  <w:vAlign w:val="center"/>
                </w:tcPr>
                <w:p w14:paraId="2B272982">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200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0D243AD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B677E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56" w:type="pct"/>
                  <w:noWrap w:val="0"/>
                  <w:vAlign w:val="center"/>
                </w:tcPr>
                <w:p w14:paraId="74B58C1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1191" w:type="pct"/>
                  <w:noWrap w:val="0"/>
                  <w:vAlign w:val="center"/>
                </w:tcPr>
                <w:p w14:paraId="6AF439B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1小时均值</w:t>
                  </w:r>
                </w:p>
              </w:tc>
              <w:tc>
                <w:tcPr>
                  <w:tcW w:w="931" w:type="pct"/>
                  <w:noWrap w:val="0"/>
                  <w:vAlign w:val="center"/>
                </w:tcPr>
                <w:p w14:paraId="623908B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2.0mg/m</w:t>
                  </w:r>
                  <w:r>
                    <w:rPr>
                      <w:rFonts w:hint="default" w:ascii="Times New Roman" w:hAnsi="Times New Roman" w:eastAsia="宋体" w:cs="Times New Roman"/>
                      <w:color w:val="auto"/>
                      <w:sz w:val="21"/>
                      <w:szCs w:val="21"/>
                      <w:vertAlign w:val="superscript"/>
                    </w:rPr>
                    <w:t>3</w:t>
                  </w:r>
                </w:p>
              </w:tc>
              <w:tc>
                <w:tcPr>
                  <w:tcW w:w="1920" w:type="pct"/>
                  <w:noWrap w:val="0"/>
                  <w:vAlign w:val="center"/>
                </w:tcPr>
                <w:p w14:paraId="521DCD4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eastAsia"/>
                    </w:rPr>
                    <w:t>《大气污染物综合排放标准详解》</w:t>
                  </w:r>
                  <w:r>
                    <w:rPr>
                      <w:rFonts w:hint="eastAsia"/>
                      <w:lang w:eastAsia="zh-CN"/>
                    </w:rPr>
                    <w:t>（</w:t>
                  </w:r>
                  <w:r>
                    <w:t>GB 16297-1996</w:t>
                  </w:r>
                  <w:r>
                    <w:rPr>
                      <w:rFonts w:hint="eastAsia"/>
                      <w:lang w:eastAsia="zh-CN"/>
                    </w:rPr>
                    <w:t>）</w:t>
                  </w:r>
                  <w:r>
                    <w:rPr>
                      <w:rFonts w:hint="eastAsia"/>
                    </w:rPr>
                    <w:t>中的环境背景浓度取值</w:t>
                  </w:r>
                </w:p>
              </w:tc>
            </w:tr>
          </w:tbl>
          <w:p w14:paraId="1AEC688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45" w:name="_Toc6998"/>
            <w:r>
              <w:rPr>
                <w:rFonts w:hint="default" w:ascii="Times New Roman" w:hAnsi="Times New Roman" w:eastAsia="宋体" w:cs="Times New Roman"/>
                <w:b/>
                <w:bCs/>
                <w:color w:val="auto"/>
                <w:sz w:val="24"/>
                <w:szCs w:val="24"/>
                <w:u w:val="none"/>
                <w:lang w:val="en-US" w:eastAsia="zh-CN"/>
              </w:rPr>
              <w:t>3.1.2环境空气质量现状</w:t>
            </w:r>
            <w:bookmarkEnd w:id="45"/>
          </w:p>
          <w:p w14:paraId="1D8237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常规</w:t>
            </w:r>
            <w:r>
              <w:rPr>
                <w:rFonts w:hint="default" w:ascii="Times New Roman" w:hAnsi="Times New Roman" w:eastAsia="宋体" w:cs="Times New Roman"/>
                <w:color w:val="auto"/>
                <w:sz w:val="24"/>
                <w:szCs w:val="24"/>
              </w:rPr>
              <w:t>污染因子</w:t>
            </w:r>
          </w:p>
          <w:p w14:paraId="21001848">
            <w:pPr>
              <w:keepLines w:val="0"/>
              <w:pageBreakBefore w:val="0"/>
              <w:widowControl w:val="0"/>
              <w:tabs>
                <w:tab w:val="left" w:pos="840"/>
              </w:tabs>
              <w:kinsoku/>
              <w:wordWrap/>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rPr>
              <w:t>①环境质量现状：</w:t>
            </w:r>
            <w:r>
              <w:rPr>
                <w:rFonts w:hint="default" w:ascii="Times New Roman" w:hAnsi="Times New Roman" w:eastAsia="宋体" w:cs="Times New Roman"/>
                <w:color w:val="auto"/>
                <w:kern w:val="0"/>
                <w:sz w:val="24"/>
                <w:szCs w:val="24"/>
              </w:rPr>
              <w:t>按《环境影响评价技术导则大气环境》</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HJ2.2-2018</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要求，城市环境空气质量达标情况评价指标为SO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、NO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、PM</w:t>
            </w:r>
            <w:r>
              <w:rPr>
                <w:rFonts w:hint="default" w:ascii="Times New Roman" w:hAnsi="Times New Roman" w:eastAsia="宋体" w:cs="Times New Roman"/>
                <w:color w:val="auto"/>
                <w:kern w:val="0"/>
                <w:sz w:val="24"/>
                <w:szCs w:val="24"/>
                <w:vertAlign w:val="subscript"/>
              </w:rPr>
              <w:t>10</w:t>
            </w:r>
            <w:r>
              <w:rPr>
                <w:rFonts w:hint="default" w:ascii="Times New Roman" w:hAnsi="Times New Roman" w:eastAsia="宋体" w:cs="Times New Roman"/>
                <w:color w:val="auto"/>
                <w:kern w:val="0"/>
                <w:sz w:val="24"/>
                <w:szCs w:val="24"/>
              </w:rPr>
              <w:t>、PM</w:t>
            </w:r>
            <w:r>
              <w:rPr>
                <w:rFonts w:hint="default" w:ascii="Times New Roman" w:hAnsi="Times New Roman" w:eastAsia="宋体" w:cs="Times New Roman"/>
                <w:color w:val="auto"/>
                <w:kern w:val="0"/>
                <w:sz w:val="24"/>
                <w:szCs w:val="24"/>
                <w:vertAlign w:val="subscript"/>
              </w:rPr>
              <w:t>2.5</w:t>
            </w:r>
            <w:r>
              <w:rPr>
                <w:rFonts w:hint="default" w:ascii="Times New Roman" w:hAnsi="Times New Roman" w:eastAsia="宋体" w:cs="Times New Roman"/>
                <w:color w:val="auto"/>
                <w:kern w:val="0"/>
                <w:sz w:val="24"/>
                <w:szCs w:val="24"/>
              </w:rPr>
              <w:t>、CO和O</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rPr>
              <w:t>，六项污染物全部达标即为城市环境空气质量达标。项目所在区域达标判定，优先采用国家或地方生态环境主管部门公开公布的评价基准年环境质量公告或环境质量报告中的数据或结论。</w:t>
            </w:r>
          </w:p>
          <w:p w14:paraId="6318F058">
            <w:pPr>
              <w:pStyle w:val="42"/>
              <w:keepLines w:val="0"/>
              <w:pageBreakBefore w:val="0"/>
              <w:widowControl w:val="0"/>
              <w:kinsoku/>
              <w:wordWrap/>
              <w:topLinePunct w:val="0"/>
              <w:autoSpaceDE/>
              <w:autoSpaceDN/>
              <w:bidi w:val="0"/>
              <w:ind w:firstLine="480"/>
              <w:textAlignment w:val="auto"/>
              <w:outlineLvl w:val="9"/>
              <w:rPr>
                <w:rFonts w:cs="Times New Roman"/>
                <w:color w:val="auto"/>
                <w:highlight w:val="none"/>
              </w:rPr>
            </w:pPr>
            <w:r>
              <w:rPr>
                <w:rFonts w:hint="default" w:ascii="Times New Roman" w:hAnsi="Times New Roman" w:eastAsia="宋体" w:cs="Times New Roman"/>
                <w:color w:val="auto"/>
                <w:kern w:val="0"/>
                <w:sz w:val="24"/>
                <w:szCs w:val="24"/>
                <w:lang w:val="en-US" w:eastAsia="zh-CN"/>
              </w:rPr>
              <w:t>本次评价</w:t>
            </w:r>
            <w:r>
              <w:rPr>
                <w:rFonts w:hint="default" w:ascii="Times New Roman" w:hAnsi="Times New Roman" w:eastAsia="宋体" w:cs="Times New Roman"/>
                <w:color w:val="auto"/>
                <w:kern w:val="0"/>
                <w:sz w:val="24"/>
                <w:szCs w:val="24"/>
              </w:rPr>
              <w:t>根据福建省生态环境厅发布的</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202</w:t>
            </w: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年</w:t>
            </w:r>
            <w:r>
              <w:rPr>
                <w:rFonts w:hint="eastAsia" w:ascii="Times New Roman" w:hAnsi="Times New Roman" w:eastAsia="宋体" w:cs="Times New Roman"/>
                <w:color w:val="auto"/>
                <w:kern w:val="0"/>
                <w:sz w:val="24"/>
                <w:szCs w:val="24"/>
                <w:lang w:val="en-US" w:eastAsia="zh-CN"/>
              </w:rPr>
              <w:t>8</w:t>
            </w:r>
            <w:r>
              <w:rPr>
                <w:rFonts w:hint="default" w:ascii="Times New Roman" w:hAnsi="Times New Roman" w:eastAsia="宋体" w:cs="Times New Roman"/>
                <w:color w:val="auto"/>
                <w:kern w:val="0"/>
                <w:sz w:val="24"/>
                <w:szCs w:val="24"/>
              </w:rPr>
              <w:t>月福建省城市环境空气质量状况</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sz w:val="24"/>
                <w:szCs w:val="24"/>
                <w:vertAlign w:val="baseline"/>
                <w:lang w:eastAsia="zh-CN"/>
              </w:rPr>
              <w:t>https://sthjt.fujian.gov.cn/zwgk/sjfb/hjsj/zlph/202510/t20251010_7019196.htm</w:t>
            </w:r>
            <w:r>
              <w:rPr>
                <w:rFonts w:hint="default" w:ascii="Times New Roman" w:hAnsi="Times New Roman" w:eastAsia="宋体" w:cs="Times New Roman"/>
                <w:color w:val="auto"/>
                <w:kern w:val="0"/>
                <w:sz w:val="24"/>
                <w:szCs w:val="24"/>
              </w:rPr>
              <w:t>）显示：</w:t>
            </w:r>
            <w:r>
              <w:rPr>
                <w:rFonts w:hint="eastAsia" w:cs="Times New Roman"/>
                <w:color w:val="auto"/>
                <w:kern w:val="0"/>
                <w:sz w:val="24"/>
                <w:szCs w:val="24"/>
                <w:lang w:val="en-US" w:eastAsia="zh-CN"/>
              </w:rPr>
              <w:t>2025年1-8月，</w:t>
            </w:r>
            <w:r>
              <w:rPr>
                <w:rFonts w:cs="Times New Roman"/>
                <w:color w:val="auto"/>
                <w:highlight w:val="none"/>
              </w:rPr>
              <w:t>福州市环境空气质量综合指数</w:t>
            </w:r>
            <w:r>
              <w:rPr>
                <w:rFonts w:hint="eastAsia" w:cs="Times New Roman"/>
                <w:color w:val="auto"/>
                <w:highlight w:val="none"/>
                <w:lang w:val="en-US" w:eastAsia="zh-CN"/>
              </w:rPr>
              <w:t>2.50</w:t>
            </w:r>
            <w:r>
              <w:rPr>
                <w:rFonts w:cs="Times New Roman"/>
                <w:color w:val="auto"/>
                <w:highlight w:val="none"/>
              </w:rPr>
              <w:t>，达标天数比例在</w:t>
            </w:r>
            <w:r>
              <w:rPr>
                <w:rFonts w:hint="eastAsia" w:cs="Times New Roman"/>
                <w:color w:val="auto"/>
                <w:highlight w:val="none"/>
                <w:lang w:val="en-US" w:eastAsia="zh-CN"/>
              </w:rPr>
              <w:t>96.3</w:t>
            </w:r>
            <w:r>
              <w:rPr>
                <w:rFonts w:cs="Times New Roman"/>
                <w:color w:val="auto"/>
                <w:highlight w:val="none"/>
              </w:rPr>
              <w:t>%，各污染物平均浓度均优于《环境空气质量标准》（GB 3095-2012）中二级标准限值，</w:t>
            </w:r>
            <w:r>
              <w:rPr>
                <w:rFonts w:hint="eastAsia" w:cs="Times New Roman"/>
                <w:color w:val="auto"/>
                <w:highlight w:val="none"/>
              </w:rPr>
              <w:t>福清市</w:t>
            </w:r>
            <w:r>
              <w:rPr>
                <w:rFonts w:cs="Times New Roman"/>
                <w:color w:val="auto"/>
                <w:highlight w:val="none"/>
              </w:rPr>
              <w:t>环境空气质量综合指数</w:t>
            </w:r>
            <w:r>
              <w:rPr>
                <w:rFonts w:hint="eastAsia" w:cs="Times New Roman"/>
                <w:color w:val="auto"/>
                <w:highlight w:val="none"/>
                <w:lang w:val="en-US" w:eastAsia="zh-CN"/>
              </w:rPr>
              <w:t>2.16</w:t>
            </w:r>
            <w:r>
              <w:rPr>
                <w:rFonts w:cs="Times New Roman"/>
                <w:color w:val="auto"/>
                <w:highlight w:val="none"/>
              </w:rPr>
              <w:t>，达标天数比例在</w:t>
            </w:r>
            <w:r>
              <w:rPr>
                <w:rFonts w:hint="eastAsia" w:cs="Times New Roman"/>
                <w:color w:val="auto"/>
                <w:highlight w:val="none"/>
              </w:rPr>
              <w:t>9</w:t>
            </w:r>
            <w:r>
              <w:rPr>
                <w:rFonts w:hint="eastAsia" w:cs="Times New Roman"/>
                <w:color w:val="auto"/>
                <w:highlight w:val="none"/>
                <w:lang w:val="en-US" w:eastAsia="zh-CN"/>
              </w:rPr>
              <w:t>9.6</w:t>
            </w:r>
            <w:r>
              <w:rPr>
                <w:rFonts w:cs="Times New Roman"/>
                <w:color w:val="auto"/>
                <w:highlight w:val="none"/>
              </w:rPr>
              <w:t>%，因此</w:t>
            </w:r>
            <w:r>
              <w:rPr>
                <w:rFonts w:hint="eastAsia" w:cs="Times New Roman"/>
                <w:color w:val="auto"/>
                <w:highlight w:val="none"/>
              </w:rPr>
              <w:t>福清市</w:t>
            </w:r>
            <w:r>
              <w:rPr>
                <w:rFonts w:cs="Times New Roman"/>
                <w:color w:val="auto"/>
                <w:highlight w:val="none"/>
              </w:rPr>
              <w:t>属于达标区</w:t>
            </w:r>
            <w:r>
              <w:rPr>
                <w:rFonts w:hint="eastAsia" w:cs="Times New Roman"/>
                <w:color w:val="auto"/>
                <w:highlight w:val="none"/>
              </w:rPr>
              <w:t>，</w:t>
            </w:r>
            <w:r>
              <w:rPr>
                <w:rFonts w:cs="Times New Roman"/>
                <w:color w:val="auto"/>
                <w:highlight w:val="none"/>
              </w:rPr>
              <w:t>详见图3.1-1</w:t>
            </w:r>
            <w:r>
              <w:rPr>
                <w:rFonts w:hint="eastAsia" w:cs="Times New Roman"/>
                <w:color w:val="auto"/>
                <w:highlight w:val="none"/>
              </w:rPr>
              <w:t>和图3.1-2</w:t>
            </w:r>
            <w:r>
              <w:rPr>
                <w:rFonts w:cs="Times New Roman"/>
                <w:color w:val="auto"/>
                <w:highlight w:val="none"/>
              </w:rPr>
              <w:t>。</w:t>
            </w:r>
          </w:p>
          <w:p w14:paraId="6862743E">
            <w:pPr>
              <w:keepLines w:val="0"/>
              <w:pageBreakBefore w:val="0"/>
              <w:widowControl w:val="0"/>
              <w:tabs>
                <w:tab w:val="left" w:pos="840"/>
              </w:tabs>
              <w:kinsoku/>
              <w:wordWrap/>
              <w:topLinePunct w:val="0"/>
              <w:autoSpaceDE/>
              <w:autoSpaceDN/>
              <w:bidi w:val="0"/>
              <w:adjustRightInd/>
              <w:spacing w:line="240" w:lineRule="auto"/>
              <w:ind w:left="0" w:firstLine="0"/>
              <w:textAlignment w:val="auto"/>
              <w:outlineLvl w:val="9"/>
              <w:rPr>
                <w:rFonts w:hint="default" w:ascii="Times New Roman" w:hAnsi="Times New Roman" w:eastAsia="宋体" w:cs="Times New Roman"/>
                <w:color w:val="auto"/>
                <w:kern w:val="0"/>
                <w:sz w:val="24"/>
                <w:lang w:val="en-US" w:eastAsia="zh-CN"/>
              </w:rPr>
            </w:pPr>
            <w:r>
              <w:drawing>
                <wp:inline distT="0" distB="0" distL="114300" distR="114300">
                  <wp:extent cx="5466080" cy="3946525"/>
                  <wp:effectExtent l="0" t="0" r="127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1"/>
                          <a:stretch>
                            <a:fillRect/>
                          </a:stretch>
                        </pic:blipFill>
                        <pic:spPr>
                          <a:xfrm>
                            <a:off x="0" y="0"/>
                            <a:ext cx="5466080" cy="3946525"/>
                          </a:xfrm>
                          <a:prstGeom prst="rect">
                            <a:avLst/>
                          </a:prstGeom>
                          <a:noFill/>
                          <a:ln>
                            <a:noFill/>
                          </a:ln>
                        </pic:spPr>
                      </pic:pic>
                    </a:graphicData>
                  </a:graphic>
                </wp:inline>
              </w:drawing>
            </w:r>
          </w:p>
          <w:p w14:paraId="4796595E">
            <w:pPr>
              <w:pStyle w:val="38"/>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default" w:ascii="Times New Roman" w:hAnsi="Times New Roman" w:eastAsia="宋体" w:cs="Times New Roman"/>
                <w:b/>
                <w:bCs w:val="0"/>
                <w:color w:val="auto"/>
                <w:sz w:val="24"/>
                <w:szCs w:val="24"/>
                <w:lang w:val="en-US" w:eastAsia="zh-CN"/>
              </w:rPr>
            </w:pPr>
            <w:bookmarkStart w:id="46" w:name="_Toc17982"/>
            <w:r>
              <w:rPr>
                <w:rFonts w:hint="eastAsia" w:ascii="Times New Roman" w:hAnsi="Times New Roman" w:eastAsia="宋体" w:cs="Times New Roman"/>
                <w:b/>
                <w:bCs w:val="0"/>
                <w:color w:val="auto"/>
                <w:sz w:val="24"/>
                <w:szCs w:val="24"/>
                <w:lang w:val="en-US" w:eastAsia="zh-CN"/>
              </w:rPr>
              <w:t xml:space="preserve">图3.1-1 </w:t>
            </w:r>
            <w:r>
              <w:rPr>
                <w:rFonts w:hint="eastAsia" w:cs="Times New Roman"/>
                <w:b/>
                <w:bCs w:val="0"/>
                <w:color w:val="auto"/>
                <w:sz w:val="24"/>
                <w:szCs w:val="24"/>
                <w:lang w:val="en-US" w:eastAsia="zh-CN"/>
              </w:rPr>
              <w:t xml:space="preserve"> </w:t>
            </w:r>
            <w:r>
              <w:rPr>
                <w:rFonts w:hint="eastAsia" w:ascii="Times New Roman" w:hAnsi="Times New Roman" w:eastAsia="宋体" w:cs="Times New Roman"/>
                <w:b/>
                <w:bCs w:val="0"/>
                <w:color w:val="auto"/>
                <w:sz w:val="24"/>
                <w:szCs w:val="24"/>
                <w:lang w:val="en-US" w:eastAsia="zh-CN"/>
              </w:rPr>
              <w:t>2025年1-8月设区城市环境空气质量状况截图</w:t>
            </w:r>
            <w:bookmarkEnd w:id="46"/>
          </w:p>
          <w:p w14:paraId="61C504F9">
            <w:pPr>
              <w:keepLines w:val="0"/>
              <w:pageBreakBefore w:val="0"/>
              <w:widowControl w:val="0"/>
              <w:kinsoku/>
              <w:wordWrap/>
              <w:topLinePunct w:val="0"/>
              <w:autoSpaceDE/>
              <w:autoSpaceDN/>
              <w:bidi w:val="0"/>
              <w:adjustRightInd/>
              <w:spacing w:before="0" w:after="0" w:line="240" w:lineRule="auto"/>
              <w:ind w:left="0" w:firstLine="0"/>
              <w:textAlignment w:val="auto"/>
              <w:outlineLvl w:val="9"/>
            </w:pPr>
            <w:bookmarkStart w:id="47" w:name="_Toc16830"/>
            <w:r>
              <w:drawing>
                <wp:inline distT="0" distB="0" distL="114300" distR="114300">
                  <wp:extent cx="5422900" cy="3679825"/>
                  <wp:effectExtent l="0" t="0" r="6350"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2"/>
                          <a:stretch>
                            <a:fillRect/>
                          </a:stretch>
                        </pic:blipFill>
                        <pic:spPr>
                          <a:xfrm>
                            <a:off x="0" y="0"/>
                            <a:ext cx="5422900" cy="3679825"/>
                          </a:xfrm>
                          <a:prstGeom prst="rect">
                            <a:avLst/>
                          </a:prstGeom>
                          <a:noFill/>
                          <a:ln>
                            <a:noFill/>
                          </a:ln>
                        </pic:spPr>
                      </pic:pic>
                    </a:graphicData>
                  </a:graphic>
                </wp:inline>
              </w:drawing>
            </w:r>
            <w:bookmarkEnd w:id="47"/>
          </w:p>
          <w:p w14:paraId="5E2A5677">
            <w:pPr>
              <w:pStyle w:val="38"/>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default" w:ascii="Times New Roman" w:hAnsi="Times New Roman" w:eastAsia="宋体" w:cs="Times New Roman"/>
                <w:b/>
                <w:bCs w:val="0"/>
                <w:color w:val="auto"/>
                <w:sz w:val="24"/>
                <w:szCs w:val="24"/>
                <w:lang w:val="en-US" w:eastAsia="zh-CN"/>
              </w:rPr>
            </w:pPr>
            <w:bookmarkStart w:id="48" w:name="_Toc24363"/>
            <w:r>
              <w:rPr>
                <w:rFonts w:hint="eastAsia" w:ascii="Times New Roman" w:hAnsi="Times New Roman" w:eastAsia="宋体" w:cs="Times New Roman"/>
                <w:b/>
                <w:bCs w:val="0"/>
                <w:color w:val="auto"/>
                <w:sz w:val="24"/>
                <w:szCs w:val="24"/>
                <w:lang w:val="en-US" w:eastAsia="zh-CN"/>
              </w:rPr>
              <w:t>图3.1-2  2025年1-8月县级城市环境空气质量状况截图</w:t>
            </w:r>
            <w:bookmarkEnd w:id="48"/>
          </w:p>
          <w:p w14:paraId="48ECA894">
            <w:pPr>
              <w:keepLines w:val="0"/>
              <w:pageBreakBefore w:val="0"/>
              <w:widowControl w:val="0"/>
              <w:kinsoku/>
              <w:wordWrap/>
              <w:topLinePunct w:val="0"/>
              <w:autoSpaceDE/>
              <w:autoSpaceDN/>
              <w:bidi w:val="0"/>
              <w:spacing w:line="360" w:lineRule="auto"/>
              <w:ind w:firstLine="480"/>
              <w:textAlignment w:val="auto"/>
              <w:outlineLvl w:val="9"/>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②引用</w:t>
            </w:r>
            <w:r>
              <w:rPr>
                <w:rFonts w:ascii="Times New Roman" w:hAnsi="Times New Roman" w:eastAsia="宋体" w:cs="Times New Roman"/>
                <w:color w:val="auto"/>
                <w:kern w:val="2"/>
                <w:sz w:val="24"/>
                <w:szCs w:val="24"/>
                <w:highlight w:val="none"/>
                <w:lang w:val="en-US" w:eastAsia="zh-CN" w:bidi="ar-SA"/>
              </w:rPr>
              <w:t>数据有效性分析</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根据《建设项目环境影响报告表编制技术指南（污染影响类）（试行）》（环办环评〔2020〕33号）的要求</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1732ABA6">
            <w:pPr>
              <w:keepLines w:val="0"/>
              <w:pageBreakBefore w:val="0"/>
              <w:widowControl w:val="0"/>
              <w:kinsoku/>
              <w:wordWrap/>
              <w:topLinePunct w:val="0"/>
              <w:autoSpaceDE/>
              <w:autoSpaceDN/>
              <w:bidi w:val="0"/>
              <w:spacing w:line="336" w:lineRule="auto"/>
              <w:ind w:firstLine="480"/>
              <w:textAlignment w:val="auto"/>
              <w:outlineLvl w:val="9"/>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本次评价选取福建省生态环境厅发布的关于202</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年1-</w:t>
            </w:r>
            <w:r>
              <w:rPr>
                <w:rFonts w:hint="eastAsia" w:cs="Times New Roman"/>
                <w:color w:val="auto"/>
                <w:kern w:val="2"/>
                <w:sz w:val="24"/>
                <w:szCs w:val="24"/>
                <w:highlight w:val="none"/>
                <w:lang w:val="en-US" w:eastAsia="zh-CN" w:bidi="ar-SA"/>
              </w:rPr>
              <w:t>8</w:t>
            </w:r>
            <w:r>
              <w:rPr>
                <w:rFonts w:hint="eastAsia" w:ascii="Times New Roman" w:hAnsi="Times New Roman" w:eastAsia="宋体" w:cs="Times New Roman"/>
                <w:color w:val="auto"/>
                <w:kern w:val="2"/>
                <w:sz w:val="24"/>
                <w:szCs w:val="24"/>
                <w:highlight w:val="none"/>
                <w:lang w:val="en-US" w:eastAsia="zh-CN" w:bidi="ar-SA"/>
              </w:rPr>
              <w:t>月设区城市环境空气质量状况</w:t>
            </w:r>
            <w:r>
              <w:rPr>
                <w:rFonts w:ascii="Times New Roman" w:hAnsi="Times New Roman" w:eastAsia="宋体" w:cs="Times New Roman"/>
                <w:color w:val="auto"/>
                <w:kern w:val="2"/>
                <w:sz w:val="24"/>
                <w:szCs w:val="24"/>
                <w:highlight w:val="none"/>
                <w:lang w:val="en-US" w:eastAsia="zh-CN" w:bidi="ar-SA"/>
              </w:rPr>
              <w:t>，符合《建设项目环境影响报告表编制技术指南（污染影响类）（试行）》（环办环评〔2020〕33号）的要求。</w:t>
            </w:r>
          </w:p>
          <w:p w14:paraId="1E2BF292">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eastAsia="zh-CN"/>
              </w:rPr>
              <w:t>（2）其他</w:t>
            </w:r>
            <w:r>
              <w:rPr>
                <w:rFonts w:hint="eastAsia" w:ascii="Times New Roman" w:hAnsi="Times New Roman" w:eastAsia="宋体" w:cs="Times New Roman"/>
                <w:color w:val="auto"/>
                <w:kern w:val="0"/>
                <w:sz w:val="24"/>
              </w:rPr>
              <w:t>污染因子</w:t>
            </w:r>
          </w:p>
          <w:p w14:paraId="7E196359">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①非甲烷总烃、臭气浓度</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苯乙烯、丙烯腈、1,3-丁二烯、甲苯、乙苯</w:t>
            </w:r>
          </w:p>
          <w:p w14:paraId="62C1F17E">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kern w:val="0"/>
                <w:sz w:val="24"/>
                <w:lang w:val="en-US" w:eastAsia="zh-CN"/>
              </w:rPr>
              <w:t>根据环境影响评价网</w:t>
            </w:r>
            <w:r>
              <w:rPr>
                <w:rFonts w:hint="eastAsia" w:cs="Times New Roman"/>
                <w:color w:val="auto"/>
                <w:kern w:val="0"/>
                <w:sz w:val="24"/>
                <w:lang w:val="en-US" w:eastAsia="zh-CN"/>
              </w:rPr>
              <w:t>（</w:t>
            </w:r>
            <w:r>
              <w:rPr>
                <w:rFonts w:hint="default" w:ascii="Times New Roman" w:hAnsi="Times New Roman" w:eastAsia="宋体" w:cs="Times New Roman"/>
                <w:color w:val="auto"/>
                <w:kern w:val="0"/>
                <w:sz w:val="24"/>
                <w:lang w:val="zh-CN" w:eastAsia="zh-CN"/>
              </w:rPr>
              <w:t>生态环境部环</w:t>
            </w:r>
            <w:r>
              <w:rPr>
                <w:rFonts w:hint="default" w:ascii="Times New Roman" w:hAnsi="Times New Roman" w:eastAsia="宋体" w:cs="Times New Roman"/>
                <w:color w:val="auto"/>
                <w:sz w:val="24"/>
                <w:szCs w:val="22"/>
                <w:highlight w:val="none"/>
                <w:lang w:val="zh-CN" w:eastAsia="zh-CN"/>
              </w:rPr>
              <w:t>境工程评估中心</w:t>
            </w:r>
            <w:r>
              <w:rPr>
                <w:rFonts w:hint="eastAsia"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en-US" w:eastAsia="zh-CN"/>
              </w:rPr>
              <w:t>关于</w:t>
            </w:r>
            <w:r>
              <w:rPr>
                <w:rFonts w:hint="default" w:ascii="Times New Roman" w:hAnsi="Times New Roman" w:eastAsia="宋体" w:cs="Times New Roman"/>
                <w:color w:val="auto"/>
                <w:sz w:val="24"/>
                <w:szCs w:val="22"/>
                <w:highlight w:val="none"/>
                <w:lang w:val="zh-CN" w:eastAsia="zh-CN"/>
              </w:rPr>
              <w:t>《建设项目环境影响报告表》内容、格式及编制技术指南常见问题解答：</w:t>
            </w:r>
            <w:r>
              <w:rPr>
                <w:rFonts w:hint="eastAsia"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en-US" w:eastAsia="zh-CN"/>
              </w:rPr>
              <w:t>技术指南中提到</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排放国家、地方环境空气质量标准中有标准限值要求的特征污染物</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，其中环境空气质量标准指《环境空气质量标准》</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GB3095</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和地方的环境空气质量标准，不包括《环境影响评价技术导则 大气环境》</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HJ2.2-2018</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附录D、《工业企业设计卫生标准》</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TJ36-97</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、《前苏联居住区标准》</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CH245-71</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、《环境影响评价技术导则 制药建设项目》</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HJ611-2011</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、《大气污染物综合排放标准详解》等导则或参考资料。排放的特征污染物需要在国家、地方环境空气质量标准中有限值要求才涉及现状监测</w:t>
            </w:r>
            <w:r>
              <w:rPr>
                <w:rFonts w:hint="eastAsia" w:cs="Times New Roman"/>
                <w:color w:val="auto"/>
                <w:sz w:val="24"/>
                <w:szCs w:val="22"/>
                <w:highlight w:val="none"/>
                <w:lang w:val="en-US" w:eastAsia="zh-CN"/>
              </w:rPr>
              <w:t>且</w:t>
            </w:r>
            <w:r>
              <w:rPr>
                <w:rFonts w:hint="default" w:ascii="Times New Roman" w:hAnsi="Times New Roman" w:eastAsia="宋体" w:cs="Times New Roman"/>
                <w:color w:val="auto"/>
                <w:sz w:val="24"/>
                <w:szCs w:val="22"/>
                <w:highlight w:val="none"/>
                <w:lang w:val="en-US" w:eastAsia="zh-CN"/>
              </w:rPr>
              <w:t>优先引用现有监测数据</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w:t>
            </w:r>
          </w:p>
          <w:p w14:paraId="587BF4C0">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本项目排放的其他污染物为</w:t>
            </w:r>
            <w:r>
              <w:rPr>
                <w:rFonts w:hint="eastAsia" w:ascii="Times New Roman" w:hAnsi="Times New Roman" w:eastAsia="宋体" w:cs="Times New Roman"/>
                <w:color w:val="auto"/>
                <w:kern w:val="0"/>
                <w:sz w:val="24"/>
                <w:lang w:val="en-US" w:eastAsia="zh-CN"/>
              </w:rPr>
              <w:t>非甲烷总烃、臭气浓度</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苯乙烯、丙烯腈、1,3-丁二烯、甲苯、乙苯</w:t>
            </w:r>
            <w:r>
              <w:rPr>
                <w:rFonts w:hint="default" w:ascii="Times New Roman" w:hAnsi="Times New Roman" w:eastAsia="宋体" w:cs="Times New Roman"/>
                <w:color w:val="auto"/>
                <w:sz w:val="24"/>
                <w:szCs w:val="22"/>
                <w:highlight w:val="none"/>
                <w:lang w:val="en-US" w:eastAsia="zh-CN"/>
              </w:rPr>
              <w:t>，不属于《环境空气质量标准》</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GB3095</w:t>
            </w:r>
            <w:r>
              <w:rPr>
                <w:rFonts w:hint="eastAsia" w:ascii="Times New Roman" w:hAnsi="Times New Roman" w:eastAsia="宋体" w:cs="Times New Roman"/>
                <w:color w:val="auto"/>
                <w:sz w:val="24"/>
                <w:szCs w:val="22"/>
                <w:highlight w:val="none"/>
                <w:lang w:val="en-US" w:eastAsia="zh-CN"/>
              </w:rPr>
              <w:t>-2012</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和</w:t>
            </w:r>
            <w:r>
              <w:rPr>
                <w:rFonts w:hint="eastAsia" w:cs="Times New Roman"/>
                <w:color w:val="auto"/>
                <w:sz w:val="24"/>
                <w:szCs w:val="22"/>
                <w:highlight w:val="none"/>
                <w:lang w:val="en-US" w:eastAsia="zh-CN"/>
              </w:rPr>
              <w:t>地方</w:t>
            </w:r>
            <w:r>
              <w:rPr>
                <w:rFonts w:hint="default" w:ascii="Times New Roman" w:hAnsi="Times New Roman" w:eastAsia="宋体" w:cs="Times New Roman"/>
                <w:color w:val="auto"/>
                <w:sz w:val="24"/>
                <w:szCs w:val="22"/>
                <w:highlight w:val="none"/>
                <w:lang w:val="en-US" w:eastAsia="zh-CN"/>
              </w:rPr>
              <w:t>环境空气质量中有标准限值要求的污染物，因此，不进行现状检测评价。</w:t>
            </w:r>
          </w:p>
          <w:p w14:paraId="6B47C8D0">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49" w:name="_Toc21710"/>
            <w:r>
              <w:rPr>
                <w:rFonts w:hint="eastAsia" w:ascii="Times New Roman" w:hAnsi="Times New Roman" w:eastAsia="宋体" w:cs="Times New Roman"/>
                <w:color w:val="auto"/>
                <w:sz w:val="28"/>
                <w:szCs w:val="28"/>
                <w:u w:val="none"/>
                <w:lang w:val="en-US" w:eastAsia="zh-CN"/>
              </w:rPr>
              <w:t>3.2水环境质量现状</w:t>
            </w:r>
            <w:bookmarkEnd w:id="49"/>
          </w:p>
          <w:p w14:paraId="0512496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50" w:name="_Toc14894"/>
            <w:r>
              <w:rPr>
                <w:rFonts w:hint="eastAsia" w:ascii="Times New Roman" w:hAnsi="Times New Roman" w:eastAsia="宋体" w:cs="Times New Roman"/>
                <w:b/>
                <w:bCs/>
                <w:color w:val="auto"/>
                <w:sz w:val="24"/>
                <w:szCs w:val="24"/>
                <w:u w:val="none"/>
                <w:lang w:val="en-US" w:eastAsia="zh-CN"/>
              </w:rPr>
              <w:t>3.2.1地表水功能区划</w:t>
            </w:r>
            <w:bookmarkEnd w:id="50"/>
          </w:p>
          <w:p w14:paraId="5EF8412B">
            <w:pPr>
              <w:widowControl/>
              <w:spacing w:line="360" w:lineRule="auto"/>
              <w:ind w:firstLine="480" w:firstLineChars="200"/>
              <w:jc w:val="left"/>
              <w:rPr>
                <w:rFonts w:hint="eastAsia" w:eastAsia="宋体"/>
                <w:b/>
                <w:bCs/>
                <w:kern w:val="0"/>
                <w:sz w:val="24"/>
                <w:lang w:eastAsia="zh-CN"/>
              </w:rPr>
            </w:pP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eastAsia="zh-CN"/>
              </w:rPr>
              <w:t>生产过程中仅产生间接冷却水，不外排。</w:t>
            </w:r>
            <w:r>
              <w:rPr>
                <w:rFonts w:hint="default" w:ascii="Times New Roman" w:hAnsi="Times New Roman" w:eastAsia="宋体" w:cs="Times New Roman"/>
                <w:color w:val="auto"/>
                <w:sz w:val="24"/>
                <w:szCs w:val="24"/>
                <w:highlight w:val="none"/>
                <w:lang w:eastAsia="zh-CN"/>
              </w:rPr>
              <w:t>生活</w:t>
            </w:r>
            <w:r>
              <w:rPr>
                <w:rFonts w:hint="eastAsia" w:cs="Times New Roman"/>
                <w:color w:val="auto"/>
                <w:sz w:val="24"/>
                <w:szCs w:val="24"/>
                <w:highlight w:val="none"/>
                <w:lang w:eastAsia="zh-CN"/>
              </w:rPr>
              <w:t>污水经化粪池</w:t>
            </w:r>
            <w:r>
              <w:rPr>
                <w:rFonts w:hint="default" w:ascii="Times New Roman" w:hAnsi="Times New Roman" w:eastAsia="宋体" w:cs="Times New Roman"/>
                <w:color w:val="auto"/>
                <w:sz w:val="24"/>
                <w:szCs w:val="24"/>
                <w:highlight w:val="none"/>
                <w:lang w:eastAsia="zh-CN"/>
              </w:rPr>
              <w:t>处理后排入市政污水管网，送往</w:t>
            </w:r>
            <w:r>
              <w:rPr>
                <w:rFonts w:hint="default" w:ascii="Times New Roman" w:hAnsi="Times New Roman" w:eastAsia="宋体" w:cs="Times New Roman"/>
                <w:color w:val="auto"/>
                <w:sz w:val="24"/>
                <w:szCs w:val="22"/>
                <w:highlight w:val="none"/>
                <w:lang w:eastAsia="zh-CN"/>
              </w:rPr>
              <w:t>福清市融元污水处理厂</w:t>
            </w:r>
            <w:r>
              <w:rPr>
                <w:rFonts w:hint="default" w:ascii="Times New Roman" w:hAnsi="Times New Roman" w:eastAsia="宋体" w:cs="Times New Roman"/>
                <w:color w:val="auto"/>
                <w:sz w:val="24"/>
                <w:szCs w:val="22"/>
                <w:highlight w:val="none"/>
              </w:rPr>
              <w:t>进行处理</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污水处理厂</w:t>
            </w:r>
            <w:r>
              <w:rPr>
                <w:rFonts w:hint="default" w:ascii="Times New Roman" w:hAnsi="Times New Roman" w:cs="Times New Roman"/>
                <w:color w:val="auto"/>
                <w:sz w:val="24"/>
                <w:highlight w:val="none"/>
              </w:rPr>
              <w:t>尾水排入龙江，所处龙江</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南门桥水闸至龙江入海口</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断面；根据福州市水功能区划批复（榕政综</w:t>
            </w:r>
            <w:r>
              <w:rPr>
                <w:rFonts w:hint="default" w:ascii="Times New Roman" w:hAnsi="Times New Roman" w:cs="Times New Roman"/>
                <w:color w:val="auto"/>
                <w:sz w:val="24"/>
                <w:highlight w:val="none"/>
                <w:lang w:eastAsia="zh-CN"/>
              </w:rPr>
              <w:t>〔2019〕316号</w:t>
            </w:r>
            <w:r>
              <w:rPr>
                <w:rFonts w:hint="default" w:ascii="Times New Roman" w:hAnsi="Times New Roman" w:cs="Times New Roman"/>
                <w:color w:val="auto"/>
                <w:sz w:val="24"/>
                <w:highlight w:val="none"/>
              </w:rPr>
              <w:t>）批准的《福州市水功能区划》，该断面水体主要功能为农业、工业、景观用水，环境功能类别为Ⅴ类，水质执行《地表水环境质量标准》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GB3838-2002</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中Ⅴ类水质标准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详见表3.2-1。</w:t>
            </w:r>
          </w:p>
          <w:p w14:paraId="45DF3C88">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b/>
                <w:bCs/>
                <w:kern w:val="0"/>
                <w:sz w:val="24"/>
              </w:rPr>
            </w:pPr>
            <w:r>
              <w:rPr>
                <w:rFonts w:hint="default" w:ascii="Times New Roman" w:hAnsi="Times New Roman" w:eastAsia="宋体" w:cs="Times New Roman"/>
                <w:b/>
                <w:bCs/>
                <w:color w:val="auto"/>
                <w:sz w:val="24"/>
                <w:szCs w:val="24"/>
                <w:u w:val="none"/>
                <w:lang w:val="en-US" w:eastAsia="zh-CN"/>
              </w:rPr>
              <w:t>表3.2-1 地表水环境质量标准</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GB3838-2002</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摘录</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 xml:space="preserve">   单位：mg/L</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006"/>
              <w:gridCol w:w="3307"/>
              <w:gridCol w:w="1276"/>
              <w:gridCol w:w="1006"/>
              <w:gridCol w:w="1006"/>
              <w:gridCol w:w="1006"/>
            </w:tblGrid>
            <w:tr w14:paraId="7E5798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84" w:hRule="exact"/>
                <w:jc w:val="center"/>
              </w:trPr>
              <w:tc>
                <w:tcPr>
                  <w:tcW w:w="585" w:type="pct"/>
                  <w:shd w:val="clear" w:color="auto" w:fill="auto"/>
                  <w:noWrap w:val="0"/>
                  <w:vAlign w:val="center"/>
                </w:tcPr>
                <w:p w14:paraId="11A19163">
                  <w:pPr>
                    <w:spacing w:line="340" w:lineRule="exact"/>
                    <w:jc w:val="center"/>
                    <w:rPr>
                      <w:snapToGrid w:val="0"/>
                      <w:kern w:val="18"/>
                      <w:szCs w:val="21"/>
                    </w:rPr>
                  </w:pPr>
                  <w:r>
                    <w:rPr>
                      <w:snapToGrid w:val="0"/>
                      <w:kern w:val="18"/>
                      <w:szCs w:val="21"/>
                    </w:rPr>
                    <w:t>序号</w:t>
                  </w:r>
                </w:p>
              </w:tc>
              <w:tc>
                <w:tcPr>
                  <w:tcW w:w="1921" w:type="pct"/>
                  <w:shd w:val="clear" w:color="auto" w:fill="auto"/>
                  <w:noWrap w:val="0"/>
                  <w:vAlign w:val="center"/>
                </w:tcPr>
                <w:p w14:paraId="4CFCA972">
                  <w:pPr>
                    <w:spacing w:line="340" w:lineRule="exact"/>
                    <w:jc w:val="center"/>
                    <w:rPr>
                      <w:snapToGrid w:val="0"/>
                      <w:kern w:val="18"/>
                      <w:szCs w:val="21"/>
                    </w:rPr>
                  </w:pPr>
                  <w:r>
                    <w:rPr>
                      <w:snapToGrid w:val="0"/>
                      <w:kern w:val="18"/>
                      <w:szCs w:val="21"/>
                    </w:rPr>
                    <w:t>项目</w:t>
                  </w:r>
                </w:p>
              </w:tc>
              <w:tc>
                <w:tcPr>
                  <w:tcW w:w="741" w:type="pct"/>
                  <w:shd w:val="clear" w:color="auto" w:fill="auto"/>
                  <w:noWrap w:val="0"/>
                  <w:vAlign w:val="center"/>
                </w:tcPr>
                <w:p w14:paraId="77A6FFB1">
                  <w:pPr>
                    <w:spacing w:line="340" w:lineRule="exact"/>
                    <w:jc w:val="center"/>
                    <w:rPr>
                      <w:snapToGrid w:val="0"/>
                      <w:kern w:val="18"/>
                      <w:szCs w:val="21"/>
                    </w:rPr>
                  </w:pPr>
                  <w:r>
                    <w:rPr>
                      <w:snapToGrid w:val="0"/>
                      <w:kern w:val="18"/>
                      <w:szCs w:val="21"/>
                    </w:rPr>
                    <w:t>Ⅱ类</w:t>
                  </w:r>
                </w:p>
              </w:tc>
              <w:tc>
                <w:tcPr>
                  <w:tcW w:w="584" w:type="pct"/>
                  <w:shd w:val="clear" w:color="auto" w:fill="auto"/>
                  <w:noWrap w:val="0"/>
                  <w:vAlign w:val="center"/>
                </w:tcPr>
                <w:p w14:paraId="0B1051D8">
                  <w:pPr>
                    <w:spacing w:line="340" w:lineRule="exact"/>
                    <w:jc w:val="center"/>
                    <w:rPr>
                      <w:snapToGrid w:val="0"/>
                      <w:kern w:val="18"/>
                      <w:szCs w:val="21"/>
                    </w:rPr>
                  </w:pPr>
                  <w:r>
                    <w:rPr>
                      <w:snapToGrid w:val="0"/>
                      <w:kern w:val="18"/>
                      <w:szCs w:val="21"/>
                    </w:rPr>
                    <w:t>Ⅲ类</w:t>
                  </w:r>
                </w:p>
              </w:tc>
              <w:tc>
                <w:tcPr>
                  <w:tcW w:w="584" w:type="pct"/>
                  <w:shd w:val="clear" w:color="auto" w:fill="auto"/>
                  <w:noWrap w:val="0"/>
                  <w:vAlign w:val="center"/>
                </w:tcPr>
                <w:p w14:paraId="73344D38">
                  <w:pPr>
                    <w:spacing w:line="340" w:lineRule="exact"/>
                    <w:jc w:val="center"/>
                    <w:rPr>
                      <w:snapToGrid w:val="0"/>
                      <w:kern w:val="18"/>
                      <w:szCs w:val="21"/>
                    </w:rPr>
                  </w:pPr>
                  <w:r>
                    <w:rPr>
                      <w:snapToGrid w:val="0"/>
                      <w:kern w:val="18"/>
                      <w:szCs w:val="21"/>
                    </w:rPr>
                    <w:t>Ⅳ类</w:t>
                  </w:r>
                </w:p>
              </w:tc>
              <w:tc>
                <w:tcPr>
                  <w:tcW w:w="583" w:type="pct"/>
                  <w:shd w:val="clear" w:color="auto" w:fill="D7D7D7" w:themeFill="background1" w:themeFillShade="D8"/>
                  <w:noWrap w:val="0"/>
                  <w:vAlign w:val="center"/>
                </w:tcPr>
                <w:p w14:paraId="1CF0E9BE">
                  <w:pPr>
                    <w:spacing w:line="340" w:lineRule="exact"/>
                    <w:jc w:val="center"/>
                    <w:rPr>
                      <w:snapToGrid w:val="0"/>
                      <w:kern w:val="18"/>
                      <w:szCs w:val="21"/>
                    </w:rPr>
                  </w:pPr>
                  <w:r>
                    <w:rPr>
                      <w:snapToGrid w:val="0"/>
                      <w:kern w:val="18"/>
                      <w:szCs w:val="21"/>
                    </w:rPr>
                    <w:t>Ⅴ类</w:t>
                  </w:r>
                </w:p>
              </w:tc>
            </w:tr>
            <w:tr w14:paraId="6CD7B3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410" w:hRule="exact"/>
                <w:jc w:val="center"/>
              </w:trPr>
              <w:tc>
                <w:tcPr>
                  <w:tcW w:w="585" w:type="pct"/>
                  <w:shd w:val="clear" w:color="auto" w:fill="auto"/>
                  <w:noWrap w:val="0"/>
                  <w:vAlign w:val="center"/>
                </w:tcPr>
                <w:p w14:paraId="6018D258">
                  <w:pPr>
                    <w:spacing w:line="340" w:lineRule="exact"/>
                    <w:jc w:val="center"/>
                    <w:rPr>
                      <w:snapToGrid w:val="0"/>
                      <w:kern w:val="18"/>
                      <w:szCs w:val="21"/>
                    </w:rPr>
                  </w:pPr>
                  <w:r>
                    <w:rPr>
                      <w:snapToGrid w:val="0"/>
                      <w:kern w:val="18"/>
                      <w:szCs w:val="21"/>
                    </w:rPr>
                    <w:t>1</w:t>
                  </w:r>
                </w:p>
              </w:tc>
              <w:tc>
                <w:tcPr>
                  <w:tcW w:w="1921" w:type="pct"/>
                  <w:shd w:val="clear" w:color="auto" w:fill="auto"/>
                  <w:noWrap w:val="0"/>
                  <w:vAlign w:val="center"/>
                </w:tcPr>
                <w:p w14:paraId="7677BFAB">
                  <w:pPr>
                    <w:spacing w:line="340" w:lineRule="exact"/>
                    <w:jc w:val="center"/>
                    <w:rPr>
                      <w:snapToGrid w:val="0"/>
                      <w:kern w:val="18"/>
                      <w:szCs w:val="21"/>
                    </w:rPr>
                  </w:pPr>
                  <w:r>
                    <w:rPr>
                      <w:snapToGrid w:val="0"/>
                      <w:kern w:val="18"/>
                      <w:szCs w:val="21"/>
                    </w:rPr>
                    <w:t>pH</w:t>
                  </w:r>
                  <w:r>
                    <w:rPr>
                      <w:rFonts w:hint="eastAsia"/>
                      <w:snapToGrid w:val="0"/>
                      <w:kern w:val="18"/>
                      <w:szCs w:val="21"/>
                      <w:lang w:eastAsia="zh-CN"/>
                    </w:rPr>
                    <w:t>（</w:t>
                  </w:r>
                  <w:r>
                    <w:rPr>
                      <w:snapToGrid w:val="0"/>
                      <w:kern w:val="18"/>
                      <w:szCs w:val="21"/>
                    </w:rPr>
                    <w:t>无量纲</w:t>
                  </w:r>
                  <w:r>
                    <w:rPr>
                      <w:rFonts w:hint="eastAsia"/>
                      <w:snapToGrid w:val="0"/>
                      <w:kern w:val="18"/>
                      <w:szCs w:val="21"/>
                      <w:lang w:eastAsia="zh-CN"/>
                    </w:rPr>
                    <w:t>）</w:t>
                  </w:r>
                </w:p>
              </w:tc>
              <w:tc>
                <w:tcPr>
                  <w:tcW w:w="2493" w:type="pct"/>
                  <w:gridSpan w:val="4"/>
                  <w:shd w:val="clear" w:color="auto" w:fill="D7D7D7" w:themeFill="background1" w:themeFillShade="D8"/>
                  <w:noWrap w:val="0"/>
                  <w:vAlign w:val="center"/>
                </w:tcPr>
                <w:p w14:paraId="1EFAAD0F">
                  <w:pPr>
                    <w:spacing w:line="340" w:lineRule="exact"/>
                    <w:jc w:val="center"/>
                    <w:rPr>
                      <w:snapToGrid w:val="0"/>
                      <w:kern w:val="18"/>
                      <w:szCs w:val="21"/>
                    </w:rPr>
                  </w:pPr>
                  <w:r>
                    <w:rPr>
                      <w:snapToGrid w:val="0"/>
                      <w:kern w:val="18"/>
                      <w:szCs w:val="21"/>
                    </w:rPr>
                    <w:t>6</w:t>
                  </w:r>
                  <w:r>
                    <w:rPr>
                      <w:rFonts w:hint="eastAsia"/>
                      <w:snapToGrid w:val="0"/>
                      <w:kern w:val="18"/>
                      <w:szCs w:val="21"/>
                      <w:lang w:eastAsia="zh-CN"/>
                    </w:rPr>
                    <w:t>~</w:t>
                  </w:r>
                  <w:r>
                    <w:rPr>
                      <w:snapToGrid w:val="0"/>
                      <w:kern w:val="18"/>
                      <w:szCs w:val="21"/>
                    </w:rPr>
                    <w:t>9</w:t>
                  </w:r>
                </w:p>
              </w:tc>
            </w:tr>
            <w:tr w14:paraId="4E61EB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52" w:hRule="exact"/>
                <w:jc w:val="center"/>
              </w:trPr>
              <w:tc>
                <w:tcPr>
                  <w:tcW w:w="585" w:type="pct"/>
                  <w:shd w:val="clear" w:color="auto" w:fill="auto"/>
                  <w:noWrap w:val="0"/>
                  <w:vAlign w:val="center"/>
                </w:tcPr>
                <w:p w14:paraId="752F7061">
                  <w:pPr>
                    <w:spacing w:line="340" w:lineRule="exact"/>
                    <w:jc w:val="center"/>
                    <w:rPr>
                      <w:snapToGrid w:val="0"/>
                      <w:kern w:val="18"/>
                      <w:szCs w:val="21"/>
                    </w:rPr>
                  </w:pPr>
                  <w:r>
                    <w:rPr>
                      <w:snapToGrid w:val="0"/>
                      <w:kern w:val="18"/>
                      <w:szCs w:val="21"/>
                    </w:rPr>
                    <w:t>2</w:t>
                  </w:r>
                </w:p>
              </w:tc>
              <w:tc>
                <w:tcPr>
                  <w:tcW w:w="1921" w:type="pct"/>
                  <w:shd w:val="clear" w:color="auto" w:fill="auto"/>
                  <w:noWrap w:val="0"/>
                  <w:vAlign w:val="center"/>
                </w:tcPr>
                <w:p w14:paraId="7DEB72C3">
                  <w:pPr>
                    <w:spacing w:line="340" w:lineRule="exact"/>
                    <w:jc w:val="center"/>
                    <w:rPr>
                      <w:snapToGrid w:val="0"/>
                      <w:kern w:val="18"/>
                      <w:szCs w:val="21"/>
                    </w:rPr>
                  </w:pPr>
                  <w:r>
                    <w:rPr>
                      <w:snapToGrid w:val="0"/>
                      <w:kern w:val="18"/>
                      <w:szCs w:val="21"/>
                    </w:rPr>
                    <w:t>DO≥</w:t>
                  </w:r>
                </w:p>
              </w:tc>
              <w:tc>
                <w:tcPr>
                  <w:tcW w:w="741" w:type="pct"/>
                  <w:shd w:val="clear" w:color="auto" w:fill="auto"/>
                  <w:noWrap w:val="0"/>
                  <w:vAlign w:val="center"/>
                </w:tcPr>
                <w:p w14:paraId="466BAB4E">
                  <w:pPr>
                    <w:spacing w:line="340" w:lineRule="exact"/>
                    <w:jc w:val="center"/>
                    <w:rPr>
                      <w:snapToGrid w:val="0"/>
                      <w:kern w:val="18"/>
                      <w:szCs w:val="21"/>
                    </w:rPr>
                  </w:pPr>
                  <w:r>
                    <w:rPr>
                      <w:snapToGrid w:val="0"/>
                      <w:kern w:val="18"/>
                      <w:szCs w:val="21"/>
                    </w:rPr>
                    <w:t>6</w:t>
                  </w:r>
                </w:p>
              </w:tc>
              <w:tc>
                <w:tcPr>
                  <w:tcW w:w="584" w:type="pct"/>
                  <w:shd w:val="clear" w:color="auto" w:fill="auto"/>
                  <w:noWrap w:val="0"/>
                  <w:vAlign w:val="center"/>
                </w:tcPr>
                <w:p w14:paraId="164CD429">
                  <w:pPr>
                    <w:spacing w:line="340" w:lineRule="exact"/>
                    <w:jc w:val="center"/>
                    <w:rPr>
                      <w:snapToGrid w:val="0"/>
                      <w:kern w:val="18"/>
                      <w:szCs w:val="21"/>
                    </w:rPr>
                  </w:pPr>
                  <w:r>
                    <w:rPr>
                      <w:snapToGrid w:val="0"/>
                      <w:kern w:val="18"/>
                      <w:szCs w:val="21"/>
                    </w:rPr>
                    <w:t>5</w:t>
                  </w:r>
                </w:p>
              </w:tc>
              <w:tc>
                <w:tcPr>
                  <w:tcW w:w="584" w:type="pct"/>
                  <w:shd w:val="clear" w:color="auto" w:fill="auto"/>
                  <w:noWrap w:val="0"/>
                  <w:vAlign w:val="center"/>
                </w:tcPr>
                <w:p w14:paraId="01385E5A">
                  <w:pPr>
                    <w:spacing w:line="340" w:lineRule="exact"/>
                    <w:jc w:val="center"/>
                    <w:rPr>
                      <w:snapToGrid w:val="0"/>
                      <w:kern w:val="18"/>
                      <w:szCs w:val="21"/>
                    </w:rPr>
                  </w:pPr>
                  <w:r>
                    <w:rPr>
                      <w:snapToGrid w:val="0"/>
                      <w:kern w:val="18"/>
                      <w:szCs w:val="21"/>
                    </w:rPr>
                    <w:t>3</w:t>
                  </w:r>
                </w:p>
              </w:tc>
              <w:tc>
                <w:tcPr>
                  <w:tcW w:w="583" w:type="pct"/>
                  <w:shd w:val="clear" w:color="auto" w:fill="D7D7D7" w:themeFill="background1" w:themeFillShade="D8"/>
                  <w:noWrap w:val="0"/>
                  <w:vAlign w:val="center"/>
                </w:tcPr>
                <w:p w14:paraId="2E5D60E6">
                  <w:pPr>
                    <w:spacing w:line="340" w:lineRule="exact"/>
                    <w:jc w:val="center"/>
                    <w:rPr>
                      <w:snapToGrid w:val="0"/>
                      <w:kern w:val="18"/>
                      <w:szCs w:val="21"/>
                    </w:rPr>
                  </w:pPr>
                  <w:r>
                    <w:rPr>
                      <w:snapToGrid w:val="0"/>
                      <w:kern w:val="18"/>
                      <w:szCs w:val="21"/>
                    </w:rPr>
                    <w:t>2</w:t>
                  </w:r>
                </w:p>
              </w:tc>
            </w:tr>
            <w:tr w14:paraId="2D7380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2" w:hRule="exact"/>
                <w:jc w:val="center"/>
              </w:trPr>
              <w:tc>
                <w:tcPr>
                  <w:tcW w:w="585" w:type="pct"/>
                  <w:shd w:val="clear" w:color="auto" w:fill="auto"/>
                  <w:noWrap w:val="0"/>
                  <w:vAlign w:val="center"/>
                </w:tcPr>
                <w:p w14:paraId="7BEC337F">
                  <w:pPr>
                    <w:spacing w:line="340" w:lineRule="exact"/>
                    <w:jc w:val="center"/>
                    <w:rPr>
                      <w:snapToGrid w:val="0"/>
                      <w:kern w:val="18"/>
                      <w:szCs w:val="21"/>
                    </w:rPr>
                  </w:pPr>
                  <w:r>
                    <w:rPr>
                      <w:snapToGrid w:val="0"/>
                      <w:kern w:val="18"/>
                      <w:szCs w:val="21"/>
                    </w:rPr>
                    <w:t>3</w:t>
                  </w:r>
                </w:p>
              </w:tc>
              <w:tc>
                <w:tcPr>
                  <w:tcW w:w="1921" w:type="pct"/>
                  <w:shd w:val="clear" w:color="auto" w:fill="auto"/>
                  <w:noWrap w:val="0"/>
                  <w:vAlign w:val="center"/>
                </w:tcPr>
                <w:p w14:paraId="0EF52C38">
                  <w:pPr>
                    <w:spacing w:line="340" w:lineRule="exact"/>
                    <w:jc w:val="center"/>
                    <w:rPr>
                      <w:snapToGrid w:val="0"/>
                      <w:kern w:val="18"/>
                      <w:szCs w:val="21"/>
                    </w:rPr>
                  </w:pPr>
                  <w:r>
                    <w:rPr>
                      <w:snapToGrid w:val="0"/>
                      <w:kern w:val="18"/>
                      <w:szCs w:val="21"/>
                    </w:rPr>
                    <w:t>COD</w:t>
                  </w:r>
                  <w:r>
                    <w:rPr>
                      <w:snapToGrid w:val="0"/>
                      <w:kern w:val="18"/>
                      <w:szCs w:val="21"/>
                      <w:vertAlign w:val="subscript"/>
                    </w:rPr>
                    <w:t>Mn</w:t>
                  </w:r>
                  <w:r>
                    <w:rPr>
                      <w:snapToGrid w:val="0"/>
                      <w:kern w:val="18"/>
                      <w:szCs w:val="21"/>
                    </w:rPr>
                    <w:t>≤</w:t>
                  </w:r>
                </w:p>
              </w:tc>
              <w:tc>
                <w:tcPr>
                  <w:tcW w:w="741" w:type="pct"/>
                  <w:shd w:val="clear" w:color="auto" w:fill="auto"/>
                  <w:noWrap w:val="0"/>
                  <w:vAlign w:val="center"/>
                </w:tcPr>
                <w:p w14:paraId="30772968">
                  <w:pPr>
                    <w:spacing w:line="340" w:lineRule="exact"/>
                    <w:jc w:val="center"/>
                    <w:rPr>
                      <w:snapToGrid w:val="0"/>
                      <w:kern w:val="18"/>
                      <w:szCs w:val="21"/>
                    </w:rPr>
                  </w:pPr>
                  <w:r>
                    <w:rPr>
                      <w:snapToGrid w:val="0"/>
                      <w:kern w:val="18"/>
                      <w:szCs w:val="21"/>
                    </w:rPr>
                    <w:t>4</w:t>
                  </w:r>
                </w:p>
              </w:tc>
              <w:tc>
                <w:tcPr>
                  <w:tcW w:w="584" w:type="pct"/>
                  <w:shd w:val="clear" w:color="auto" w:fill="auto"/>
                  <w:noWrap w:val="0"/>
                  <w:vAlign w:val="center"/>
                </w:tcPr>
                <w:p w14:paraId="3678B590">
                  <w:pPr>
                    <w:spacing w:line="340" w:lineRule="exact"/>
                    <w:jc w:val="center"/>
                    <w:rPr>
                      <w:snapToGrid w:val="0"/>
                      <w:kern w:val="18"/>
                      <w:szCs w:val="21"/>
                    </w:rPr>
                  </w:pPr>
                  <w:r>
                    <w:rPr>
                      <w:snapToGrid w:val="0"/>
                      <w:kern w:val="18"/>
                      <w:szCs w:val="21"/>
                    </w:rPr>
                    <w:t>6</w:t>
                  </w:r>
                </w:p>
              </w:tc>
              <w:tc>
                <w:tcPr>
                  <w:tcW w:w="584" w:type="pct"/>
                  <w:shd w:val="clear" w:color="auto" w:fill="auto"/>
                  <w:noWrap w:val="0"/>
                  <w:vAlign w:val="center"/>
                </w:tcPr>
                <w:p w14:paraId="51C942B9">
                  <w:pPr>
                    <w:spacing w:line="340" w:lineRule="exact"/>
                    <w:jc w:val="center"/>
                    <w:rPr>
                      <w:snapToGrid w:val="0"/>
                      <w:kern w:val="18"/>
                      <w:szCs w:val="21"/>
                    </w:rPr>
                  </w:pPr>
                  <w:r>
                    <w:rPr>
                      <w:snapToGrid w:val="0"/>
                      <w:kern w:val="18"/>
                      <w:szCs w:val="21"/>
                    </w:rPr>
                    <w:t>10</w:t>
                  </w:r>
                </w:p>
              </w:tc>
              <w:tc>
                <w:tcPr>
                  <w:tcW w:w="583" w:type="pct"/>
                  <w:shd w:val="clear" w:color="auto" w:fill="D7D7D7" w:themeFill="background1" w:themeFillShade="D8"/>
                  <w:noWrap w:val="0"/>
                  <w:vAlign w:val="center"/>
                </w:tcPr>
                <w:p w14:paraId="665DDA66">
                  <w:pPr>
                    <w:spacing w:line="340" w:lineRule="exact"/>
                    <w:jc w:val="center"/>
                    <w:rPr>
                      <w:snapToGrid w:val="0"/>
                      <w:kern w:val="18"/>
                      <w:szCs w:val="21"/>
                    </w:rPr>
                  </w:pPr>
                  <w:r>
                    <w:rPr>
                      <w:snapToGrid w:val="0"/>
                      <w:kern w:val="18"/>
                      <w:szCs w:val="21"/>
                    </w:rPr>
                    <w:t>15</w:t>
                  </w:r>
                </w:p>
              </w:tc>
            </w:tr>
            <w:tr w14:paraId="3FD1BF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6" w:hRule="exact"/>
                <w:jc w:val="center"/>
              </w:trPr>
              <w:tc>
                <w:tcPr>
                  <w:tcW w:w="585" w:type="pct"/>
                  <w:shd w:val="clear" w:color="auto" w:fill="auto"/>
                  <w:noWrap w:val="0"/>
                  <w:vAlign w:val="center"/>
                </w:tcPr>
                <w:p w14:paraId="6717F48B">
                  <w:pPr>
                    <w:spacing w:line="340" w:lineRule="exact"/>
                    <w:jc w:val="center"/>
                    <w:rPr>
                      <w:snapToGrid w:val="0"/>
                      <w:kern w:val="18"/>
                      <w:szCs w:val="21"/>
                    </w:rPr>
                  </w:pPr>
                  <w:r>
                    <w:rPr>
                      <w:snapToGrid w:val="0"/>
                      <w:kern w:val="18"/>
                      <w:szCs w:val="21"/>
                    </w:rPr>
                    <w:t>4</w:t>
                  </w:r>
                </w:p>
              </w:tc>
              <w:tc>
                <w:tcPr>
                  <w:tcW w:w="1921" w:type="pct"/>
                  <w:shd w:val="clear" w:color="auto" w:fill="auto"/>
                  <w:noWrap w:val="0"/>
                  <w:vAlign w:val="center"/>
                </w:tcPr>
                <w:p w14:paraId="158DE907">
                  <w:pPr>
                    <w:spacing w:line="340" w:lineRule="exact"/>
                    <w:jc w:val="center"/>
                    <w:rPr>
                      <w:snapToGrid w:val="0"/>
                      <w:kern w:val="18"/>
                      <w:szCs w:val="21"/>
                    </w:rPr>
                  </w:pPr>
                  <w:r>
                    <w:rPr>
                      <w:snapToGrid w:val="0"/>
                      <w:kern w:val="18"/>
                      <w:szCs w:val="21"/>
                    </w:rPr>
                    <w:t>BOD</w:t>
                  </w:r>
                  <w:r>
                    <w:rPr>
                      <w:snapToGrid w:val="0"/>
                      <w:kern w:val="18"/>
                      <w:szCs w:val="21"/>
                      <w:vertAlign w:val="subscript"/>
                    </w:rPr>
                    <w:t>5</w:t>
                  </w:r>
                  <w:r>
                    <w:rPr>
                      <w:snapToGrid w:val="0"/>
                      <w:kern w:val="18"/>
                      <w:szCs w:val="21"/>
                    </w:rPr>
                    <w:t>≤</w:t>
                  </w:r>
                </w:p>
              </w:tc>
              <w:tc>
                <w:tcPr>
                  <w:tcW w:w="741" w:type="pct"/>
                  <w:shd w:val="clear" w:color="auto" w:fill="auto"/>
                  <w:noWrap w:val="0"/>
                  <w:vAlign w:val="center"/>
                </w:tcPr>
                <w:p w14:paraId="3FB5685B">
                  <w:pPr>
                    <w:spacing w:line="340" w:lineRule="exact"/>
                    <w:jc w:val="center"/>
                    <w:rPr>
                      <w:snapToGrid w:val="0"/>
                      <w:kern w:val="18"/>
                      <w:szCs w:val="21"/>
                    </w:rPr>
                  </w:pPr>
                  <w:r>
                    <w:rPr>
                      <w:snapToGrid w:val="0"/>
                      <w:kern w:val="18"/>
                      <w:szCs w:val="21"/>
                    </w:rPr>
                    <w:t>3</w:t>
                  </w:r>
                </w:p>
              </w:tc>
              <w:tc>
                <w:tcPr>
                  <w:tcW w:w="584" w:type="pct"/>
                  <w:shd w:val="clear" w:color="auto" w:fill="auto"/>
                  <w:noWrap w:val="0"/>
                  <w:vAlign w:val="center"/>
                </w:tcPr>
                <w:p w14:paraId="7B04DDBC">
                  <w:pPr>
                    <w:spacing w:line="340" w:lineRule="exact"/>
                    <w:jc w:val="center"/>
                    <w:rPr>
                      <w:snapToGrid w:val="0"/>
                      <w:kern w:val="18"/>
                      <w:szCs w:val="21"/>
                    </w:rPr>
                  </w:pPr>
                  <w:r>
                    <w:rPr>
                      <w:snapToGrid w:val="0"/>
                      <w:kern w:val="18"/>
                      <w:szCs w:val="21"/>
                    </w:rPr>
                    <w:t>4</w:t>
                  </w:r>
                </w:p>
              </w:tc>
              <w:tc>
                <w:tcPr>
                  <w:tcW w:w="584" w:type="pct"/>
                  <w:shd w:val="clear" w:color="auto" w:fill="auto"/>
                  <w:noWrap w:val="0"/>
                  <w:vAlign w:val="center"/>
                </w:tcPr>
                <w:p w14:paraId="70C99B9B">
                  <w:pPr>
                    <w:spacing w:line="340" w:lineRule="exact"/>
                    <w:jc w:val="center"/>
                    <w:rPr>
                      <w:snapToGrid w:val="0"/>
                      <w:kern w:val="18"/>
                      <w:szCs w:val="21"/>
                    </w:rPr>
                  </w:pPr>
                  <w:r>
                    <w:rPr>
                      <w:snapToGrid w:val="0"/>
                      <w:kern w:val="18"/>
                      <w:szCs w:val="21"/>
                    </w:rPr>
                    <w:t>6</w:t>
                  </w:r>
                </w:p>
              </w:tc>
              <w:tc>
                <w:tcPr>
                  <w:tcW w:w="583" w:type="pct"/>
                  <w:shd w:val="clear" w:color="auto" w:fill="D7D7D7" w:themeFill="background1" w:themeFillShade="D8"/>
                  <w:noWrap w:val="0"/>
                  <w:vAlign w:val="center"/>
                </w:tcPr>
                <w:p w14:paraId="1B962334">
                  <w:pPr>
                    <w:spacing w:line="340" w:lineRule="exact"/>
                    <w:jc w:val="center"/>
                    <w:rPr>
                      <w:snapToGrid w:val="0"/>
                      <w:kern w:val="18"/>
                      <w:szCs w:val="21"/>
                    </w:rPr>
                  </w:pPr>
                  <w:r>
                    <w:rPr>
                      <w:snapToGrid w:val="0"/>
                      <w:kern w:val="18"/>
                      <w:szCs w:val="21"/>
                    </w:rPr>
                    <w:t>10</w:t>
                  </w:r>
                </w:p>
              </w:tc>
            </w:tr>
            <w:tr w14:paraId="7588AA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77" w:hRule="exact"/>
                <w:jc w:val="center"/>
              </w:trPr>
              <w:tc>
                <w:tcPr>
                  <w:tcW w:w="585" w:type="pct"/>
                  <w:shd w:val="clear" w:color="auto" w:fill="auto"/>
                  <w:noWrap w:val="0"/>
                  <w:vAlign w:val="center"/>
                </w:tcPr>
                <w:p w14:paraId="442B4CFF">
                  <w:pPr>
                    <w:spacing w:line="340" w:lineRule="exact"/>
                    <w:jc w:val="center"/>
                    <w:rPr>
                      <w:snapToGrid w:val="0"/>
                      <w:kern w:val="18"/>
                      <w:szCs w:val="21"/>
                    </w:rPr>
                  </w:pPr>
                  <w:r>
                    <w:rPr>
                      <w:snapToGrid w:val="0"/>
                      <w:kern w:val="18"/>
                      <w:szCs w:val="21"/>
                    </w:rPr>
                    <w:t>5</w:t>
                  </w:r>
                </w:p>
              </w:tc>
              <w:tc>
                <w:tcPr>
                  <w:tcW w:w="1921" w:type="pct"/>
                  <w:shd w:val="clear" w:color="auto" w:fill="auto"/>
                  <w:noWrap w:val="0"/>
                  <w:vAlign w:val="center"/>
                </w:tcPr>
                <w:p w14:paraId="2402AFBC">
                  <w:pPr>
                    <w:spacing w:line="340" w:lineRule="exact"/>
                    <w:jc w:val="center"/>
                    <w:rPr>
                      <w:snapToGrid w:val="0"/>
                      <w:kern w:val="18"/>
                      <w:szCs w:val="21"/>
                    </w:rPr>
                  </w:pPr>
                  <w:r>
                    <w:rPr>
                      <w:snapToGrid w:val="0"/>
                      <w:kern w:val="18"/>
                      <w:szCs w:val="21"/>
                    </w:rPr>
                    <w:t>COD</w:t>
                  </w:r>
                </w:p>
              </w:tc>
              <w:tc>
                <w:tcPr>
                  <w:tcW w:w="741" w:type="pct"/>
                  <w:shd w:val="clear" w:color="auto" w:fill="auto"/>
                  <w:noWrap w:val="0"/>
                  <w:vAlign w:val="center"/>
                </w:tcPr>
                <w:p w14:paraId="6ACCD7B3">
                  <w:pPr>
                    <w:spacing w:line="340" w:lineRule="exact"/>
                    <w:jc w:val="center"/>
                    <w:rPr>
                      <w:snapToGrid w:val="0"/>
                      <w:kern w:val="18"/>
                      <w:szCs w:val="21"/>
                    </w:rPr>
                  </w:pPr>
                  <w:r>
                    <w:rPr>
                      <w:snapToGrid w:val="0"/>
                      <w:kern w:val="18"/>
                      <w:szCs w:val="21"/>
                    </w:rPr>
                    <w:t>15</w:t>
                  </w:r>
                </w:p>
              </w:tc>
              <w:tc>
                <w:tcPr>
                  <w:tcW w:w="584" w:type="pct"/>
                  <w:shd w:val="clear" w:color="auto" w:fill="auto"/>
                  <w:noWrap w:val="0"/>
                  <w:vAlign w:val="center"/>
                </w:tcPr>
                <w:p w14:paraId="21649DE5">
                  <w:pPr>
                    <w:spacing w:line="340" w:lineRule="exact"/>
                    <w:jc w:val="center"/>
                    <w:rPr>
                      <w:snapToGrid w:val="0"/>
                      <w:kern w:val="18"/>
                      <w:szCs w:val="21"/>
                    </w:rPr>
                  </w:pPr>
                  <w:r>
                    <w:rPr>
                      <w:snapToGrid w:val="0"/>
                      <w:kern w:val="18"/>
                      <w:szCs w:val="21"/>
                    </w:rPr>
                    <w:t>20</w:t>
                  </w:r>
                </w:p>
              </w:tc>
              <w:tc>
                <w:tcPr>
                  <w:tcW w:w="584" w:type="pct"/>
                  <w:shd w:val="clear" w:color="auto" w:fill="auto"/>
                  <w:noWrap w:val="0"/>
                  <w:vAlign w:val="center"/>
                </w:tcPr>
                <w:p w14:paraId="7512AC30">
                  <w:pPr>
                    <w:spacing w:line="340" w:lineRule="exact"/>
                    <w:jc w:val="center"/>
                    <w:rPr>
                      <w:snapToGrid w:val="0"/>
                      <w:kern w:val="18"/>
                      <w:szCs w:val="21"/>
                    </w:rPr>
                  </w:pPr>
                  <w:r>
                    <w:rPr>
                      <w:snapToGrid w:val="0"/>
                      <w:kern w:val="18"/>
                      <w:szCs w:val="21"/>
                    </w:rPr>
                    <w:t>30</w:t>
                  </w:r>
                </w:p>
              </w:tc>
              <w:tc>
                <w:tcPr>
                  <w:tcW w:w="583" w:type="pct"/>
                  <w:shd w:val="clear" w:color="auto" w:fill="D7D7D7" w:themeFill="background1" w:themeFillShade="D8"/>
                  <w:noWrap w:val="0"/>
                  <w:vAlign w:val="center"/>
                </w:tcPr>
                <w:p w14:paraId="13E9BD8B">
                  <w:pPr>
                    <w:spacing w:line="340" w:lineRule="exact"/>
                    <w:jc w:val="center"/>
                    <w:rPr>
                      <w:snapToGrid w:val="0"/>
                      <w:kern w:val="18"/>
                      <w:szCs w:val="21"/>
                    </w:rPr>
                  </w:pPr>
                  <w:r>
                    <w:rPr>
                      <w:snapToGrid w:val="0"/>
                      <w:kern w:val="18"/>
                      <w:szCs w:val="21"/>
                    </w:rPr>
                    <w:t>40</w:t>
                  </w:r>
                </w:p>
              </w:tc>
            </w:tr>
            <w:tr w14:paraId="0561AE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0" w:hRule="exact"/>
                <w:jc w:val="center"/>
              </w:trPr>
              <w:tc>
                <w:tcPr>
                  <w:tcW w:w="585" w:type="pct"/>
                  <w:shd w:val="clear" w:color="auto" w:fill="auto"/>
                  <w:noWrap w:val="0"/>
                  <w:vAlign w:val="center"/>
                </w:tcPr>
                <w:p w14:paraId="3611740A">
                  <w:pPr>
                    <w:spacing w:line="340" w:lineRule="exact"/>
                    <w:jc w:val="center"/>
                    <w:rPr>
                      <w:snapToGrid w:val="0"/>
                      <w:kern w:val="18"/>
                      <w:szCs w:val="21"/>
                    </w:rPr>
                  </w:pPr>
                  <w:r>
                    <w:rPr>
                      <w:snapToGrid w:val="0"/>
                      <w:kern w:val="18"/>
                      <w:szCs w:val="21"/>
                    </w:rPr>
                    <w:t>6</w:t>
                  </w:r>
                </w:p>
              </w:tc>
              <w:tc>
                <w:tcPr>
                  <w:tcW w:w="1921" w:type="pct"/>
                  <w:shd w:val="clear" w:color="auto" w:fill="auto"/>
                  <w:noWrap w:val="0"/>
                  <w:vAlign w:val="center"/>
                </w:tcPr>
                <w:p w14:paraId="5E1FD74E">
                  <w:pPr>
                    <w:spacing w:line="340" w:lineRule="exact"/>
                    <w:jc w:val="center"/>
                    <w:rPr>
                      <w:snapToGrid w:val="0"/>
                      <w:kern w:val="18"/>
                      <w:szCs w:val="21"/>
                    </w:rPr>
                  </w:pPr>
                  <w:r>
                    <w:rPr>
                      <w:snapToGrid w:val="0"/>
                      <w:kern w:val="18"/>
                      <w:szCs w:val="21"/>
                    </w:rPr>
                    <w:t>NH</w:t>
                  </w:r>
                  <w:r>
                    <w:rPr>
                      <w:snapToGrid w:val="0"/>
                      <w:kern w:val="18"/>
                      <w:szCs w:val="21"/>
                      <w:vertAlign w:val="subscript"/>
                    </w:rPr>
                    <w:t>3</w:t>
                  </w:r>
                  <w:r>
                    <w:rPr>
                      <w:snapToGrid w:val="0"/>
                      <w:kern w:val="18"/>
                      <w:szCs w:val="21"/>
                    </w:rPr>
                    <w:t>-N≤</w:t>
                  </w:r>
                </w:p>
              </w:tc>
              <w:tc>
                <w:tcPr>
                  <w:tcW w:w="741" w:type="pct"/>
                  <w:shd w:val="clear" w:color="auto" w:fill="auto"/>
                  <w:noWrap w:val="0"/>
                  <w:vAlign w:val="center"/>
                </w:tcPr>
                <w:p w14:paraId="13BD5803">
                  <w:pPr>
                    <w:spacing w:line="340" w:lineRule="exact"/>
                    <w:jc w:val="center"/>
                    <w:rPr>
                      <w:snapToGrid w:val="0"/>
                      <w:kern w:val="18"/>
                      <w:szCs w:val="21"/>
                    </w:rPr>
                  </w:pPr>
                  <w:r>
                    <w:rPr>
                      <w:snapToGrid w:val="0"/>
                      <w:kern w:val="18"/>
                      <w:szCs w:val="21"/>
                    </w:rPr>
                    <w:t>0.5</w:t>
                  </w:r>
                </w:p>
              </w:tc>
              <w:tc>
                <w:tcPr>
                  <w:tcW w:w="584" w:type="pct"/>
                  <w:shd w:val="clear" w:color="auto" w:fill="auto"/>
                  <w:noWrap w:val="0"/>
                  <w:vAlign w:val="center"/>
                </w:tcPr>
                <w:p w14:paraId="10C36085">
                  <w:pPr>
                    <w:spacing w:line="340" w:lineRule="exact"/>
                    <w:jc w:val="center"/>
                    <w:rPr>
                      <w:snapToGrid w:val="0"/>
                      <w:kern w:val="18"/>
                      <w:szCs w:val="21"/>
                    </w:rPr>
                  </w:pPr>
                  <w:r>
                    <w:rPr>
                      <w:snapToGrid w:val="0"/>
                      <w:kern w:val="18"/>
                      <w:szCs w:val="21"/>
                    </w:rPr>
                    <w:t>1.0</w:t>
                  </w:r>
                </w:p>
              </w:tc>
              <w:tc>
                <w:tcPr>
                  <w:tcW w:w="584" w:type="pct"/>
                  <w:shd w:val="clear" w:color="auto" w:fill="auto"/>
                  <w:noWrap w:val="0"/>
                  <w:vAlign w:val="center"/>
                </w:tcPr>
                <w:p w14:paraId="52C31124">
                  <w:pPr>
                    <w:spacing w:line="340" w:lineRule="exact"/>
                    <w:jc w:val="center"/>
                    <w:rPr>
                      <w:snapToGrid w:val="0"/>
                      <w:kern w:val="18"/>
                      <w:szCs w:val="21"/>
                    </w:rPr>
                  </w:pPr>
                  <w:r>
                    <w:rPr>
                      <w:snapToGrid w:val="0"/>
                      <w:kern w:val="18"/>
                      <w:szCs w:val="21"/>
                    </w:rPr>
                    <w:t>1.5</w:t>
                  </w:r>
                </w:p>
              </w:tc>
              <w:tc>
                <w:tcPr>
                  <w:tcW w:w="583" w:type="pct"/>
                  <w:shd w:val="clear" w:color="auto" w:fill="D7D7D7" w:themeFill="background1" w:themeFillShade="D8"/>
                  <w:noWrap w:val="0"/>
                  <w:vAlign w:val="center"/>
                </w:tcPr>
                <w:p w14:paraId="42BE0B03">
                  <w:pPr>
                    <w:spacing w:line="340" w:lineRule="exact"/>
                    <w:jc w:val="center"/>
                    <w:rPr>
                      <w:snapToGrid w:val="0"/>
                      <w:kern w:val="18"/>
                      <w:szCs w:val="21"/>
                    </w:rPr>
                  </w:pPr>
                  <w:r>
                    <w:rPr>
                      <w:snapToGrid w:val="0"/>
                      <w:kern w:val="18"/>
                      <w:szCs w:val="21"/>
                    </w:rPr>
                    <w:t>2.0</w:t>
                  </w:r>
                </w:p>
              </w:tc>
            </w:tr>
          </w:tbl>
          <w:p w14:paraId="73E4C38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51" w:name="_Toc1767"/>
            <w:r>
              <w:rPr>
                <w:rFonts w:hint="eastAsia" w:ascii="Times New Roman" w:hAnsi="Times New Roman" w:eastAsia="宋体" w:cs="Times New Roman"/>
                <w:b/>
                <w:bCs/>
                <w:color w:val="auto"/>
                <w:sz w:val="24"/>
                <w:szCs w:val="24"/>
                <w:u w:val="none"/>
                <w:lang w:val="en-US" w:eastAsia="zh-CN"/>
              </w:rPr>
              <w:t>3.2.2地表水环境质量现状</w:t>
            </w:r>
            <w:bookmarkEnd w:id="51"/>
          </w:p>
          <w:p w14:paraId="02324AA1">
            <w:pPr>
              <w:keepNext w:val="0"/>
              <w:keepLines w:val="0"/>
              <w:pageBreakBefore w:val="0"/>
              <w:widowControl/>
              <w:kinsoku/>
              <w:wordWrap/>
              <w:overflowPunct/>
              <w:topLinePunct w:val="0"/>
              <w:bidi w:val="0"/>
              <w:spacing w:line="360" w:lineRule="auto"/>
              <w:ind w:firstLine="480" w:firstLineChars="200"/>
              <w:jc w:val="both"/>
              <w:outlineLvl w:val="9"/>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①环境质量现状：</w:t>
            </w:r>
            <w:r>
              <w:rPr>
                <w:rFonts w:hint="default" w:ascii="Times New Roman" w:hAnsi="Times New Roman" w:cs="Times New Roman"/>
                <w:color w:val="auto"/>
                <w:sz w:val="24"/>
                <w:highlight w:val="none"/>
                <w:lang w:val="en-US" w:eastAsia="zh-CN"/>
              </w:rPr>
              <w:t>为了解项目地表水水质环境质量现状，根据《福建省流域水环境质量状况（202</w:t>
            </w:r>
            <w:r>
              <w:rPr>
                <w:rFonts w:hint="eastAsia" w:cs="Times New Roman"/>
                <w:color w:val="auto"/>
                <w:sz w:val="24"/>
                <w:highlight w:val="none"/>
                <w:lang w:val="en-US" w:eastAsia="zh-CN"/>
              </w:rPr>
              <w:t>5</w:t>
            </w:r>
            <w:r>
              <w:rPr>
                <w:rFonts w:hint="eastAsia"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1-8月</w:t>
            </w:r>
            <w:r>
              <w:rPr>
                <w:rFonts w:hint="default" w:ascii="Times New Roman" w:hAnsi="Times New Roman" w:cs="Times New Roman"/>
                <w:color w:val="auto"/>
                <w:sz w:val="24"/>
                <w:highlight w:val="none"/>
                <w:lang w:val="en-US" w:eastAsia="zh-CN"/>
              </w:rPr>
              <w:t>）》（https://sthjt.fujian.gov.cn/zwgk/sjfb/hjsj/qshjzljtb/202510/t20251010_7019202.htm）</w:t>
            </w:r>
            <w:r>
              <w:rPr>
                <w:rFonts w:hint="eastAsia" w:ascii="Times New Roman" w:hAnsi="Times New Roman" w:cs="Times New Roman"/>
                <w:color w:val="auto"/>
                <w:sz w:val="24"/>
                <w:highlight w:val="none"/>
                <w:lang w:val="en-US" w:eastAsia="zh-CN"/>
              </w:rPr>
              <w:t>显示：</w:t>
            </w:r>
            <w:r>
              <w:rPr>
                <w:rFonts w:hint="default" w:ascii="Times New Roman" w:hAnsi="Times New Roman" w:eastAsia="宋体" w:cs="Times New Roman"/>
                <w:color w:val="auto"/>
                <w:sz w:val="24"/>
                <w:highlight w:val="none"/>
                <w:lang w:val="en-US" w:eastAsia="zh-CN"/>
              </w:rPr>
              <w:t>2025年1-8月，全省主要流域总体水质为优，国控断面Ⅰ～Ⅲ类水质比例100％,Ⅰ～Ⅱ类水质比例77.1％；国控及省控断面Ⅰ～Ⅲ类水质比例100％，其中Ⅰ～Ⅱ类水质比例79.2％，各类水质比例如下：Ⅰ类占4.3％，Ⅱ类占74.9％，Ⅲ类占20.8％，无Ⅳ类、Ⅴ类和劣Ⅴ类水</w:t>
            </w:r>
            <w:r>
              <w:rPr>
                <w:rFonts w:hint="eastAsia" w:ascii="Times New Roman" w:hAnsi="Times New Roman" w:eastAsia="宋体" w:cs="Times New Roman"/>
                <w:color w:val="auto"/>
                <w:sz w:val="24"/>
                <w:highlight w:val="none"/>
                <w:lang w:val="en-US" w:eastAsia="zh-CN"/>
              </w:rPr>
              <w:t>（详见图3.2-1）</w:t>
            </w:r>
            <w:r>
              <w:rPr>
                <w:rFonts w:hint="default" w:ascii="Times New Roman" w:hAnsi="Times New Roman" w:eastAsia="宋体" w:cs="Times New Roman"/>
                <w:color w:val="auto"/>
                <w:sz w:val="24"/>
                <w:highlight w:val="none"/>
                <w:lang w:val="en-US" w:eastAsia="zh-CN"/>
              </w:rPr>
              <w:t>。</w:t>
            </w:r>
          </w:p>
          <w:p w14:paraId="6679B9C4">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drawing>
                <wp:inline distT="0" distB="0" distL="114300" distR="114300">
                  <wp:extent cx="5393055" cy="3367405"/>
                  <wp:effectExtent l="0" t="0" r="17145"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3"/>
                          <a:stretch>
                            <a:fillRect/>
                          </a:stretch>
                        </pic:blipFill>
                        <pic:spPr>
                          <a:xfrm>
                            <a:off x="0" y="0"/>
                            <a:ext cx="5393055" cy="3367405"/>
                          </a:xfrm>
                          <a:prstGeom prst="rect">
                            <a:avLst/>
                          </a:prstGeom>
                          <a:noFill/>
                          <a:ln>
                            <a:noFill/>
                          </a:ln>
                        </pic:spPr>
                      </pic:pic>
                    </a:graphicData>
                  </a:graphic>
                </wp:inline>
              </w:drawing>
            </w:r>
          </w:p>
          <w:p w14:paraId="4B2FE36D">
            <w:pPr>
              <w:pStyle w:val="38"/>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default" w:ascii="Times New Roman" w:hAnsi="Times New Roman" w:eastAsia="宋体" w:cs="Times New Roman"/>
                <w:b/>
                <w:bCs w:val="0"/>
                <w:color w:val="auto"/>
                <w:sz w:val="24"/>
                <w:szCs w:val="24"/>
                <w:lang w:val="en-US" w:eastAsia="zh-CN"/>
              </w:rPr>
            </w:pPr>
            <w:bookmarkStart w:id="52" w:name="_Toc17711"/>
            <w:r>
              <w:rPr>
                <w:rFonts w:hint="eastAsia" w:ascii="Times New Roman" w:hAnsi="Times New Roman" w:eastAsia="宋体" w:cs="Times New Roman"/>
                <w:b/>
                <w:bCs w:val="0"/>
                <w:color w:val="auto"/>
                <w:sz w:val="24"/>
                <w:szCs w:val="24"/>
                <w:lang w:val="en-US" w:eastAsia="zh-CN"/>
              </w:rPr>
              <w:t>图3.</w:t>
            </w:r>
            <w:r>
              <w:rPr>
                <w:rFonts w:hint="eastAsia" w:cs="Times New Roman"/>
                <w:b/>
                <w:bCs w:val="0"/>
                <w:color w:val="auto"/>
                <w:sz w:val="24"/>
                <w:szCs w:val="24"/>
                <w:lang w:val="en-US" w:eastAsia="zh-CN"/>
              </w:rPr>
              <w:t>2</w:t>
            </w:r>
            <w:r>
              <w:rPr>
                <w:rFonts w:hint="eastAsia" w:ascii="Times New Roman" w:hAnsi="Times New Roman" w:eastAsia="宋体" w:cs="Times New Roman"/>
                <w:b/>
                <w:bCs w:val="0"/>
                <w:color w:val="auto"/>
                <w:sz w:val="24"/>
                <w:szCs w:val="24"/>
                <w:lang w:val="en-US" w:eastAsia="zh-CN"/>
              </w:rPr>
              <w:t>-</w:t>
            </w:r>
            <w:r>
              <w:rPr>
                <w:rFonts w:hint="eastAsia" w:cs="Times New Roman"/>
                <w:b/>
                <w:bCs w:val="0"/>
                <w:color w:val="auto"/>
                <w:sz w:val="24"/>
                <w:szCs w:val="24"/>
                <w:lang w:val="en-US" w:eastAsia="zh-CN"/>
              </w:rPr>
              <w:t>1</w:t>
            </w:r>
            <w:r>
              <w:rPr>
                <w:rFonts w:hint="eastAsia" w:ascii="Times New Roman" w:hAnsi="Times New Roman" w:eastAsia="宋体" w:cs="Times New Roman"/>
                <w:b/>
                <w:bCs w:val="0"/>
                <w:color w:val="auto"/>
                <w:sz w:val="24"/>
                <w:szCs w:val="24"/>
                <w:lang w:val="en-US" w:eastAsia="zh-CN"/>
              </w:rPr>
              <w:t xml:space="preserve">  </w:t>
            </w:r>
            <w:r>
              <w:rPr>
                <w:rFonts w:hint="eastAsia" w:cs="Times New Roman"/>
                <w:b/>
                <w:bCs w:val="0"/>
                <w:color w:val="auto"/>
                <w:sz w:val="24"/>
                <w:szCs w:val="24"/>
                <w:lang w:val="en-US" w:eastAsia="zh-CN"/>
              </w:rPr>
              <w:t>福建省流域水环境质量状况（2025年1-8月）截图</w:t>
            </w:r>
            <w:bookmarkEnd w:id="52"/>
          </w:p>
          <w:p w14:paraId="126AD857">
            <w:pPr>
              <w:keepNext w:val="0"/>
              <w:keepLines w:val="0"/>
              <w:pageBreakBefore w:val="0"/>
              <w:widowControl/>
              <w:kinsoku/>
              <w:wordWrap/>
              <w:overflowPunct/>
              <w:topLinePunct w:val="0"/>
              <w:bidi w:val="0"/>
              <w:spacing w:line="360" w:lineRule="auto"/>
              <w:ind w:firstLine="480" w:firstLineChars="200"/>
              <w:jc w:val="left"/>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综上，项目所在区域水质状况良好，属于达标区。项目</w:t>
            </w:r>
            <w:r>
              <w:rPr>
                <w:rFonts w:hint="default" w:ascii="Times New Roman" w:hAnsi="Times New Roman" w:eastAsia="宋体" w:cs="Times New Roman"/>
                <w:color w:val="auto"/>
                <w:sz w:val="24"/>
                <w:szCs w:val="24"/>
                <w:highlight w:val="none"/>
                <w:lang w:eastAsia="zh-CN"/>
              </w:rPr>
              <w:t>生产过程中仅产生间接冷却水，不外排。生活污水经化粪池处理后排入市政污水管网，送往</w:t>
            </w:r>
            <w:r>
              <w:rPr>
                <w:rFonts w:hint="default" w:ascii="Times New Roman" w:hAnsi="Times New Roman" w:eastAsia="宋体" w:cs="Times New Roman"/>
                <w:color w:val="auto"/>
                <w:sz w:val="24"/>
                <w:szCs w:val="22"/>
                <w:highlight w:val="none"/>
                <w:lang w:eastAsia="zh-CN"/>
              </w:rPr>
              <w:t>福清市融元污水处理厂</w:t>
            </w:r>
            <w:r>
              <w:rPr>
                <w:rFonts w:hint="default" w:ascii="Times New Roman" w:hAnsi="Times New Roman" w:eastAsia="宋体" w:cs="Times New Roman"/>
                <w:color w:val="auto"/>
                <w:sz w:val="24"/>
                <w:szCs w:val="22"/>
                <w:highlight w:val="none"/>
              </w:rPr>
              <w:t>进行处理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污水处理厂</w:t>
            </w:r>
            <w:r>
              <w:rPr>
                <w:rFonts w:hint="default" w:ascii="Times New Roman" w:hAnsi="Times New Roman" w:eastAsia="宋体" w:cs="Times New Roman"/>
                <w:color w:val="auto"/>
                <w:sz w:val="24"/>
                <w:highlight w:val="none"/>
              </w:rPr>
              <w:t>尾水排入龙江，所处龙江</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南门桥水闸至龙江入海口</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断面</w:t>
            </w:r>
            <w:r>
              <w:rPr>
                <w:rFonts w:hint="default" w:ascii="Times New Roman" w:hAnsi="Times New Roman" w:eastAsia="宋体" w:cs="Times New Roman"/>
                <w:color w:val="auto"/>
                <w:sz w:val="24"/>
                <w:highlight w:val="none"/>
                <w:lang w:val="en-US" w:eastAsia="zh-CN"/>
              </w:rPr>
              <w:t>，不直接排入周边地表水体，几乎不会改变周边水环境质量现状。</w:t>
            </w:r>
          </w:p>
          <w:p w14:paraId="5406193E">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bottom"/>
              <w:outlineLvl w:val="9"/>
              <w:rPr>
                <w:rFonts w:hint="default"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②引用资料的有效性分析</w:t>
            </w:r>
          </w:p>
          <w:p w14:paraId="5193CEAC">
            <w:pPr>
              <w:pStyle w:val="34"/>
              <w:keepNext w:val="0"/>
              <w:keepLines w:val="0"/>
              <w:pageBreakBefore w:val="0"/>
              <w:kinsoku/>
              <w:wordWrap/>
              <w:overflowPunct/>
              <w:topLinePunct w:val="0"/>
              <w:bidi w:val="0"/>
              <w:spacing w:line="360" w:lineRule="auto"/>
              <w:ind w:firstLine="480"/>
              <w:outlineLvl w:val="9"/>
              <w:rPr>
                <w:rFonts w:hint="default"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根据《建设项目环境影响报告表编制技术指南（污染影响类）（试行）》（环办环评〔2020〕33号）的要求：</w:t>
            </w:r>
            <w:r>
              <w:rPr>
                <w:rFonts w:hint="eastAsia" w:ascii="Times New Roman" w:hAnsi="Times New Roman" w:eastAsia="宋体"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ascii="Times New Roman" w:hAnsi="Times New Roman" w:eastAsia="宋体"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。本评价引用福建省生态环境厅网站发布地表水水质环境质量现状进行分析，符合《建设项目环境影响报告表编制技术指南（污染影响类）（试行）》（环办环评〔2020〕33号）的要求。</w:t>
            </w:r>
          </w:p>
          <w:p w14:paraId="64B0FE7F">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53" w:name="_Toc21402"/>
            <w:r>
              <w:rPr>
                <w:rFonts w:hint="eastAsia" w:ascii="Times New Roman" w:hAnsi="Times New Roman" w:eastAsia="宋体" w:cs="Times New Roman"/>
                <w:color w:val="auto"/>
                <w:sz w:val="28"/>
                <w:szCs w:val="28"/>
                <w:u w:val="none"/>
                <w:lang w:val="en-US" w:eastAsia="zh-CN"/>
              </w:rPr>
              <w:t>3.3声环境质量现状</w:t>
            </w:r>
            <w:bookmarkEnd w:id="53"/>
          </w:p>
          <w:p w14:paraId="07921D8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54" w:name="_Toc6299"/>
            <w:r>
              <w:rPr>
                <w:rFonts w:hint="default" w:ascii="Times New Roman" w:hAnsi="Times New Roman" w:eastAsia="宋体" w:cs="Times New Roman"/>
                <w:b/>
                <w:bCs/>
                <w:color w:val="auto"/>
                <w:sz w:val="24"/>
                <w:szCs w:val="24"/>
                <w:u w:val="none"/>
                <w:lang w:val="en-US" w:eastAsia="zh-CN"/>
              </w:rPr>
              <w:t>3.</w:t>
            </w:r>
            <w:r>
              <w:rPr>
                <w:rFonts w:hint="eastAsia" w:ascii="Times New Roman" w:hAnsi="Times New Roman" w:eastAsia="宋体" w:cs="Times New Roman"/>
                <w:b/>
                <w:bCs/>
                <w:color w:val="auto"/>
                <w:sz w:val="24"/>
                <w:szCs w:val="24"/>
                <w:u w:val="none"/>
                <w:lang w:val="en-US" w:eastAsia="zh-CN"/>
              </w:rPr>
              <w:t>3</w:t>
            </w:r>
            <w:r>
              <w:rPr>
                <w:rFonts w:hint="default" w:ascii="Times New Roman" w:hAnsi="Times New Roman" w:eastAsia="宋体" w:cs="Times New Roman"/>
                <w:b/>
                <w:bCs/>
                <w:color w:val="auto"/>
                <w:sz w:val="24"/>
                <w:szCs w:val="24"/>
                <w:u w:val="none"/>
                <w:lang w:val="en-US" w:eastAsia="zh-CN"/>
              </w:rPr>
              <w:t>.1</w:t>
            </w:r>
            <w:r>
              <w:rPr>
                <w:rFonts w:hint="eastAsia" w:ascii="Times New Roman" w:hAnsi="Times New Roman" w:eastAsia="宋体" w:cs="Times New Roman"/>
                <w:b/>
                <w:bCs/>
                <w:color w:val="auto"/>
                <w:sz w:val="24"/>
                <w:szCs w:val="24"/>
                <w:u w:val="none"/>
                <w:lang w:val="en-US" w:eastAsia="zh-CN"/>
              </w:rPr>
              <w:t>声环境质量标准</w:t>
            </w:r>
            <w:bookmarkEnd w:id="54"/>
          </w:p>
          <w:p w14:paraId="29FE6FEA">
            <w:pPr>
              <w:widowControl/>
              <w:spacing w:line="360" w:lineRule="auto"/>
              <w:ind w:firstLine="480" w:firstLineChars="200"/>
              <w:jc w:val="left"/>
              <w:rPr>
                <w:sz w:val="24"/>
              </w:rPr>
            </w:pPr>
            <w:r>
              <w:rPr>
                <w:rFonts w:hint="default" w:ascii="Times New Roman" w:hAnsi="Times New Roman" w:eastAsia="宋体" w:cs="Times New Roman"/>
                <w:color w:val="auto"/>
                <w:kern w:val="0"/>
                <w:sz w:val="24"/>
                <w:szCs w:val="28"/>
                <w:highlight w:val="none"/>
                <w:lang w:val="en-US" w:eastAsia="zh-CN" w:bidi="ar-SA"/>
              </w:rPr>
              <w:t>根据《福清市人民政府办公室关于印发福清市城市建成区声环境功能区划的通知》融政办〔2022〕48号可知，项目所在区域划为3类功能区</w:t>
            </w:r>
            <w:r>
              <w:rPr>
                <w:rFonts w:hint="eastAsia" w:ascii="Times New Roman" w:hAnsi="Times New Roman" w:eastAsia="宋体"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执行GB3096-2008《声环境质量标准》中的3类标准</w:t>
            </w:r>
            <w:r>
              <w:rPr>
                <w:rFonts w:hint="eastAsia" w:ascii="Times New Roman" w:hAnsi="Times New Roman" w:eastAsia="宋体" w:cs="Times New Roman"/>
                <w:color w:val="auto"/>
                <w:kern w:val="0"/>
                <w:sz w:val="24"/>
                <w:szCs w:val="28"/>
                <w:highlight w:val="none"/>
                <w:lang w:val="en-US" w:eastAsia="zh-CN" w:bidi="ar-SA"/>
              </w:rPr>
              <w:t>，详见表3.3-1</w:t>
            </w:r>
            <w:r>
              <w:rPr>
                <w:rFonts w:hint="eastAsia"/>
                <w:sz w:val="24"/>
              </w:rPr>
              <w:t>。</w:t>
            </w:r>
          </w:p>
          <w:p w14:paraId="2C9C2442">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表3.3-1 《声环境质量标准》（</w:t>
            </w:r>
            <w:r>
              <w:rPr>
                <w:rFonts w:hint="default" w:ascii="Times New Roman" w:hAnsi="Times New Roman" w:eastAsia="宋体" w:cs="Times New Roman"/>
                <w:b/>
                <w:bCs/>
                <w:color w:val="auto"/>
                <w:sz w:val="24"/>
                <w:szCs w:val="24"/>
                <w:u w:val="none"/>
                <w:lang w:val="en-US" w:eastAsia="zh-CN"/>
              </w:rPr>
              <w:t>GB3096-2008</w:t>
            </w:r>
            <w:r>
              <w:rPr>
                <w:rFonts w:hint="eastAsia" w:ascii="Times New Roman" w:hAnsi="Times New Roman" w:eastAsia="宋体" w:cs="Times New Roman"/>
                <w:b/>
                <w:bCs/>
                <w:color w:val="auto"/>
                <w:sz w:val="24"/>
                <w:szCs w:val="24"/>
                <w:u w:val="none"/>
                <w:lang w:val="en-US" w:eastAsia="zh-CN"/>
              </w:rPr>
              <w:t>）摘录</w:t>
            </w:r>
            <w:r>
              <w:rPr>
                <w:rFonts w:hint="eastAsia" w:cs="Times New Roman"/>
                <w:b/>
                <w:bCs/>
                <w:color w:val="auto"/>
                <w:sz w:val="24"/>
                <w:szCs w:val="24"/>
                <w:u w:val="none"/>
                <w:lang w:val="en-US" w:eastAsia="zh-CN"/>
              </w:rPr>
              <w:t>（单位：dB）</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5584"/>
              <w:gridCol w:w="859"/>
              <w:gridCol w:w="767"/>
            </w:tblGrid>
            <w:tr w14:paraId="08F39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tblHeader/>
              </w:trPr>
              <w:tc>
                <w:tcPr>
                  <w:tcW w:w="811" w:type="pct"/>
                  <w:noWrap w:val="0"/>
                  <w:vAlign w:val="center"/>
                </w:tcPr>
                <w:p w14:paraId="52564316">
                  <w:pPr>
                    <w:jc w:val="center"/>
                    <w:rPr>
                      <w:szCs w:val="21"/>
                    </w:rPr>
                  </w:pPr>
                  <w:r>
                    <w:rPr>
                      <w:szCs w:val="21"/>
                    </w:rPr>
                    <w:t>类别</w:t>
                  </w:r>
                </w:p>
              </w:tc>
              <w:tc>
                <w:tcPr>
                  <w:tcW w:w="3243" w:type="pct"/>
                  <w:noWrap w:val="0"/>
                  <w:vAlign w:val="center"/>
                </w:tcPr>
                <w:p w14:paraId="20AB74F7">
                  <w:pPr>
                    <w:jc w:val="center"/>
                    <w:rPr>
                      <w:szCs w:val="21"/>
                    </w:rPr>
                  </w:pPr>
                  <w:r>
                    <w:rPr>
                      <w:szCs w:val="21"/>
                    </w:rPr>
                    <w:t>适用区域</w:t>
                  </w:r>
                </w:p>
              </w:tc>
              <w:tc>
                <w:tcPr>
                  <w:tcW w:w="499" w:type="pct"/>
                  <w:noWrap w:val="0"/>
                  <w:vAlign w:val="center"/>
                </w:tcPr>
                <w:p w14:paraId="40CAF3BB">
                  <w:pPr>
                    <w:jc w:val="center"/>
                    <w:rPr>
                      <w:szCs w:val="21"/>
                    </w:rPr>
                  </w:pPr>
                  <w:r>
                    <w:rPr>
                      <w:szCs w:val="21"/>
                    </w:rPr>
                    <w:t>昼间</w:t>
                  </w:r>
                </w:p>
              </w:tc>
              <w:tc>
                <w:tcPr>
                  <w:tcW w:w="445" w:type="pct"/>
                  <w:noWrap w:val="0"/>
                  <w:vAlign w:val="center"/>
                </w:tcPr>
                <w:p w14:paraId="263B0BE6">
                  <w:pPr>
                    <w:jc w:val="center"/>
                    <w:rPr>
                      <w:szCs w:val="21"/>
                    </w:rPr>
                  </w:pPr>
                  <w:r>
                    <w:rPr>
                      <w:szCs w:val="21"/>
                    </w:rPr>
                    <w:t>夜间</w:t>
                  </w:r>
                </w:p>
              </w:tc>
            </w:tr>
            <w:tr w14:paraId="77983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811" w:type="pct"/>
                  <w:noWrap w:val="0"/>
                  <w:vAlign w:val="center"/>
                </w:tcPr>
                <w:p w14:paraId="43BFA7A4">
                  <w:pPr>
                    <w:jc w:val="center"/>
                    <w:rPr>
                      <w:szCs w:val="21"/>
                    </w:rPr>
                  </w:pPr>
                  <w:r>
                    <w:rPr>
                      <w:rFonts w:hint="eastAsia"/>
                      <w:szCs w:val="21"/>
                    </w:rPr>
                    <w:t>3</w:t>
                  </w:r>
                  <w:r>
                    <w:rPr>
                      <w:szCs w:val="21"/>
                    </w:rPr>
                    <w:t>类</w:t>
                  </w:r>
                </w:p>
              </w:tc>
              <w:tc>
                <w:tcPr>
                  <w:tcW w:w="3243" w:type="pct"/>
                  <w:noWrap w:val="0"/>
                  <w:vAlign w:val="center"/>
                </w:tcPr>
                <w:p w14:paraId="22BB0B0B">
                  <w:pPr>
                    <w:jc w:val="center"/>
                    <w:rPr>
                      <w:szCs w:val="21"/>
                    </w:rPr>
                  </w:pPr>
                  <w:r>
                    <w:rPr>
                      <w:szCs w:val="21"/>
                    </w:rPr>
                    <w:t>以工业生产、仓储物流为主要功能，需要防止工业噪声对周围环境产生严重影响的区域</w:t>
                  </w:r>
                </w:p>
              </w:tc>
              <w:tc>
                <w:tcPr>
                  <w:tcW w:w="499" w:type="pct"/>
                  <w:noWrap w:val="0"/>
                  <w:vAlign w:val="center"/>
                </w:tcPr>
                <w:p w14:paraId="099CB0AE">
                  <w:pPr>
                    <w:jc w:val="center"/>
                    <w:rPr>
                      <w:rFonts w:hint="eastAsia"/>
                      <w:szCs w:val="21"/>
                    </w:rPr>
                  </w:pPr>
                  <w:r>
                    <w:rPr>
                      <w:rFonts w:hint="eastAsia"/>
                      <w:szCs w:val="21"/>
                      <w:lang w:val="en-US" w:eastAsia="zh-CN"/>
                    </w:rPr>
                    <w:t>≤</w:t>
                  </w:r>
                  <w:r>
                    <w:rPr>
                      <w:szCs w:val="21"/>
                    </w:rPr>
                    <w:t>6</w:t>
                  </w:r>
                  <w:r>
                    <w:rPr>
                      <w:rFonts w:hint="eastAsia"/>
                      <w:szCs w:val="21"/>
                    </w:rPr>
                    <w:t>5</w:t>
                  </w:r>
                </w:p>
              </w:tc>
              <w:tc>
                <w:tcPr>
                  <w:tcW w:w="445" w:type="pct"/>
                  <w:noWrap w:val="0"/>
                  <w:vAlign w:val="center"/>
                </w:tcPr>
                <w:p w14:paraId="0D17D597">
                  <w:pPr>
                    <w:jc w:val="center"/>
                    <w:rPr>
                      <w:rFonts w:hint="eastAsia"/>
                      <w:szCs w:val="21"/>
                    </w:rPr>
                  </w:pPr>
                  <w:r>
                    <w:rPr>
                      <w:rFonts w:hint="eastAsia"/>
                      <w:szCs w:val="21"/>
                      <w:lang w:val="en-US" w:eastAsia="zh-CN"/>
                    </w:rPr>
                    <w:t>≤</w:t>
                  </w:r>
                  <w:r>
                    <w:rPr>
                      <w:szCs w:val="21"/>
                    </w:rPr>
                    <w:t>5</w:t>
                  </w:r>
                  <w:r>
                    <w:rPr>
                      <w:rFonts w:hint="eastAsia"/>
                      <w:szCs w:val="21"/>
                    </w:rPr>
                    <w:t>5</w:t>
                  </w:r>
                </w:p>
              </w:tc>
            </w:tr>
          </w:tbl>
          <w:p w14:paraId="3F9B5B2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55" w:name="_Toc15679"/>
            <w:r>
              <w:rPr>
                <w:rFonts w:hint="eastAsia" w:ascii="Times New Roman" w:hAnsi="Times New Roman" w:eastAsia="宋体" w:cs="Times New Roman"/>
                <w:b/>
                <w:bCs/>
                <w:color w:val="auto"/>
                <w:sz w:val="24"/>
                <w:szCs w:val="24"/>
                <w:u w:val="none"/>
                <w:lang w:val="en-US" w:eastAsia="zh-CN"/>
              </w:rPr>
              <w:t>3.3.2声环境质量现状</w:t>
            </w:r>
            <w:bookmarkEnd w:id="55"/>
          </w:p>
          <w:p w14:paraId="04FE6B5B">
            <w:pPr>
              <w:widowControl/>
              <w:spacing w:line="360" w:lineRule="auto"/>
              <w:ind w:firstLine="480" w:firstLineChars="200"/>
              <w:jc w:val="left"/>
              <w:rPr>
                <w:rFonts w:hint="default"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生态环境部环境工程评估中心《建设项目环境影响报告表》内容、格式及编制技术指南常见问题解答厂界外周边50米范围内存在声环境保护目标的建设项目，应监测声环境质量现状，监测点位为声环境保护目标处。厂界外周边50米范围内无声环境保护目标的建设项目，不再要求提供声环境质量现状监测数据。</w:t>
            </w:r>
          </w:p>
          <w:p w14:paraId="14098745">
            <w:pPr>
              <w:widowControl/>
              <w:spacing w:line="360" w:lineRule="auto"/>
              <w:ind w:firstLine="480" w:firstLineChars="200"/>
              <w:jc w:val="left"/>
              <w:rPr>
                <w:rFonts w:hint="eastAsia"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根据现场踏勘可知，项目周边50米范围内无声环境保护目标</w:t>
            </w:r>
            <w:r>
              <w:rPr>
                <w:rFonts w:hint="eastAsia" w:ascii="Times New Roman" w:hAnsi="Times New Roman" w:eastAsia="宋体" w:cs="Times New Roman"/>
                <w:color w:val="auto"/>
                <w:kern w:val="0"/>
                <w:sz w:val="24"/>
                <w:szCs w:val="28"/>
                <w:highlight w:val="none"/>
                <w:lang w:val="en-US" w:eastAsia="zh-CN" w:bidi="ar-SA"/>
              </w:rPr>
              <w:t>，依据《建设项目环境影响报告表编制技术指南（污染影响类）（试行）》，故本项目不需要开展声环境现状监测。</w:t>
            </w:r>
          </w:p>
          <w:p w14:paraId="00F16D4E">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56" w:name="_Toc21902"/>
            <w:r>
              <w:rPr>
                <w:rFonts w:hint="eastAsia" w:ascii="Times New Roman" w:hAnsi="Times New Roman" w:eastAsia="宋体" w:cs="Times New Roman"/>
                <w:color w:val="auto"/>
                <w:sz w:val="28"/>
                <w:szCs w:val="28"/>
                <w:u w:val="none"/>
                <w:lang w:val="en-US" w:eastAsia="zh-CN"/>
              </w:rPr>
              <w:t>3.4生态环境</w:t>
            </w:r>
            <w:bookmarkEnd w:id="56"/>
          </w:p>
          <w:p w14:paraId="7FE4E1FA">
            <w:pPr>
              <w:widowControl/>
              <w:spacing w:line="360" w:lineRule="auto"/>
              <w:ind w:firstLine="480" w:firstLineChars="200"/>
              <w:jc w:val="left"/>
              <w:rPr>
                <w:rFonts w:hint="default" w:ascii="Times New Roman" w:hAnsi="Times New Roman" w:eastAsia="宋体" w:cs="Times New Roman"/>
                <w:color w:val="auto"/>
                <w:kern w:val="0"/>
                <w:sz w:val="24"/>
                <w:szCs w:val="28"/>
                <w:highlight w:val="none"/>
                <w:lang w:val="zh-CN" w:eastAsia="zh-CN" w:bidi="ar-SA"/>
              </w:rPr>
            </w:pPr>
            <w:r>
              <w:rPr>
                <w:rFonts w:hint="eastAsia" w:ascii="Times New Roman" w:hAnsi="Times New Roman" w:eastAsia="宋体" w:cs="Times New Roman"/>
                <w:color w:val="auto"/>
                <w:kern w:val="0"/>
                <w:sz w:val="24"/>
                <w:szCs w:val="28"/>
                <w:highlight w:val="none"/>
                <w:lang w:val="en-US" w:eastAsia="zh-CN" w:bidi="ar-SA"/>
              </w:rPr>
              <w:t>本项目购买已建厂房作为生产经营场所，未新增土地用地面积，</w:t>
            </w:r>
            <w:r>
              <w:rPr>
                <w:rFonts w:hint="default" w:ascii="Times New Roman" w:hAnsi="Times New Roman" w:eastAsia="宋体" w:cs="Times New Roman"/>
                <w:color w:val="auto"/>
                <w:kern w:val="0"/>
                <w:sz w:val="24"/>
                <w:szCs w:val="28"/>
                <w:highlight w:val="none"/>
                <w:lang w:val="en-US" w:eastAsia="zh-CN" w:bidi="ar-SA"/>
              </w:rPr>
              <w:t>根据调查，</w:t>
            </w:r>
            <w:r>
              <w:rPr>
                <w:rFonts w:hint="default" w:ascii="Times New Roman" w:hAnsi="Times New Roman" w:eastAsia="宋体" w:cs="Times New Roman"/>
                <w:color w:val="auto"/>
                <w:kern w:val="0"/>
                <w:sz w:val="24"/>
                <w:szCs w:val="28"/>
                <w:highlight w:val="none"/>
                <w:lang w:val="zh-CN" w:eastAsia="zh-CN" w:bidi="ar-SA"/>
              </w:rPr>
              <w:t>项目用地周边</w:t>
            </w:r>
            <w:r>
              <w:rPr>
                <w:rFonts w:hint="eastAsia" w:ascii="Times New Roman" w:hAnsi="Times New Roman" w:eastAsia="宋体" w:cs="Times New Roman"/>
                <w:color w:val="auto"/>
                <w:kern w:val="0"/>
                <w:sz w:val="24"/>
                <w:szCs w:val="28"/>
                <w:highlight w:val="none"/>
                <w:lang w:val="zh-CN" w:eastAsia="zh-CN" w:bidi="ar-SA"/>
              </w:rPr>
              <w:t>以</w:t>
            </w:r>
            <w:r>
              <w:rPr>
                <w:rFonts w:hint="default" w:ascii="Times New Roman" w:hAnsi="Times New Roman" w:eastAsia="宋体" w:cs="Times New Roman"/>
                <w:color w:val="auto"/>
                <w:kern w:val="0"/>
                <w:sz w:val="24"/>
                <w:szCs w:val="28"/>
                <w:highlight w:val="none"/>
                <w:lang w:val="zh-CN" w:eastAsia="zh-CN" w:bidi="ar-SA"/>
              </w:rPr>
              <w:t>城市道路、其他</w:t>
            </w:r>
            <w:r>
              <w:rPr>
                <w:rFonts w:hint="eastAsia" w:ascii="Times New Roman" w:hAnsi="Times New Roman" w:eastAsia="宋体" w:cs="Times New Roman"/>
                <w:color w:val="auto"/>
                <w:kern w:val="0"/>
                <w:sz w:val="24"/>
                <w:szCs w:val="28"/>
                <w:highlight w:val="none"/>
                <w:lang w:val="zh-CN" w:eastAsia="zh-CN" w:bidi="ar-SA"/>
              </w:rPr>
              <w:t>工业</w:t>
            </w:r>
            <w:r>
              <w:rPr>
                <w:rFonts w:hint="default" w:ascii="Times New Roman" w:hAnsi="Times New Roman" w:eastAsia="宋体" w:cs="Times New Roman"/>
                <w:color w:val="auto"/>
                <w:kern w:val="0"/>
                <w:sz w:val="24"/>
                <w:szCs w:val="28"/>
                <w:highlight w:val="none"/>
                <w:lang w:val="zh-CN" w:eastAsia="zh-CN" w:bidi="ar-SA"/>
              </w:rPr>
              <w:t>企业</w:t>
            </w:r>
            <w:r>
              <w:rPr>
                <w:rFonts w:hint="eastAsia" w:ascii="Times New Roman" w:hAnsi="Times New Roman" w:eastAsia="宋体" w:cs="Times New Roman"/>
                <w:color w:val="auto"/>
                <w:kern w:val="0"/>
                <w:sz w:val="24"/>
                <w:szCs w:val="28"/>
                <w:highlight w:val="none"/>
                <w:lang w:val="zh-CN" w:eastAsia="zh-CN" w:bidi="ar-SA"/>
              </w:rPr>
              <w:t>、</w:t>
            </w:r>
            <w:r>
              <w:rPr>
                <w:rFonts w:hint="eastAsia" w:ascii="Times New Roman" w:hAnsi="Times New Roman" w:eastAsia="宋体" w:cs="Times New Roman"/>
                <w:color w:val="auto"/>
                <w:kern w:val="0"/>
                <w:sz w:val="24"/>
                <w:szCs w:val="28"/>
                <w:highlight w:val="none"/>
                <w:lang w:val="en-US" w:eastAsia="zh-CN" w:bidi="ar-SA"/>
              </w:rPr>
              <w:t>居住区</w:t>
            </w:r>
            <w:r>
              <w:rPr>
                <w:rFonts w:hint="default" w:ascii="Times New Roman" w:hAnsi="Times New Roman" w:eastAsia="宋体" w:cs="Times New Roman"/>
                <w:color w:val="auto"/>
                <w:kern w:val="0"/>
                <w:sz w:val="24"/>
                <w:szCs w:val="28"/>
                <w:highlight w:val="none"/>
                <w:lang w:val="zh-CN" w:eastAsia="zh-CN" w:bidi="ar-SA"/>
              </w:rPr>
              <w:t>等</w:t>
            </w:r>
            <w:r>
              <w:rPr>
                <w:rFonts w:hint="eastAsia" w:ascii="Times New Roman" w:hAnsi="Times New Roman" w:eastAsia="宋体" w:cs="Times New Roman"/>
                <w:color w:val="auto"/>
                <w:kern w:val="0"/>
                <w:sz w:val="24"/>
                <w:szCs w:val="28"/>
                <w:highlight w:val="none"/>
                <w:lang w:val="zh-CN" w:eastAsia="zh-CN" w:bidi="ar-SA"/>
              </w:rPr>
              <w:t>为主</w:t>
            </w:r>
            <w:r>
              <w:rPr>
                <w:rFonts w:hint="default" w:ascii="Times New Roman" w:hAnsi="Times New Roman" w:eastAsia="宋体" w:cs="Times New Roman"/>
                <w:color w:val="auto"/>
                <w:kern w:val="0"/>
                <w:sz w:val="24"/>
                <w:szCs w:val="28"/>
                <w:highlight w:val="none"/>
                <w:lang w:val="zh-CN" w:eastAsia="zh-CN" w:bidi="ar-SA"/>
              </w:rPr>
              <w:t>，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p>
          <w:p w14:paraId="570D4855">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57" w:name="_Toc5723"/>
            <w:r>
              <w:rPr>
                <w:rFonts w:hint="eastAsia" w:ascii="Times New Roman" w:hAnsi="Times New Roman" w:eastAsia="宋体" w:cs="Times New Roman"/>
                <w:color w:val="auto"/>
                <w:sz w:val="28"/>
                <w:szCs w:val="28"/>
                <w:u w:val="none"/>
                <w:lang w:val="en-US" w:eastAsia="zh-CN"/>
              </w:rPr>
              <w:t>3.</w:t>
            </w:r>
            <w:r>
              <w:rPr>
                <w:rFonts w:hint="eastAsia" w:ascii="Times New Roman" w:hAnsi="Times New Roman" w:cs="Times New Roman"/>
                <w:color w:val="auto"/>
                <w:sz w:val="28"/>
                <w:szCs w:val="28"/>
                <w:u w:val="none"/>
                <w:lang w:val="en-US" w:eastAsia="zh-CN"/>
              </w:rPr>
              <w:t>5</w:t>
            </w:r>
            <w:r>
              <w:rPr>
                <w:rFonts w:hint="eastAsia" w:ascii="Times New Roman" w:hAnsi="Times New Roman" w:eastAsia="宋体" w:cs="Times New Roman"/>
                <w:color w:val="auto"/>
                <w:sz w:val="28"/>
                <w:szCs w:val="28"/>
                <w:u w:val="none"/>
                <w:lang w:val="en-US" w:eastAsia="zh-CN"/>
              </w:rPr>
              <w:t>土壤、地下水环境</w:t>
            </w:r>
            <w:bookmarkEnd w:id="57"/>
          </w:p>
          <w:p w14:paraId="1E03A132">
            <w:pPr>
              <w:widowControl/>
              <w:spacing w:line="360" w:lineRule="auto"/>
              <w:ind w:firstLine="480" w:firstLineChars="200"/>
              <w:jc w:val="left"/>
              <w:rPr>
                <w:rFonts w:hint="eastAsia"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根据《建设项目环境影响报告表编制技术指南</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污染影响类</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试行</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环办环评〔2020〕33号</w:t>
            </w:r>
            <w:r>
              <w:rPr>
                <w:rFonts w:hint="eastAsia" w:cs="Times New Roman"/>
                <w:color w:val="auto"/>
                <w:kern w:val="0"/>
                <w:sz w:val="24"/>
                <w:szCs w:val="28"/>
                <w:highlight w:val="none"/>
                <w:lang w:val="en-US" w:eastAsia="zh-CN" w:bidi="ar-SA"/>
              </w:rPr>
              <w:t>）</w:t>
            </w:r>
            <w:r>
              <w:rPr>
                <w:rFonts w:hint="eastAsia" w:ascii="Times New Roman" w:hAnsi="Times New Roman" w:eastAsia="宋体" w:cs="Times New Roman"/>
                <w:color w:val="auto"/>
                <w:kern w:val="0"/>
                <w:sz w:val="24"/>
                <w:szCs w:val="28"/>
                <w:highlight w:val="none"/>
                <w:lang w:val="en-US" w:eastAsia="zh-CN" w:bidi="ar-SA"/>
              </w:rPr>
              <w:t>规定，“</w:t>
            </w:r>
            <w:r>
              <w:rPr>
                <w:rFonts w:hint="default" w:ascii="Times New Roman" w:hAnsi="Times New Roman" w:eastAsia="宋体" w:cs="Times New Roman"/>
                <w:color w:val="auto"/>
                <w:kern w:val="0"/>
                <w:sz w:val="24"/>
                <w:szCs w:val="28"/>
                <w:highlight w:val="none"/>
                <w:lang w:val="en-US" w:eastAsia="zh-CN" w:bidi="ar-SA"/>
              </w:rPr>
              <w:t>地下水、土壤环境</w:t>
            </w:r>
            <w:r>
              <w:rPr>
                <w:rFonts w:hint="eastAsia" w:ascii="Times New Roman" w:hAnsi="Times New Roman" w:eastAsia="宋体" w:cs="Times New Roman"/>
                <w:color w:val="auto"/>
                <w:kern w:val="0"/>
                <w:sz w:val="24"/>
                <w:szCs w:val="28"/>
                <w:highlight w:val="none"/>
                <w:lang w:val="en-US" w:eastAsia="zh-CN" w:bidi="ar-SA"/>
              </w:rPr>
              <w:t>原则上不开展环境质量现状调查。建设项目存在土壤、地下水环境污染途径的，应结合污染源、保护目标分布情况开展现状调查以留作背景值。</w:t>
            </w:r>
          </w:p>
          <w:p w14:paraId="05DFECF7">
            <w:pPr>
              <w:widowControl/>
              <w:spacing w:line="360" w:lineRule="auto"/>
              <w:ind w:firstLine="480" w:firstLineChars="200"/>
              <w:jc w:val="left"/>
              <w:rPr>
                <w:rFonts w:hint="eastAsia"/>
                <w:vertAlign w:val="baseline"/>
                <w:lang w:eastAsia="zh-CN"/>
              </w:rPr>
            </w:pPr>
            <w:r>
              <w:rPr>
                <w:rFonts w:hint="eastAsia" w:ascii="Times New Roman" w:hAnsi="Times New Roman" w:eastAsia="宋体" w:cs="Times New Roman"/>
                <w:color w:val="auto"/>
                <w:kern w:val="0"/>
                <w:sz w:val="24"/>
                <w:szCs w:val="28"/>
                <w:highlight w:val="none"/>
                <w:lang w:val="en-US" w:eastAsia="zh-CN" w:bidi="ar-SA"/>
              </w:rPr>
              <w:t>本项目购买已建厂房作为生产经营场所，根据调查，项目厂区车间地面全部硬化，生产过</w:t>
            </w:r>
            <w:r>
              <w:rPr>
                <w:rFonts w:hint="eastAsia" w:cs="Times New Roman"/>
                <w:color w:val="auto"/>
                <w:kern w:val="0"/>
                <w:sz w:val="24"/>
                <w:szCs w:val="28"/>
                <w:highlight w:val="none"/>
                <w:lang w:val="en-US" w:eastAsia="zh-CN" w:bidi="ar-SA"/>
              </w:rPr>
              <w:t>程中</w:t>
            </w:r>
            <w:r>
              <w:rPr>
                <w:rFonts w:hint="eastAsia" w:ascii="Times New Roman" w:hAnsi="Times New Roman" w:eastAsia="宋体" w:cs="Times New Roman"/>
                <w:color w:val="auto"/>
                <w:kern w:val="0"/>
                <w:sz w:val="24"/>
                <w:szCs w:val="28"/>
                <w:highlight w:val="none"/>
                <w:lang w:val="en-US" w:eastAsia="zh-CN" w:bidi="ar-SA"/>
              </w:rPr>
              <w:t>不排放重点重金属或持久性有机污染物，严格按照要求进行分区防渗防控，</w:t>
            </w:r>
            <w:r>
              <w:rPr>
                <w:rFonts w:hint="default" w:ascii="Times New Roman" w:hAnsi="Times New Roman" w:eastAsia="宋体" w:cs="Times New Roman"/>
                <w:color w:val="auto"/>
                <w:kern w:val="0"/>
                <w:sz w:val="24"/>
                <w:szCs w:val="28"/>
                <w:highlight w:val="none"/>
                <w:lang w:val="en-US" w:eastAsia="zh-CN" w:bidi="ar-SA"/>
              </w:rPr>
              <w:t>采取有效的防渗措施后，</w:t>
            </w:r>
            <w:r>
              <w:rPr>
                <w:rFonts w:hint="eastAsia" w:ascii="Times New Roman" w:hAnsi="Times New Roman" w:eastAsia="宋体" w:cs="Times New Roman"/>
                <w:color w:val="auto"/>
                <w:kern w:val="0"/>
                <w:sz w:val="24"/>
                <w:szCs w:val="28"/>
                <w:highlight w:val="none"/>
                <w:lang w:val="en-US" w:eastAsia="zh-CN" w:bidi="ar-SA"/>
              </w:rPr>
              <w:t>几乎不存在地下水、土壤环境污染途径；</w:t>
            </w:r>
            <w:r>
              <w:rPr>
                <w:rFonts w:hint="default" w:ascii="Times New Roman" w:hAnsi="Times New Roman" w:eastAsia="宋体" w:cs="Times New Roman"/>
                <w:color w:val="auto"/>
                <w:kern w:val="0"/>
                <w:sz w:val="24"/>
                <w:szCs w:val="28"/>
                <w:highlight w:val="none"/>
                <w:lang w:val="en-US" w:eastAsia="zh-CN" w:bidi="ar-SA"/>
              </w:rPr>
              <w:t>根据</w:t>
            </w:r>
            <w:r>
              <w:rPr>
                <w:rFonts w:hint="eastAsia" w:ascii="Times New Roman" w:hAnsi="Times New Roman" w:eastAsia="宋体" w:cs="Times New Roman"/>
                <w:color w:val="auto"/>
                <w:kern w:val="0"/>
                <w:sz w:val="24"/>
                <w:szCs w:val="28"/>
                <w:highlight w:val="none"/>
                <w:lang w:val="en-US" w:eastAsia="zh-CN" w:bidi="ar-SA"/>
              </w:rPr>
              <w:t>调查，项目周边地下水、土壤环境相对不敏感，</w:t>
            </w:r>
            <w:r>
              <w:rPr>
                <w:rFonts w:hint="default" w:ascii="Times New Roman" w:hAnsi="Times New Roman" w:eastAsia="宋体" w:cs="Times New Roman"/>
                <w:color w:val="auto"/>
                <w:kern w:val="0"/>
                <w:sz w:val="24"/>
                <w:szCs w:val="28"/>
                <w:highlight w:val="none"/>
                <w:lang w:val="en-US" w:eastAsia="zh-CN" w:bidi="ar-SA"/>
              </w:rPr>
              <w:t>项目对地下水、土壤环境</w:t>
            </w:r>
            <w:r>
              <w:rPr>
                <w:rFonts w:hint="default" w:ascii="Times New Roman" w:hAnsi="Times New Roman" w:eastAsia="宋体" w:cs="Times New Roman"/>
                <w:color w:val="auto"/>
                <w:sz w:val="24"/>
                <w:szCs w:val="24"/>
                <w:highlight w:val="none"/>
                <w:lang w:val="en-US" w:eastAsia="zh-CN"/>
              </w:rPr>
              <w:t>影响很小，因此，本评价不对项目地下水、土壤环境质量进行补充监测。</w:t>
            </w:r>
          </w:p>
        </w:tc>
      </w:tr>
      <w:tr w14:paraId="5F02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2" w:hRule="atLeast"/>
        </w:trPr>
        <w:tc>
          <w:tcPr>
            <w:tcW w:w="456" w:type="dxa"/>
            <w:vAlign w:val="center"/>
          </w:tcPr>
          <w:p w14:paraId="6F7748B8">
            <w:pPr>
              <w:jc w:val="center"/>
              <w:rPr>
                <w:rFonts w:hint="eastAsia"/>
                <w:vertAlign w:val="baseline"/>
                <w:lang w:eastAsia="zh-CN"/>
              </w:rPr>
            </w:pPr>
            <w:r>
              <w:rPr>
                <w:rFonts w:hint="eastAsia"/>
                <w:sz w:val="24"/>
                <w:szCs w:val="24"/>
                <w:vertAlign w:val="baseline"/>
                <w:lang w:eastAsia="zh-CN"/>
              </w:rPr>
              <w:t>环境保护目标</w:t>
            </w:r>
          </w:p>
        </w:tc>
        <w:tc>
          <w:tcPr>
            <w:tcW w:w="8749" w:type="dxa"/>
          </w:tcPr>
          <w:p w14:paraId="6BCD398D">
            <w:pPr>
              <w:pStyle w:val="45"/>
              <w:keepNext w:val="0"/>
              <w:keepLines w:val="0"/>
              <w:pageBreakBefore w:val="0"/>
              <w:widowControl w:val="0"/>
              <w:kinsoku/>
              <w:wordWrap/>
              <w:overflowPunct/>
              <w:topLinePunct w:val="0"/>
              <w:autoSpaceDE/>
              <w:autoSpaceDN/>
              <w:bidi w:val="0"/>
              <w:adjustRightInd w:val="0"/>
              <w:snapToGrid/>
              <w:textAlignment w:val="auto"/>
              <w:outlineLvl w:val="1"/>
              <w:rPr>
                <w:color w:val="auto"/>
                <w:szCs w:val="28"/>
              </w:rPr>
            </w:pPr>
            <w:bookmarkStart w:id="58" w:name="_Toc8565"/>
            <w:r>
              <w:rPr>
                <w:color w:val="auto"/>
                <w:szCs w:val="28"/>
              </w:rPr>
              <w:t>3.</w:t>
            </w:r>
            <w:r>
              <w:rPr>
                <w:rFonts w:hint="eastAsia"/>
                <w:color w:val="auto"/>
                <w:szCs w:val="28"/>
                <w:lang w:val="en-US" w:eastAsia="zh-CN"/>
              </w:rPr>
              <w:t>6</w:t>
            </w:r>
            <w:r>
              <w:rPr>
                <w:color w:val="auto"/>
                <w:szCs w:val="28"/>
              </w:rPr>
              <w:t>主要环境保护目标</w:t>
            </w:r>
            <w:bookmarkEnd w:id="58"/>
          </w:p>
          <w:p w14:paraId="74457774">
            <w:pPr>
              <w:spacing w:line="360" w:lineRule="auto"/>
              <w:ind w:firstLine="480" w:firstLineChars="200"/>
              <w:rPr>
                <w:color w:val="auto"/>
                <w:sz w:val="24"/>
              </w:rPr>
            </w:pPr>
            <w:r>
              <w:rPr>
                <w:rFonts w:hint="default" w:ascii="Times New Roman" w:hAnsi="Times New Roman" w:cs="Times New Roman"/>
                <w:color w:val="auto"/>
                <w:kern w:val="0"/>
                <w:sz w:val="24"/>
              </w:rPr>
              <w:t>根据《建设项目环境影响报告表编制技术指南</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污染影响类</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试行</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环办环评〔2020〕33号</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要求以及对项目周边环境的调查，本项目</w:t>
            </w:r>
            <w:r>
              <w:rPr>
                <w:rFonts w:hint="default" w:ascii="Times New Roman" w:hAnsi="Times New Roman" w:cs="Times New Roman"/>
                <w:color w:val="auto"/>
                <w:kern w:val="0"/>
                <w:sz w:val="24"/>
                <w:lang w:val="en-US" w:eastAsia="zh-CN"/>
              </w:rPr>
              <w:t>大气环境</w:t>
            </w:r>
            <w:r>
              <w:rPr>
                <w:rFonts w:hint="eastAsia" w:ascii="Times New Roman" w:hAnsi="Times New Roman" w:cs="Times New Roman"/>
                <w:color w:val="auto"/>
                <w:kern w:val="0"/>
                <w:sz w:val="24"/>
                <w:lang w:val="en-US" w:eastAsia="zh-CN"/>
              </w:rPr>
              <w:t>（厂界外500m）</w:t>
            </w:r>
            <w:r>
              <w:rPr>
                <w:rFonts w:hint="default" w:ascii="Times New Roman" w:hAnsi="Times New Roman" w:cs="Times New Roman"/>
                <w:color w:val="auto"/>
                <w:kern w:val="0"/>
                <w:sz w:val="24"/>
                <w:lang w:val="en-US" w:eastAsia="zh-CN"/>
              </w:rPr>
              <w:t>、地表水环境、声环境</w:t>
            </w:r>
            <w:r>
              <w:rPr>
                <w:rFonts w:hint="eastAsia" w:ascii="Times New Roman" w:hAnsi="Times New Roman" w:cs="Times New Roman"/>
                <w:color w:val="auto"/>
                <w:kern w:val="0"/>
                <w:sz w:val="24"/>
                <w:lang w:val="en-US" w:eastAsia="zh-CN"/>
              </w:rPr>
              <w:t>（厂界外50m）、地下水环境（厂界外50m）等环境保护目标详</w:t>
            </w:r>
            <w:r>
              <w:rPr>
                <w:rFonts w:hint="default" w:ascii="Times New Roman" w:hAnsi="Times New Roman" w:cs="Times New Roman"/>
                <w:color w:val="auto"/>
                <w:kern w:val="0"/>
                <w:sz w:val="24"/>
              </w:rPr>
              <w:t>见表3.</w:t>
            </w:r>
            <w:r>
              <w:rPr>
                <w:rFonts w:hint="eastAsia" w:ascii="Times New Roman" w:hAnsi="Times New Roman" w:cs="Times New Roman"/>
                <w:color w:val="auto"/>
                <w:kern w:val="0"/>
                <w:sz w:val="24"/>
                <w:lang w:val="en-US" w:eastAsia="zh-CN"/>
              </w:rPr>
              <w:t>6-1</w:t>
            </w:r>
            <w:r>
              <w:rPr>
                <w:rFonts w:hint="default" w:ascii="Times New Roman" w:hAnsi="Times New Roman" w:cs="Times New Roman"/>
                <w:color w:val="auto"/>
                <w:kern w:val="0"/>
                <w:sz w:val="24"/>
              </w:rPr>
              <w:t>和</w:t>
            </w:r>
            <w:r>
              <w:rPr>
                <w:rFonts w:hint="default" w:ascii="Times New Roman" w:hAnsi="Times New Roman" w:cs="Times New Roman"/>
                <w:b/>
                <w:bCs/>
                <w:color w:val="auto"/>
                <w:kern w:val="0"/>
                <w:sz w:val="24"/>
                <w:highlight w:val="none"/>
              </w:rPr>
              <w:t>附图</w:t>
            </w:r>
            <w:r>
              <w:rPr>
                <w:rFonts w:hint="eastAsia" w:cs="Times New Roman"/>
                <w:b/>
                <w:bCs/>
                <w:color w:val="auto"/>
                <w:kern w:val="0"/>
                <w:sz w:val="24"/>
                <w:highlight w:val="none"/>
                <w:lang w:val="en-US" w:eastAsia="zh-CN"/>
              </w:rPr>
              <w:t>二</w:t>
            </w:r>
            <w:r>
              <w:rPr>
                <w:color w:val="auto"/>
                <w:sz w:val="24"/>
              </w:rPr>
              <w:t>。</w:t>
            </w:r>
          </w:p>
          <w:p w14:paraId="5A9380AB">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表3.6-1项目主要环境保护目标一览表</w:t>
            </w:r>
          </w:p>
          <w:tbl>
            <w:tblPr>
              <w:tblStyle w:val="22"/>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25"/>
              <w:gridCol w:w="1117"/>
              <w:gridCol w:w="1629"/>
              <w:gridCol w:w="1049"/>
              <w:gridCol w:w="3580"/>
            </w:tblGrid>
            <w:tr w14:paraId="006B21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712" w:type="pct"/>
                  <w:noWrap w:val="0"/>
                  <w:vAlign w:val="center"/>
                </w:tcPr>
                <w:p w14:paraId="5E9AF6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649" w:type="pct"/>
                  <w:noWrap w:val="0"/>
                  <w:vAlign w:val="center"/>
                </w:tcPr>
                <w:p w14:paraId="66EB6F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环境保护对象名称</w:t>
                  </w:r>
                </w:p>
              </w:tc>
              <w:tc>
                <w:tcPr>
                  <w:tcW w:w="947" w:type="pct"/>
                  <w:noWrap w:val="0"/>
                  <w:vAlign w:val="center"/>
                </w:tcPr>
                <w:p w14:paraId="57BBC3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相对项目的方</w:t>
                  </w:r>
                </w:p>
                <w:p w14:paraId="222C5C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位和最近距离</w:t>
                  </w:r>
                </w:p>
              </w:tc>
              <w:tc>
                <w:tcPr>
                  <w:tcW w:w="610" w:type="pct"/>
                  <w:noWrap w:val="0"/>
                  <w:vAlign w:val="center"/>
                </w:tcPr>
                <w:p w14:paraId="12D37D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目标规模</w:t>
                  </w:r>
                </w:p>
              </w:tc>
              <w:tc>
                <w:tcPr>
                  <w:tcW w:w="2079" w:type="pct"/>
                  <w:noWrap w:val="0"/>
                  <w:vAlign w:val="center"/>
                </w:tcPr>
                <w:p w14:paraId="18E6F5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w:t>
                  </w:r>
                </w:p>
              </w:tc>
            </w:tr>
            <w:tr w14:paraId="29202D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8" w:hRule="atLeast"/>
                <w:jc w:val="center"/>
              </w:trPr>
              <w:tc>
                <w:tcPr>
                  <w:tcW w:w="712" w:type="pct"/>
                  <w:noWrap w:val="0"/>
                  <w:vAlign w:val="center"/>
                </w:tcPr>
                <w:p w14:paraId="1DBD28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649" w:type="pct"/>
                  <w:noWrap w:val="0"/>
                  <w:vAlign w:val="center"/>
                </w:tcPr>
                <w:p w14:paraId="6D3695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下田村</w:t>
                  </w:r>
                </w:p>
              </w:tc>
              <w:tc>
                <w:tcPr>
                  <w:tcW w:w="947" w:type="pct"/>
                  <w:noWrap w:val="0"/>
                  <w:vAlign w:val="center"/>
                </w:tcPr>
                <w:p w14:paraId="592369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西南侧约380m</w:t>
                  </w:r>
                </w:p>
              </w:tc>
              <w:tc>
                <w:tcPr>
                  <w:tcW w:w="610" w:type="pct"/>
                  <w:noWrap w:val="0"/>
                  <w:vAlign w:val="center"/>
                </w:tcPr>
                <w:p w14:paraId="327CEB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约30户/120人</w:t>
                  </w:r>
                </w:p>
              </w:tc>
              <w:tc>
                <w:tcPr>
                  <w:tcW w:w="2079" w:type="pct"/>
                  <w:noWrap w:val="0"/>
                  <w:vAlign w:val="center"/>
                </w:tcPr>
                <w:p w14:paraId="269DDD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val="zh-CN"/>
                    </w:rPr>
                    <w:t>及</w:t>
                  </w:r>
                  <w:r>
                    <w:rPr>
                      <w:rFonts w:hint="default" w:ascii="Times New Roman" w:hAnsi="Times New Roman" w:eastAsia="宋体" w:cs="Times New Roman"/>
                      <w:color w:val="auto"/>
                      <w:sz w:val="21"/>
                      <w:szCs w:val="21"/>
                    </w:rPr>
                    <w:t>其修改单二级标准</w:t>
                  </w:r>
                </w:p>
              </w:tc>
            </w:tr>
            <w:tr w14:paraId="6153BC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23" w:hRule="atLeast"/>
                <w:jc w:val="center"/>
              </w:trPr>
              <w:tc>
                <w:tcPr>
                  <w:tcW w:w="712" w:type="pct"/>
                  <w:noWrap w:val="0"/>
                  <w:vAlign w:val="center"/>
                </w:tcPr>
                <w:p w14:paraId="558835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w:t>
                  </w:r>
                </w:p>
              </w:tc>
              <w:tc>
                <w:tcPr>
                  <w:tcW w:w="649" w:type="pct"/>
                  <w:noWrap w:val="0"/>
                  <w:vAlign w:val="center"/>
                </w:tcPr>
                <w:p w14:paraId="52F6C7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罗汉溪</w:t>
                  </w:r>
                </w:p>
              </w:tc>
              <w:tc>
                <w:tcPr>
                  <w:tcW w:w="947" w:type="pct"/>
                  <w:noWrap w:val="0"/>
                  <w:vAlign w:val="center"/>
                </w:tcPr>
                <w:p w14:paraId="314941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西北侧约345m</w:t>
                  </w:r>
                </w:p>
              </w:tc>
              <w:tc>
                <w:tcPr>
                  <w:tcW w:w="610" w:type="pct"/>
                  <w:noWrap w:val="0"/>
                  <w:vAlign w:val="center"/>
                </w:tcPr>
                <w:p w14:paraId="21088E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河流</w:t>
                  </w:r>
                </w:p>
              </w:tc>
              <w:tc>
                <w:tcPr>
                  <w:tcW w:w="2079" w:type="pct"/>
                  <w:noWrap w:val="0"/>
                  <w:vAlign w:val="center"/>
                </w:tcPr>
                <w:p w14:paraId="081E05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《地表水环境质量标准》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GB3838-2002)Ⅲ类标准</w:t>
                  </w:r>
                </w:p>
              </w:tc>
            </w:tr>
            <w:tr w14:paraId="6C440C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3" w:hRule="atLeast"/>
                <w:jc w:val="center"/>
              </w:trPr>
              <w:tc>
                <w:tcPr>
                  <w:tcW w:w="712" w:type="pct"/>
                  <w:noWrap w:val="0"/>
                  <w:vAlign w:val="center"/>
                </w:tcPr>
                <w:p w14:paraId="783463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w:t>
                  </w:r>
                </w:p>
              </w:tc>
              <w:tc>
                <w:tcPr>
                  <w:tcW w:w="4287" w:type="pct"/>
                  <w:gridSpan w:val="4"/>
                  <w:noWrap w:val="0"/>
                  <w:vAlign w:val="center"/>
                </w:tcPr>
                <w:p w14:paraId="1E391D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500米范围内无地下水集中式饮用水水源和热水、矿泉水、温泉等特殊地下水资源</w:t>
                  </w:r>
                </w:p>
              </w:tc>
            </w:tr>
            <w:tr w14:paraId="4B7815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712" w:type="pct"/>
                  <w:noWrap w:val="0"/>
                  <w:vAlign w:val="center"/>
                </w:tcPr>
                <w:p w14:paraId="6B6D63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4287" w:type="pct"/>
                  <w:gridSpan w:val="4"/>
                  <w:noWrap w:val="0"/>
                  <w:vAlign w:val="center"/>
                </w:tcPr>
                <w:p w14:paraId="640943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项目厂界外50m无声环境保护目标</w:t>
                  </w:r>
                </w:p>
              </w:tc>
            </w:tr>
            <w:tr w14:paraId="578796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712" w:type="pct"/>
                  <w:noWrap w:val="0"/>
                  <w:vAlign w:val="center"/>
                </w:tcPr>
                <w:p w14:paraId="2C65B4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4287" w:type="pct"/>
                  <w:gridSpan w:val="4"/>
                  <w:noWrap w:val="0"/>
                  <w:vAlign w:val="center"/>
                </w:tcPr>
                <w:p w14:paraId="49B0EC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本项目位于园区内，无生态环境保护目标</w:t>
                  </w:r>
                </w:p>
              </w:tc>
            </w:tr>
          </w:tbl>
          <w:p w14:paraId="43EAFFD4">
            <w:pPr>
              <w:rPr>
                <w:rFonts w:hint="eastAsia"/>
                <w:vertAlign w:val="baseline"/>
                <w:lang w:eastAsia="zh-CN"/>
              </w:rPr>
            </w:pPr>
          </w:p>
        </w:tc>
      </w:tr>
      <w:tr w14:paraId="6913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4" w:hRule="atLeast"/>
        </w:trPr>
        <w:tc>
          <w:tcPr>
            <w:tcW w:w="456" w:type="dxa"/>
            <w:vAlign w:val="center"/>
          </w:tcPr>
          <w:p w14:paraId="351D23A2">
            <w:pPr>
              <w:jc w:val="center"/>
              <w:rPr>
                <w:rFonts w:hint="eastAsia"/>
                <w:vertAlign w:val="baseline"/>
                <w:lang w:eastAsia="zh-CN"/>
              </w:rPr>
            </w:pPr>
            <w:r>
              <w:rPr>
                <w:rFonts w:hint="default" w:ascii="Times New Roman" w:hAnsi="Times New Roman" w:eastAsia="宋体" w:cs="Times New Roman"/>
                <w:color w:val="auto"/>
                <w:kern w:val="0"/>
                <w:sz w:val="24"/>
                <w:szCs w:val="24"/>
              </w:rPr>
              <w:t>污染物排放控制标准</w:t>
            </w:r>
          </w:p>
        </w:tc>
        <w:tc>
          <w:tcPr>
            <w:tcW w:w="8749" w:type="dxa"/>
          </w:tcPr>
          <w:p w14:paraId="2DC7B087">
            <w:pPr>
              <w:pStyle w:val="45"/>
              <w:keepNext w:val="0"/>
              <w:keepLines w:val="0"/>
              <w:pageBreakBefore w:val="0"/>
              <w:widowControl w:val="0"/>
              <w:kinsoku/>
              <w:wordWrap/>
              <w:overflowPunct/>
              <w:topLinePunct w:val="0"/>
              <w:autoSpaceDE/>
              <w:autoSpaceDN/>
              <w:bidi w:val="0"/>
              <w:adjustRightInd w:val="0"/>
              <w:snapToGrid/>
              <w:textAlignment w:val="auto"/>
              <w:outlineLvl w:val="1"/>
              <w:rPr>
                <w:rFonts w:hint="default"/>
                <w:color w:val="auto"/>
                <w:szCs w:val="28"/>
                <w:lang w:val="en-US" w:eastAsia="zh-CN"/>
              </w:rPr>
            </w:pPr>
            <w:bookmarkStart w:id="59" w:name="_Toc15260"/>
            <w:bookmarkStart w:id="60" w:name="_Toc10661"/>
            <w:bookmarkStart w:id="61" w:name="_Toc10339"/>
            <w:bookmarkStart w:id="62" w:name="_Toc5981"/>
            <w:bookmarkStart w:id="63" w:name="_Toc6042"/>
            <w:r>
              <w:rPr>
                <w:rFonts w:hint="default"/>
                <w:color w:val="auto"/>
                <w:szCs w:val="28"/>
                <w:lang w:val="en-US" w:eastAsia="zh-CN"/>
              </w:rPr>
              <w:t>3.7 污染物排放标准</w:t>
            </w:r>
            <w:bookmarkEnd w:id="59"/>
            <w:bookmarkEnd w:id="60"/>
            <w:bookmarkEnd w:id="61"/>
            <w:bookmarkEnd w:id="62"/>
            <w:bookmarkEnd w:id="63"/>
          </w:p>
          <w:p w14:paraId="41B9364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64" w:name="_Toc12036"/>
            <w:r>
              <w:rPr>
                <w:rFonts w:hint="eastAsia" w:ascii="Times New Roman" w:hAnsi="Times New Roman" w:eastAsia="宋体" w:cs="Times New Roman"/>
                <w:b/>
                <w:bCs/>
                <w:color w:val="auto"/>
                <w:sz w:val="24"/>
                <w:szCs w:val="24"/>
                <w:u w:val="none"/>
                <w:lang w:val="en-US" w:eastAsia="zh-CN"/>
              </w:rPr>
              <w:t xml:space="preserve">3.7.1 </w:t>
            </w:r>
            <w:r>
              <w:rPr>
                <w:rFonts w:hint="default" w:ascii="Times New Roman" w:hAnsi="Times New Roman" w:eastAsia="宋体" w:cs="Times New Roman"/>
                <w:b/>
                <w:bCs/>
                <w:color w:val="auto"/>
                <w:sz w:val="24"/>
                <w:szCs w:val="24"/>
                <w:u w:val="none"/>
                <w:lang w:val="en-US" w:eastAsia="zh-CN"/>
              </w:rPr>
              <w:t>废水</w:t>
            </w:r>
            <w:bookmarkEnd w:id="64"/>
          </w:p>
          <w:p w14:paraId="7CA968BD">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（1）项目水污染物排放标准</w:t>
            </w:r>
          </w:p>
          <w:p w14:paraId="6B042A56">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eastAsia="宋体" w:cs="Times New Roman"/>
                <w:bCs/>
                <w:color w:val="auto"/>
                <w:kern w:val="2"/>
                <w:sz w:val="24"/>
                <w:szCs w:val="24"/>
                <w:lang w:val="en-US" w:eastAsia="zh-CN" w:bidi="ar-SA"/>
              </w:rPr>
              <w:t>项目</w:t>
            </w:r>
            <w:r>
              <w:rPr>
                <w:rFonts w:hint="eastAsia" w:ascii="Times New Roman" w:hAnsi="Times New Roman" w:eastAsia="宋体" w:cs="Times New Roman"/>
                <w:bCs/>
                <w:color w:val="auto"/>
                <w:kern w:val="2"/>
                <w:sz w:val="24"/>
                <w:szCs w:val="24"/>
                <w:lang w:val="en-US" w:eastAsia="zh-CN" w:bidi="ar-SA"/>
              </w:rPr>
              <w:t>运营期不产生生产废水排放，冷却水为间接冷却，不接触物料且循环使用不外排，因此不产生生产废水；仅产生职工生活污水</w:t>
            </w:r>
            <w:r>
              <w:rPr>
                <w:rFonts w:hint="default" w:ascii="Times New Roman" w:hAnsi="Times New Roman" w:eastAsia="宋体" w:cs="Times New Roman"/>
                <w:bCs/>
                <w:color w:val="auto"/>
                <w:kern w:val="2"/>
                <w:sz w:val="24"/>
                <w:szCs w:val="24"/>
                <w:lang w:val="en-US" w:eastAsia="zh-CN" w:bidi="ar-SA"/>
              </w:rPr>
              <w:t>，</w:t>
            </w:r>
            <w:r>
              <w:rPr>
                <w:rFonts w:hint="default" w:ascii="Times New Roman" w:hAnsi="Times New Roman" w:cs="Times New Roman"/>
                <w:color w:val="auto"/>
                <w:sz w:val="24"/>
                <w:szCs w:val="24"/>
              </w:rPr>
              <w:t>根据现场勘查，</w:t>
            </w:r>
            <w:r>
              <w:rPr>
                <w:rFonts w:hint="eastAsia" w:ascii="Times New Roman" w:hAnsi="Times New Roman" w:cs="Times New Roman"/>
                <w:color w:val="auto"/>
                <w:sz w:val="24"/>
                <w:szCs w:val="24"/>
                <w:highlight w:val="none"/>
                <w:lang w:val="en-US" w:eastAsia="zh-CN"/>
              </w:rPr>
              <w:t>项目生活污水依托</w:t>
            </w:r>
            <w:r>
              <w:rPr>
                <w:rFonts w:hint="eastAsia" w:ascii="Times New Roman" w:hAnsi="Times New Roman" w:eastAsia="宋体" w:cs="Times New Roman"/>
                <w:color w:val="auto"/>
                <w:sz w:val="24"/>
                <w:szCs w:val="24"/>
                <w:highlight w:val="none"/>
                <w:lang w:val="en-US" w:eastAsia="zh-CN"/>
              </w:rPr>
              <w:t>园区内已建化粪池预处理后，接入市政污水管网，纳入福清融元污水处理厂统一处理，尾水排入龙江。</w:t>
            </w:r>
            <w:r>
              <w:rPr>
                <w:rFonts w:hint="default" w:ascii="Times New Roman" w:hAnsi="Times New Roman" w:cs="Times New Roman"/>
                <w:color w:val="auto"/>
                <w:sz w:val="24"/>
                <w:szCs w:val="24"/>
                <w:highlight w:val="none"/>
                <w:lang w:eastAsia="zh-CN"/>
              </w:rPr>
              <w:t>项目</w:t>
            </w:r>
            <w:r>
              <w:rPr>
                <w:rFonts w:hint="default" w:ascii="Times New Roman" w:hAnsi="Times New Roman" w:cs="Times New Roman"/>
                <w:color w:val="auto"/>
                <w:sz w:val="24"/>
                <w:szCs w:val="24"/>
                <w:highlight w:val="none"/>
              </w:rPr>
              <w:t>属于</w:t>
            </w:r>
            <w:r>
              <w:rPr>
                <w:rFonts w:hint="default" w:ascii="Times New Roman" w:hAnsi="Times New Roman" w:cs="Times New Roman"/>
                <w:color w:val="auto"/>
                <w:sz w:val="24"/>
                <w:szCs w:val="24"/>
                <w:highlight w:val="none"/>
                <w:lang w:eastAsia="zh-CN"/>
              </w:rPr>
              <w:t>福清市融元污水处理厂</w:t>
            </w:r>
            <w:r>
              <w:rPr>
                <w:rFonts w:hint="default" w:ascii="Times New Roman" w:hAnsi="Times New Roman" w:cs="Times New Roman"/>
                <w:color w:val="auto"/>
                <w:sz w:val="24"/>
                <w:szCs w:val="24"/>
                <w:highlight w:val="none"/>
              </w:rPr>
              <w:t>服务范围</w:t>
            </w:r>
            <w:r>
              <w:rPr>
                <w:rFonts w:hint="eastAsia" w:cs="Times New Roman"/>
                <w:color w:val="auto"/>
                <w:sz w:val="24"/>
                <w:szCs w:val="24"/>
                <w:highlight w:val="none"/>
                <w:lang w:eastAsia="zh-CN"/>
              </w:rPr>
              <w:t>且</w:t>
            </w:r>
            <w:r>
              <w:rPr>
                <w:rFonts w:hint="default" w:ascii="Times New Roman" w:hAnsi="Times New Roman" w:cs="Times New Roman"/>
                <w:color w:val="auto"/>
                <w:sz w:val="24"/>
                <w:szCs w:val="24"/>
                <w:highlight w:val="none"/>
              </w:rPr>
              <w:t>污水管网已铺设到位，项目生活污水经</w:t>
            </w:r>
            <w:r>
              <w:rPr>
                <w:rFonts w:hint="eastAsia" w:ascii="Times New Roman" w:hAnsi="Times New Roman" w:cs="Times New Roman"/>
                <w:color w:val="auto"/>
                <w:sz w:val="24"/>
                <w:szCs w:val="24"/>
                <w:highlight w:val="none"/>
                <w:lang w:val="en-US" w:eastAsia="zh-CN"/>
              </w:rPr>
              <w:t>园区</w:t>
            </w:r>
            <w:r>
              <w:rPr>
                <w:rFonts w:hint="default" w:ascii="Times New Roman" w:hAnsi="Times New Roman" w:cs="Times New Roman"/>
                <w:color w:val="auto"/>
                <w:sz w:val="24"/>
                <w:szCs w:val="24"/>
                <w:highlight w:val="none"/>
              </w:rPr>
              <w:t>已建的化粪池预处理</w:t>
            </w:r>
            <w:r>
              <w:rPr>
                <w:rFonts w:hint="default" w:ascii="Times New Roman" w:hAnsi="Times New Roman" w:cs="Times New Roman"/>
                <w:color w:val="auto"/>
                <w:sz w:val="24"/>
                <w:szCs w:val="24"/>
                <w:highlight w:val="none"/>
                <w:lang w:val="en-US" w:eastAsia="zh-CN"/>
              </w:rPr>
              <w:t>后接入市政污水管网，外</w:t>
            </w:r>
            <w:r>
              <w:rPr>
                <w:rFonts w:hint="default" w:ascii="Times New Roman" w:hAnsi="Times New Roman" w:cs="Times New Roman"/>
                <w:color w:val="auto"/>
                <w:sz w:val="24"/>
                <w:szCs w:val="24"/>
                <w:lang w:val="en-US" w:eastAsia="zh-CN"/>
              </w:rPr>
              <w:t>排废水需</w:t>
            </w:r>
            <w:r>
              <w:rPr>
                <w:rFonts w:hint="default" w:ascii="Times New Roman" w:hAnsi="Times New Roman" w:cs="Times New Roman"/>
                <w:color w:val="auto"/>
                <w:sz w:val="24"/>
                <w:szCs w:val="24"/>
              </w:rPr>
              <w:t>达到《污水综合排放标准》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GB8978-1996</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表4中的三级标准后排入市政污水管网送往</w:t>
            </w:r>
            <w:r>
              <w:rPr>
                <w:rFonts w:hint="default" w:ascii="Times New Roman" w:hAnsi="Times New Roman" w:cs="Times New Roman"/>
                <w:color w:val="auto"/>
                <w:sz w:val="24"/>
                <w:szCs w:val="24"/>
                <w:lang w:eastAsia="zh-CN"/>
              </w:rPr>
              <w:t>福清市融元污水处理厂</w:t>
            </w:r>
            <w:r>
              <w:rPr>
                <w:rFonts w:hint="default" w:ascii="Times New Roman" w:hAnsi="Times New Roman" w:cs="Times New Roman"/>
                <w:color w:val="auto"/>
                <w:sz w:val="24"/>
                <w:szCs w:val="24"/>
              </w:rPr>
              <w:t>集中处理，</w:t>
            </w:r>
            <w:r>
              <w:rPr>
                <w:rFonts w:hint="default" w:ascii="Times New Roman" w:hAnsi="Times New Roman" w:cs="Times New Roman"/>
                <w:color w:val="auto"/>
                <w:sz w:val="24"/>
                <w:szCs w:val="24"/>
                <w:lang w:val="en-US" w:eastAsia="zh-CN"/>
              </w:rPr>
              <w:t>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w:t>
            </w:r>
            <w:r>
              <w:rPr>
                <w:rFonts w:hint="default" w:ascii="Times New Roman" w:hAnsi="Times New Roman" w:cs="Times New Roman"/>
                <w:color w:val="auto"/>
                <w:sz w:val="24"/>
                <w:szCs w:val="24"/>
              </w:rPr>
              <w:t>参照执行《污水排入城镇下水道水质标准》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GB/T 31962-2015</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表1中B级标准，详见表3.7-1。</w:t>
            </w:r>
          </w:p>
          <w:p w14:paraId="07A9A952">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表3.7-1</w:t>
            </w:r>
            <w:r>
              <w:rPr>
                <w:rFonts w:hint="default" w:ascii="Times New Roman" w:hAnsi="Times New Roman" w:eastAsia="宋体" w:cs="Times New Roman"/>
                <w:b/>
                <w:bCs/>
                <w:color w:val="auto"/>
                <w:sz w:val="24"/>
                <w:szCs w:val="24"/>
                <w:u w:val="none"/>
                <w:lang w:val="en-US" w:eastAsia="zh-CN"/>
              </w:rPr>
              <w:t>项目污水排放标准限值一览表</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420"/>
              <w:gridCol w:w="3944"/>
              <w:gridCol w:w="1525"/>
              <w:gridCol w:w="1716"/>
            </w:tblGrid>
            <w:tr w14:paraId="733EA2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6" w:hRule="exact"/>
                <w:jc w:val="center"/>
              </w:trPr>
              <w:tc>
                <w:tcPr>
                  <w:tcW w:w="825" w:type="pct"/>
                  <w:tcBorders>
                    <w:top w:val="single" w:color="auto" w:sz="12" w:space="0"/>
                  </w:tcBorders>
                  <w:noWrap w:val="0"/>
                  <w:vAlign w:val="center"/>
                </w:tcPr>
                <w:p w14:paraId="4AAFA1E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类别</w:t>
                  </w:r>
                </w:p>
              </w:tc>
              <w:tc>
                <w:tcPr>
                  <w:tcW w:w="2291" w:type="pct"/>
                  <w:tcBorders>
                    <w:top w:val="single" w:color="auto" w:sz="12" w:space="0"/>
                  </w:tcBorders>
                  <w:noWrap w:val="0"/>
                  <w:vAlign w:val="center"/>
                </w:tcPr>
                <w:p w14:paraId="325B36D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标准名称</w:t>
                  </w:r>
                </w:p>
              </w:tc>
              <w:tc>
                <w:tcPr>
                  <w:tcW w:w="886" w:type="pct"/>
                  <w:tcBorders>
                    <w:top w:val="single" w:color="auto" w:sz="12" w:space="0"/>
                  </w:tcBorders>
                  <w:noWrap w:val="0"/>
                  <w:vAlign w:val="center"/>
                </w:tcPr>
                <w:p w14:paraId="3E8E6D8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997" w:type="pct"/>
                  <w:tcBorders>
                    <w:top w:val="single" w:color="auto" w:sz="12" w:space="0"/>
                  </w:tcBorders>
                  <w:noWrap w:val="0"/>
                  <w:vAlign w:val="center"/>
                </w:tcPr>
                <w:p w14:paraId="62D9D6E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标准限值</w:t>
                  </w:r>
                </w:p>
              </w:tc>
            </w:tr>
            <w:tr w14:paraId="06B203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09" w:hRule="exact"/>
                <w:jc w:val="center"/>
              </w:trPr>
              <w:tc>
                <w:tcPr>
                  <w:tcW w:w="825" w:type="pct"/>
                  <w:vMerge w:val="restart"/>
                  <w:noWrap w:val="0"/>
                  <w:vAlign w:val="center"/>
                </w:tcPr>
                <w:p w14:paraId="7FA41AF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tc>
              <w:tc>
                <w:tcPr>
                  <w:tcW w:w="2291" w:type="pct"/>
                  <w:vMerge w:val="restart"/>
                  <w:noWrap w:val="0"/>
                  <w:vAlign w:val="center"/>
                </w:tcPr>
                <w:p w14:paraId="363B69B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《污水综合排放标准》</w:t>
                  </w:r>
                </w:p>
                <w:p w14:paraId="7008215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(GB8978-1996</w:t>
                  </w:r>
                  <w:r>
                    <w:rPr>
                      <w:rFonts w:hint="eastAsia" w:cs="Times New Roman"/>
                      <w:sz w:val="21"/>
                      <w:szCs w:val="21"/>
                      <w:lang w:eastAsia="zh-CN"/>
                    </w:rPr>
                    <w:t>）</w:t>
                  </w:r>
                  <w:r>
                    <w:rPr>
                      <w:rFonts w:hint="default" w:ascii="Times New Roman" w:hAnsi="Times New Roman" w:eastAsia="宋体" w:cs="Times New Roman"/>
                      <w:sz w:val="21"/>
                      <w:szCs w:val="21"/>
                    </w:rPr>
                    <w:t>表4三级标准</w:t>
                  </w:r>
                </w:p>
              </w:tc>
              <w:tc>
                <w:tcPr>
                  <w:tcW w:w="886" w:type="pct"/>
                  <w:noWrap w:val="0"/>
                  <w:vAlign w:val="center"/>
                </w:tcPr>
                <w:p w14:paraId="45F8B28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997" w:type="pct"/>
                  <w:noWrap w:val="0"/>
                  <w:vAlign w:val="center"/>
                </w:tcPr>
                <w:p w14:paraId="262171DB">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r>
                    <w:rPr>
                      <w:rFonts w:hint="eastAsia" w:cs="Times New Roman"/>
                      <w:sz w:val="21"/>
                      <w:szCs w:val="21"/>
                      <w:lang w:eastAsia="zh-CN"/>
                    </w:rPr>
                    <w:t>~</w:t>
                  </w:r>
                  <w:r>
                    <w:rPr>
                      <w:rFonts w:hint="default" w:ascii="Times New Roman" w:hAnsi="Times New Roman" w:eastAsia="宋体" w:cs="Times New Roman"/>
                      <w:sz w:val="21"/>
                      <w:szCs w:val="21"/>
                    </w:rPr>
                    <w:t>9</w:t>
                  </w:r>
                </w:p>
              </w:tc>
            </w:tr>
            <w:tr w14:paraId="1D5695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82" w:hRule="exact"/>
                <w:jc w:val="center"/>
              </w:trPr>
              <w:tc>
                <w:tcPr>
                  <w:tcW w:w="825" w:type="pct"/>
                  <w:vMerge w:val="continue"/>
                  <w:noWrap w:val="0"/>
                  <w:vAlign w:val="center"/>
                </w:tcPr>
                <w:p w14:paraId="7649F68B">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2291" w:type="pct"/>
                  <w:vMerge w:val="continue"/>
                  <w:noWrap w:val="0"/>
                  <w:vAlign w:val="center"/>
                </w:tcPr>
                <w:p w14:paraId="098D0C0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886" w:type="pct"/>
                  <w:noWrap w:val="0"/>
                  <w:vAlign w:val="center"/>
                </w:tcPr>
                <w:p w14:paraId="07919EBB">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997" w:type="pct"/>
                  <w:noWrap w:val="0"/>
                  <w:vAlign w:val="center"/>
                </w:tcPr>
                <w:p w14:paraId="065030B0">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500mg/L</w:t>
                  </w:r>
                </w:p>
              </w:tc>
            </w:tr>
            <w:tr w14:paraId="2CADA0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28" w:hRule="exact"/>
                <w:jc w:val="center"/>
              </w:trPr>
              <w:tc>
                <w:tcPr>
                  <w:tcW w:w="825" w:type="pct"/>
                  <w:vMerge w:val="continue"/>
                  <w:noWrap w:val="0"/>
                  <w:vAlign w:val="center"/>
                </w:tcPr>
                <w:p w14:paraId="4076731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2291" w:type="pct"/>
                  <w:vMerge w:val="continue"/>
                  <w:noWrap w:val="0"/>
                  <w:vAlign w:val="center"/>
                </w:tcPr>
                <w:p w14:paraId="0F360F9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886" w:type="pct"/>
                  <w:noWrap w:val="0"/>
                  <w:vAlign w:val="center"/>
                </w:tcPr>
                <w:p w14:paraId="1626AB9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997" w:type="pct"/>
                  <w:noWrap w:val="0"/>
                  <w:vAlign w:val="center"/>
                </w:tcPr>
                <w:p w14:paraId="2AA8A1B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300mg/L</w:t>
                  </w:r>
                </w:p>
              </w:tc>
            </w:tr>
            <w:tr w14:paraId="60C15E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5" w:hRule="exact"/>
                <w:jc w:val="center"/>
              </w:trPr>
              <w:tc>
                <w:tcPr>
                  <w:tcW w:w="825" w:type="pct"/>
                  <w:vMerge w:val="continue"/>
                  <w:noWrap w:val="0"/>
                  <w:vAlign w:val="center"/>
                </w:tcPr>
                <w:p w14:paraId="23DCC4E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2291" w:type="pct"/>
                  <w:vMerge w:val="continue"/>
                  <w:noWrap w:val="0"/>
                  <w:vAlign w:val="center"/>
                </w:tcPr>
                <w:p w14:paraId="1432298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886" w:type="pct"/>
                  <w:noWrap w:val="0"/>
                  <w:vAlign w:val="center"/>
                </w:tcPr>
                <w:p w14:paraId="7D71B4D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tc>
              <w:tc>
                <w:tcPr>
                  <w:tcW w:w="997" w:type="pct"/>
                  <w:noWrap w:val="0"/>
                  <w:vAlign w:val="center"/>
                </w:tcPr>
                <w:p w14:paraId="20DEABB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400mg/L</w:t>
                  </w:r>
                </w:p>
              </w:tc>
            </w:tr>
            <w:tr w14:paraId="7C187E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720" w:hRule="exact"/>
                <w:jc w:val="center"/>
              </w:trPr>
              <w:tc>
                <w:tcPr>
                  <w:tcW w:w="825" w:type="pct"/>
                  <w:vMerge w:val="continue"/>
                  <w:noWrap w:val="0"/>
                  <w:vAlign w:val="center"/>
                </w:tcPr>
                <w:p w14:paraId="45EDBC3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2291" w:type="pct"/>
                  <w:noWrap w:val="0"/>
                  <w:vAlign w:val="center"/>
                </w:tcPr>
                <w:p w14:paraId="2CB020E4">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《污水排入城镇下水道水质标准》</w:t>
                  </w:r>
                </w:p>
                <w:p w14:paraId="6ACC7A2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（GB/T31962-2015）</w:t>
                  </w:r>
                  <w:r>
                    <w:rPr>
                      <w:rFonts w:hint="default" w:ascii="Times New Roman" w:hAnsi="Times New Roman" w:eastAsia="宋体" w:cs="Times New Roman"/>
                      <w:sz w:val="21"/>
                      <w:szCs w:val="21"/>
                      <w:lang w:val="en-US" w:eastAsia="zh-CN"/>
                    </w:rPr>
                    <w:t>表1中B级标准</w:t>
                  </w:r>
                </w:p>
              </w:tc>
              <w:tc>
                <w:tcPr>
                  <w:tcW w:w="886" w:type="pct"/>
                  <w:noWrap w:val="0"/>
                  <w:vAlign w:val="center"/>
                </w:tcPr>
                <w:p w14:paraId="64C1537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997" w:type="pct"/>
                  <w:noWrap w:val="0"/>
                  <w:vAlign w:val="center"/>
                </w:tcPr>
                <w:p w14:paraId="14BBC04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45mg/L</w:t>
                  </w:r>
                </w:p>
              </w:tc>
            </w:tr>
          </w:tbl>
          <w:p w14:paraId="7AC4D2D8">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（2）污水处理厂尾水排放标准</w:t>
            </w:r>
          </w:p>
          <w:p w14:paraId="223E7F97">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根据调查，</w:t>
            </w:r>
            <w:r>
              <w:rPr>
                <w:rFonts w:hint="eastAsia" w:ascii="Times New Roman" w:hAnsi="Times New Roman" w:eastAsia="宋体" w:cs="Times New Roman"/>
                <w:bCs/>
                <w:color w:val="auto"/>
                <w:kern w:val="2"/>
                <w:sz w:val="24"/>
                <w:szCs w:val="24"/>
                <w:lang w:val="en-US" w:eastAsia="zh-CN" w:bidi="ar-SA"/>
              </w:rPr>
              <w:t>福清市融元污水处理厂</w:t>
            </w:r>
            <w:r>
              <w:rPr>
                <w:rFonts w:hint="default" w:ascii="Times New Roman" w:hAnsi="Times New Roman" w:eastAsia="宋体" w:cs="Times New Roman"/>
                <w:bCs/>
                <w:color w:val="auto"/>
                <w:kern w:val="2"/>
                <w:sz w:val="24"/>
                <w:szCs w:val="24"/>
                <w:lang w:val="en-US" w:eastAsia="zh-CN" w:bidi="ar-SA"/>
              </w:rPr>
              <w:t>尾水</w:t>
            </w:r>
            <w:r>
              <w:rPr>
                <w:rFonts w:hint="eastAsia" w:ascii="Times New Roman" w:hAnsi="Times New Roman" w:eastAsia="宋体" w:cs="Times New Roman"/>
                <w:bCs/>
                <w:color w:val="auto"/>
                <w:kern w:val="2"/>
                <w:sz w:val="24"/>
                <w:szCs w:val="24"/>
                <w:lang w:val="en-US" w:eastAsia="zh-CN" w:bidi="ar-SA"/>
              </w:rPr>
              <w:t>目前</w:t>
            </w:r>
            <w:r>
              <w:rPr>
                <w:rFonts w:hint="default" w:ascii="Times New Roman" w:hAnsi="Times New Roman" w:eastAsia="宋体" w:cs="Times New Roman"/>
                <w:bCs/>
                <w:color w:val="auto"/>
                <w:kern w:val="2"/>
                <w:sz w:val="24"/>
                <w:szCs w:val="24"/>
                <w:lang w:val="en-US" w:eastAsia="zh-CN" w:bidi="ar-SA"/>
              </w:rPr>
              <w:t>排放执行《城镇污水处理厂污染物排放标准》</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GB18918-2002</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及其修改单表1的一级</w:t>
            </w:r>
            <w:r>
              <w:rPr>
                <w:rFonts w:hint="eastAsia" w:ascii="Times New Roman" w:hAnsi="Times New Roman" w:eastAsia="宋体" w:cs="Times New Roman"/>
                <w:bCs/>
                <w:color w:val="auto"/>
                <w:kern w:val="2"/>
                <w:sz w:val="24"/>
                <w:szCs w:val="24"/>
                <w:lang w:val="en-US" w:eastAsia="zh-CN" w:bidi="ar-SA"/>
              </w:rPr>
              <w:t>标准A</w:t>
            </w:r>
            <w:r>
              <w:rPr>
                <w:rFonts w:hint="default" w:ascii="Times New Roman" w:hAnsi="Times New Roman" w:eastAsia="宋体" w:cs="Times New Roman"/>
                <w:bCs/>
                <w:color w:val="auto"/>
                <w:kern w:val="2"/>
                <w:sz w:val="24"/>
                <w:szCs w:val="24"/>
                <w:lang w:val="en-US" w:eastAsia="zh-CN" w:bidi="ar-SA"/>
              </w:rPr>
              <w:t>标准，具体详见表3.</w:t>
            </w:r>
            <w:r>
              <w:rPr>
                <w:rFonts w:hint="eastAsia" w:ascii="Times New Roman" w:hAnsi="Times New Roman" w:eastAsia="宋体" w:cs="Times New Roman"/>
                <w:bCs/>
                <w:color w:val="auto"/>
                <w:kern w:val="2"/>
                <w:sz w:val="24"/>
                <w:szCs w:val="24"/>
                <w:lang w:val="en-US" w:eastAsia="zh-CN" w:bidi="ar-SA"/>
              </w:rPr>
              <w:t>7</w:t>
            </w:r>
            <w:r>
              <w:rPr>
                <w:rFonts w:hint="default" w:ascii="Times New Roman" w:hAnsi="Times New Roman" w:eastAsia="宋体"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2</w:t>
            </w:r>
            <w:r>
              <w:rPr>
                <w:rFonts w:hint="default" w:ascii="Times New Roman" w:hAnsi="Times New Roman" w:eastAsia="宋体" w:cs="Times New Roman"/>
                <w:bCs/>
                <w:color w:val="auto"/>
                <w:kern w:val="2"/>
                <w:sz w:val="24"/>
                <w:szCs w:val="24"/>
                <w:lang w:val="en-US" w:eastAsia="zh-CN" w:bidi="ar-SA"/>
              </w:rPr>
              <w:t>。</w:t>
            </w:r>
          </w:p>
          <w:p w14:paraId="416FB99E">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表3.</w:t>
            </w:r>
            <w:r>
              <w:rPr>
                <w:rFonts w:hint="eastAsia" w:ascii="Times New Roman" w:hAnsi="Times New Roman" w:eastAsia="宋体" w:cs="Times New Roman"/>
                <w:b/>
                <w:bCs/>
                <w:color w:val="auto"/>
                <w:sz w:val="24"/>
                <w:szCs w:val="24"/>
                <w:u w:val="none"/>
                <w:lang w:val="en-US" w:eastAsia="zh-CN"/>
              </w:rPr>
              <w:t>7-2福清市融元</w:t>
            </w:r>
            <w:r>
              <w:rPr>
                <w:rFonts w:hint="default" w:ascii="Times New Roman" w:hAnsi="Times New Roman" w:eastAsia="宋体" w:cs="Times New Roman"/>
                <w:b/>
                <w:bCs/>
                <w:color w:val="auto"/>
                <w:sz w:val="24"/>
                <w:szCs w:val="24"/>
                <w:u w:val="none"/>
                <w:lang w:val="en-US" w:eastAsia="zh-CN"/>
              </w:rPr>
              <w:t>污水处理厂尾水排放标准一览表</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1413"/>
              <w:gridCol w:w="2725"/>
              <w:gridCol w:w="3427"/>
            </w:tblGrid>
            <w:tr w14:paraId="0401B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04" w:type="pct"/>
                  <w:noWrap w:val="0"/>
                  <w:vAlign w:val="center"/>
                </w:tcPr>
                <w:p w14:paraId="132640B7">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序号</w:t>
                  </w:r>
                </w:p>
              </w:tc>
              <w:tc>
                <w:tcPr>
                  <w:tcW w:w="821" w:type="pct"/>
                  <w:noWrap w:val="0"/>
                  <w:vAlign w:val="center"/>
                </w:tcPr>
                <w:p w14:paraId="71D50FC0">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污染物名称</w:t>
                  </w:r>
                </w:p>
              </w:tc>
              <w:tc>
                <w:tcPr>
                  <w:tcW w:w="1583" w:type="pct"/>
                  <w:noWrap w:val="0"/>
                  <w:vAlign w:val="center"/>
                </w:tcPr>
                <w:p w14:paraId="48E54C7F">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一级标准</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标准</w:t>
                  </w:r>
                </w:p>
              </w:tc>
              <w:tc>
                <w:tcPr>
                  <w:tcW w:w="1990" w:type="pct"/>
                  <w:noWrap w:val="0"/>
                  <w:vAlign w:val="center"/>
                </w:tcPr>
                <w:p w14:paraId="4FAD1402">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标准来源</w:t>
                  </w:r>
                </w:p>
              </w:tc>
            </w:tr>
            <w:tr w14:paraId="6DF7C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04" w:type="pct"/>
                  <w:noWrap w:val="0"/>
                  <w:vAlign w:val="center"/>
                </w:tcPr>
                <w:p w14:paraId="08EA19E0">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1</w:t>
                  </w:r>
                </w:p>
              </w:tc>
              <w:tc>
                <w:tcPr>
                  <w:tcW w:w="821" w:type="pct"/>
                  <w:noWrap w:val="0"/>
                  <w:vAlign w:val="center"/>
                </w:tcPr>
                <w:p w14:paraId="2FD64509">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pH</w:t>
                  </w:r>
                </w:p>
              </w:tc>
              <w:tc>
                <w:tcPr>
                  <w:tcW w:w="1583" w:type="pct"/>
                  <w:noWrap w:val="0"/>
                  <w:vAlign w:val="center"/>
                </w:tcPr>
                <w:p w14:paraId="02A17612">
                  <w:pPr>
                    <w:spacing w:line="340" w:lineRule="exact"/>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rPr>
                    <w:t xml:space="preserve">6～9 </w:t>
                  </w:r>
                  <w:r>
                    <w:rPr>
                      <w:rFonts w:hint="eastAsia" w:cs="Times New Roman"/>
                      <w:color w:val="auto"/>
                      <w:kern w:val="18"/>
                      <w:sz w:val="21"/>
                      <w:szCs w:val="21"/>
                      <w:lang w:eastAsia="zh-CN"/>
                    </w:rPr>
                    <w:t>（</w:t>
                  </w:r>
                  <w:r>
                    <w:rPr>
                      <w:rFonts w:hint="default" w:ascii="Times New Roman" w:hAnsi="Times New Roman" w:eastAsia="宋体" w:cs="Times New Roman"/>
                      <w:color w:val="auto"/>
                      <w:sz w:val="21"/>
                      <w:szCs w:val="21"/>
                    </w:rPr>
                    <w:t>无量纲</w:t>
                  </w:r>
                  <w:r>
                    <w:rPr>
                      <w:rFonts w:hint="eastAsia" w:cs="Times New Roman"/>
                      <w:color w:val="auto"/>
                      <w:sz w:val="21"/>
                      <w:szCs w:val="21"/>
                      <w:lang w:eastAsia="zh-CN"/>
                    </w:rPr>
                    <w:t>）</w:t>
                  </w:r>
                </w:p>
              </w:tc>
              <w:tc>
                <w:tcPr>
                  <w:tcW w:w="1990" w:type="pct"/>
                  <w:vMerge w:val="restart"/>
                  <w:noWrap w:val="0"/>
                  <w:vAlign w:val="center"/>
                </w:tcPr>
                <w:p w14:paraId="6B077863">
                  <w:pPr>
                    <w:widowControl/>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《城镇污水处理厂污染物排放标准》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GB18918-2002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及其修改单表1</w:t>
                  </w:r>
                </w:p>
              </w:tc>
            </w:tr>
            <w:tr w14:paraId="52FD8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65A74246">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2</w:t>
                  </w:r>
                </w:p>
              </w:tc>
              <w:tc>
                <w:tcPr>
                  <w:tcW w:w="821" w:type="pct"/>
                  <w:noWrap w:val="0"/>
                  <w:vAlign w:val="center"/>
                </w:tcPr>
                <w:p w14:paraId="672BC56F">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COD</w:t>
                  </w:r>
                  <w:r>
                    <w:rPr>
                      <w:rFonts w:hint="default" w:ascii="Times New Roman" w:hAnsi="Times New Roman" w:eastAsia="宋体" w:cs="Times New Roman"/>
                      <w:color w:val="auto"/>
                      <w:kern w:val="18"/>
                      <w:sz w:val="21"/>
                      <w:szCs w:val="21"/>
                      <w:highlight w:val="none"/>
                      <w:lang w:val="en-US" w:eastAsia="zh-CN"/>
                    </w:rPr>
                    <w:t>cr</w:t>
                  </w:r>
                </w:p>
              </w:tc>
              <w:tc>
                <w:tcPr>
                  <w:tcW w:w="1583" w:type="pct"/>
                  <w:noWrap w:val="0"/>
                  <w:vAlign w:val="center"/>
                </w:tcPr>
                <w:p w14:paraId="0F73E654">
                  <w:pPr>
                    <w:spacing w:line="340" w:lineRule="exact"/>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lang w:val="en-US" w:eastAsia="zh-CN"/>
                    </w:rPr>
                    <w:t>5</w:t>
                  </w:r>
                  <w:r>
                    <w:rPr>
                      <w:rFonts w:hint="default" w:ascii="Times New Roman" w:hAnsi="Times New Roman" w:eastAsia="宋体" w:cs="Times New Roman"/>
                      <w:color w:val="auto"/>
                      <w:kern w:val="18"/>
                      <w:sz w:val="21"/>
                      <w:szCs w:val="21"/>
                    </w:rPr>
                    <w:t>0mg/L</w:t>
                  </w:r>
                </w:p>
              </w:tc>
              <w:tc>
                <w:tcPr>
                  <w:tcW w:w="1990" w:type="pct"/>
                  <w:vMerge w:val="continue"/>
                  <w:noWrap w:val="0"/>
                  <w:vAlign w:val="center"/>
                </w:tcPr>
                <w:p w14:paraId="4F774E69">
                  <w:pPr>
                    <w:widowControl/>
                    <w:spacing w:line="340" w:lineRule="exact"/>
                    <w:jc w:val="left"/>
                    <w:rPr>
                      <w:rFonts w:hint="default" w:ascii="Times New Roman" w:hAnsi="Times New Roman" w:eastAsia="宋体" w:cs="Times New Roman"/>
                      <w:color w:val="auto"/>
                      <w:kern w:val="18"/>
                      <w:sz w:val="21"/>
                      <w:szCs w:val="21"/>
                    </w:rPr>
                  </w:pPr>
                </w:p>
              </w:tc>
            </w:tr>
            <w:tr w14:paraId="5A15A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03AC0585">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3</w:t>
                  </w:r>
                </w:p>
              </w:tc>
              <w:tc>
                <w:tcPr>
                  <w:tcW w:w="821" w:type="pct"/>
                  <w:noWrap w:val="0"/>
                  <w:vAlign w:val="center"/>
                </w:tcPr>
                <w:p w14:paraId="39A5BE2C">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BOD</w:t>
                  </w:r>
                  <w:r>
                    <w:rPr>
                      <w:rFonts w:hint="default" w:ascii="Times New Roman" w:hAnsi="Times New Roman" w:eastAsia="宋体" w:cs="Times New Roman"/>
                      <w:color w:val="auto"/>
                      <w:kern w:val="18"/>
                      <w:sz w:val="21"/>
                      <w:szCs w:val="21"/>
                      <w:vertAlign w:val="subscript"/>
                    </w:rPr>
                    <w:t>5</w:t>
                  </w:r>
                </w:p>
              </w:tc>
              <w:tc>
                <w:tcPr>
                  <w:tcW w:w="1583" w:type="pct"/>
                  <w:noWrap w:val="0"/>
                  <w:vAlign w:val="center"/>
                </w:tcPr>
                <w:p w14:paraId="234611E5">
                  <w:pPr>
                    <w:spacing w:line="340" w:lineRule="exact"/>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lang w:val="en-US" w:eastAsia="zh-CN"/>
                    </w:rPr>
                    <w:t>1</w:t>
                  </w:r>
                  <w:r>
                    <w:rPr>
                      <w:rFonts w:hint="default" w:ascii="Times New Roman" w:hAnsi="Times New Roman" w:eastAsia="宋体" w:cs="Times New Roman"/>
                      <w:color w:val="auto"/>
                      <w:kern w:val="18"/>
                      <w:sz w:val="21"/>
                      <w:szCs w:val="21"/>
                    </w:rPr>
                    <w:t>0mg/L</w:t>
                  </w:r>
                </w:p>
              </w:tc>
              <w:tc>
                <w:tcPr>
                  <w:tcW w:w="1990" w:type="pct"/>
                  <w:vMerge w:val="continue"/>
                  <w:noWrap w:val="0"/>
                  <w:vAlign w:val="center"/>
                </w:tcPr>
                <w:p w14:paraId="7AB14046">
                  <w:pPr>
                    <w:widowControl/>
                    <w:spacing w:line="340" w:lineRule="exact"/>
                    <w:jc w:val="left"/>
                    <w:rPr>
                      <w:rFonts w:hint="default" w:ascii="Times New Roman" w:hAnsi="Times New Roman" w:eastAsia="宋体" w:cs="Times New Roman"/>
                      <w:color w:val="auto"/>
                      <w:kern w:val="18"/>
                      <w:sz w:val="21"/>
                      <w:szCs w:val="21"/>
                    </w:rPr>
                  </w:pPr>
                </w:p>
              </w:tc>
            </w:tr>
            <w:tr w14:paraId="09ED1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14FAAC33">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4</w:t>
                  </w:r>
                </w:p>
              </w:tc>
              <w:tc>
                <w:tcPr>
                  <w:tcW w:w="821" w:type="pct"/>
                  <w:noWrap w:val="0"/>
                  <w:vAlign w:val="center"/>
                </w:tcPr>
                <w:p w14:paraId="7DA74A45">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SS</w:t>
                  </w:r>
                </w:p>
              </w:tc>
              <w:tc>
                <w:tcPr>
                  <w:tcW w:w="1583" w:type="pct"/>
                  <w:noWrap w:val="0"/>
                  <w:vAlign w:val="center"/>
                </w:tcPr>
                <w:p w14:paraId="6FAFA0C6">
                  <w:pPr>
                    <w:spacing w:line="340" w:lineRule="exact"/>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lang w:val="en-US" w:eastAsia="zh-CN"/>
                    </w:rPr>
                    <w:t>1</w:t>
                  </w:r>
                  <w:r>
                    <w:rPr>
                      <w:rFonts w:hint="default" w:ascii="Times New Roman" w:hAnsi="Times New Roman" w:eastAsia="宋体" w:cs="Times New Roman"/>
                      <w:color w:val="auto"/>
                      <w:kern w:val="18"/>
                      <w:sz w:val="21"/>
                      <w:szCs w:val="21"/>
                    </w:rPr>
                    <w:t>0mg/L</w:t>
                  </w:r>
                </w:p>
              </w:tc>
              <w:tc>
                <w:tcPr>
                  <w:tcW w:w="1990" w:type="pct"/>
                  <w:vMerge w:val="continue"/>
                  <w:noWrap w:val="0"/>
                  <w:vAlign w:val="center"/>
                </w:tcPr>
                <w:p w14:paraId="5D2DEA97">
                  <w:pPr>
                    <w:widowControl/>
                    <w:spacing w:line="340" w:lineRule="exact"/>
                    <w:jc w:val="left"/>
                    <w:rPr>
                      <w:rFonts w:hint="default" w:ascii="Times New Roman" w:hAnsi="Times New Roman" w:eastAsia="宋体" w:cs="Times New Roman"/>
                      <w:color w:val="auto"/>
                      <w:kern w:val="18"/>
                      <w:sz w:val="21"/>
                      <w:szCs w:val="21"/>
                    </w:rPr>
                  </w:pPr>
                </w:p>
              </w:tc>
            </w:tr>
            <w:tr w14:paraId="5F896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0D2C7813">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5</w:t>
                  </w:r>
                </w:p>
              </w:tc>
              <w:tc>
                <w:tcPr>
                  <w:tcW w:w="821" w:type="pct"/>
                  <w:noWrap w:val="0"/>
                  <w:vAlign w:val="center"/>
                </w:tcPr>
                <w:p w14:paraId="1608DF82">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NH</w:t>
                  </w:r>
                  <w:r>
                    <w:rPr>
                      <w:rFonts w:hint="default" w:ascii="Times New Roman" w:hAnsi="Times New Roman" w:eastAsia="宋体" w:cs="Times New Roman"/>
                      <w:color w:val="auto"/>
                      <w:kern w:val="18"/>
                      <w:sz w:val="21"/>
                      <w:szCs w:val="21"/>
                      <w:vertAlign w:val="subscript"/>
                    </w:rPr>
                    <w:t>3</w:t>
                  </w:r>
                  <w:r>
                    <w:rPr>
                      <w:rFonts w:hint="default" w:ascii="Times New Roman" w:hAnsi="Times New Roman" w:eastAsia="宋体" w:cs="Times New Roman"/>
                      <w:color w:val="auto"/>
                      <w:kern w:val="18"/>
                      <w:sz w:val="21"/>
                      <w:szCs w:val="21"/>
                    </w:rPr>
                    <w:t>-N</w:t>
                  </w:r>
                </w:p>
              </w:tc>
              <w:tc>
                <w:tcPr>
                  <w:tcW w:w="1583" w:type="pct"/>
                  <w:noWrap w:val="0"/>
                  <w:vAlign w:val="center"/>
                </w:tcPr>
                <w:p w14:paraId="54FF5A32">
                  <w:pPr>
                    <w:spacing w:line="340" w:lineRule="exact"/>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lang w:val="en-US" w:eastAsia="zh-CN"/>
                    </w:rPr>
                    <w:t>5</w:t>
                  </w:r>
                  <w:r>
                    <w:rPr>
                      <w:rFonts w:hint="default" w:ascii="Times New Roman" w:hAnsi="Times New Roman" w:eastAsia="宋体" w:cs="Times New Roman"/>
                      <w:color w:val="auto"/>
                      <w:kern w:val="18"/>
                      <w:sz w:val="21"/>
                      <w:szCs w:val="21"/>
                    </w:rPr>
                    <w:t>mg/L</w:t>
                  </w:r>
                </w:p>
              </w:tc>
              <w:tc>
                <w:tcPr>
                  <w:tcW w:w="1990" w:type="pct"/>
                  <w:vMerge w:val="continue"/>
                  <w:noWrap w:val="0"/>
                  <w:vAlign w:val="center"/>
                </w:tcPr>
                <w:p w14:paraId="33D0BA7A">
                  <w:pPr>
                    <w:widowControl/>
                    <w:spacing w:line="340" w:lineRule="exact"/>
                    <w:jc w:val="center"/>
                    <w:rPr>
                      <w:rFonts w:hint="default" w:ascii="Times New Roman" w:hAnsi="Times New Roman" w:eastAsia="宋体" w:cs="Times New Roman"/>
                      <w:color w:val="auto"/>
                      <w:kern w:val="18"/>
                      <w:sz w:val="21"/>
                      <w:szCs w:val="21"/>
                    </w:rPr>
                  </w:pPr>
                </w:p>
              </w:tc>
            </w:tr>
          </w:tbl>
          <w:p w14:paraId="51A11DA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65" w:name="_Toc31402"/>
            <w:r>
              <w:rPr>
                <w:rFonts w:hint="eastAsia" w:ascii="Times New Roman" w:hAnsi="Times New Roman" w:eastAsia="宋体" w:cs="Times New Roman"/>
                <w:b/>
                <w:bCs/>
                <w:color w:val="auto"/>
                <w:sz w:val="24"/>
                <w:szCs w:val="24"/>
                <w:u w:val="none"/>
                <w:lang w:val="en-US" w:eastAsia="zh-CN"/>
              </w:rPr>
              <w:t>3.7.2 废气</w:t>
            </w:r>
            <w:bookmarkEnd w:id="65"/>
          </w:p>
          <w:p w14:paraId="18A3C3C8">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（1）项目有组织废气污染物排放标准</w:t>
            </w:r>
          </w:p>
          <w:p w14:paraId="275AEC0D">
            <w:pPr>
              <w:pStyle w:val="46"/>
              <w:keepNext w:val="0"/>
              <w:keepLines w:val="0"/>
              <w:pageBreakBefore w:val="0"/>
              <w:widowControl w:val="0"/>
              <w:kinsoku/>
              <w:wordWrap/>
              <w:overflowPunct/>
              <w:bidi w:val="0"/>
              <w:snapToGrid/>
              <w:ind w:firstLine="480"/>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①汽车塑料配件生产：所使用原辅材料为塑料颗粒（PC/ABS、PP、ABS、PP+EPDM-T20、PA6-GF30），生产工序为按照产品要求将对应塑料颗粒投入注塑机内进行加热注塑</w:t>
            </w:r>
            <w:r>
              <w:rPr>
                <w:rFonts w:hint="eastAsia" w:cs="Times New Roman"/>
                <w:bCs/>
                <w:color w:val="auto"/>
                <w:kern w:val="2"/>
                <w:sz w:val="24"/>
                <w:szCs w:val="24"/>
                <w:lang w:val="en-US" w:eastAsia="zh-CN" w:bidi="ar-SA"/>
              </w:rPr>
              <w:t>成形</w:t>
            </w:r>
            <w:r>
              <w:rPr>
                <w:rFonts w:hint="eastAsia" w:ascii="Times New Roman" w:hAnsi="Times New Roman" w:eastAsia="宋体" w:cs="Times New Roman"/>
                <w:bCs/>
                <w:color w:val="auto"/>
                <w:kern w:val="2"/>
                <w:sz w:val="24"/>
                <w:szCs w:val="24"/>
                <w:lang w:val="en-US" w:eastAsia="zh-CN" w:bidi="ar-SA"/>
              </w:rPr>
              <w:t>，冷却后脱模进行检验。合格产品包装成品送检后入库，不合格产品及边角料</w:t>
            </w:r>
            <w:r>
              <w:rPr>
                <w:rFonts w:hint="eastAsia" w:cs="Times New Roman"/>
                <w:bCs/>
                <w:color w:val="auto"/>
                <w:kern w:val="2"/>
                <w:sz w:val="24"/>
                <w:szCs w:val="24"/>
                <w:lang w:val="en-US" w:eastAsia="zh-CN" w:bidi="ar-SA"/>
              </w:rPr>
              <w:t>通过破碎机进行破碎后</w:t>
            </w:r>
            <w:r>
              <w:rPr>
                <w:rFonts w:hint="eastAsia" w:ascii="Times New Roman" w:hAnsi="Times New Roman" w:eastAsia="宋体" w:cs="Times New Roman"/>
                <w:bCs/>
                <w:color w:val="auto"/>
                <w:kern w:val="2"/>
                <w:sz w:val="24"/>
                <w:szCs w:val="24"/>
                <w:lang w:val="en-US" w:eastAsia="zh-CN" w:bidi="ar-SA"/>
              </w:rPr>
              <w:t>回用于生产。因此，会产生注塑废气（非甲烷总烃、臭气浓度</w:t>
            </w:r>
            <w:r>
              <w:rPr>
                <w:rFonts w:hint="eastAsia" w:cs="Times New Roman"/>
                <w:bCs/>
                <w:color w:val="auto"/>
                <w:kern w:val="2"/>
                <w:sz w:val="24"/>
                <w:szCs w:val="24"/>
                <w:lang w:val="en-US" w:eastAsia="zh-CN" w:bidi="ar-SA"/>
              </w:rPr>
              <w:t>、苯乙烯</w:t>
            </w:r>
            <w:r>
              <w:rPr>
                <w:rFonts w:hint="eastAsia" w:ascii="Times New Roman" w:hAnsi="Times New Roman" w:eastAsia="宋体" w:cs="Times New Roman"/>
                <w:bCs/>
                <w:color w:val="auto"/>
                <w:kern w:val="2"/>
                <w:sz w:val="24"/>
                <w:szCs w:val="24"/>
                <w:lang w:val="en-US" w:eastAsia="zh-CN" w:bidi="ar-SA"/>
              </w:rPr>
              <w:t>）、脱模废气（非甲烷总烃、臭气浓度</w:t>
            </w:r>
            <w:r>
              <w:rPr>
                <w:rFonts w:hint="eastAsia" w:cs="Times New Roman"/>
                <w:bCs/>
                <w:color w:val="auto"/>
                <w:kern w:val="2"/>
                <w:sz w:val="24"/>
                <w:szCs w:val="24"/>
                <w:lang w:val="en-US" w:eastAsia="zh-CN" w:bidi="ar-SA"/>
              </w:rPr>
              <w:t>、苯乙烯</w:t>
            </w:r>
            <w:r>
              <w:rPr>
                <w:rFonts w:hint="eastAsia"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、破碎粉尘（颗粒物）。颗粒物、</w:t>
            </w:r>
            <w:r>
              <w:rPr>
                <w:rFonts w:hint="eastAsia" w:ascii="Times New Roman" w:hAnsi="Times New Roman" w:eastAsia="宋体" w:cs="Times New Roman"/>
                <w:bCs/>
                <w:color w:val="auto"/>
                <w:kern w:val="2"/>
                <w:sz w:val="24"/>
                <w:szCs w:val="24"/>
                <w:lang w:val="en-US" w:eastAsia="zh-CN" w:bidi="ar-SA"/>
              </w:rPr>
              <w:t>非甲烷总烃</w:t>
            </w:r>
            <w:r>
              <w:rPr>
                <w:rFonts w:hint="eastAsia" w:cs="Times New Roman"/>
                <w:bCs/>
                <w:color w:val="auto"/>
                <w:kern w:val="2"/>
                <w:sz w:val="24"/>
                <w:szCs w:val="24"/>
                <w:lang w:val="en-US" w:eastAsia="zh-CN" w:bidi="ar-SA"/>
              </w:rPr>
              <w:t>、苯乙烯</w:t>
            </w:r>
            <w:r>
              <w:rPr>
                <w:rFonts w:hint="eastAsia" w:ascii="Times New Roman" w:hAnsi="Times New Roman" w:eastAsia="宋体" w:cs="Times New Roman"/>
                <w:bCs/>
                <w:color w:val="auto"/>
                <w:kern w:val="2"/>
                <w:sz w:val="24"/>
                <w:szCs w:val="24"/>
                <w:lang w:val="en-US" w:eastAsia="zh-CN" w:bidi="ar-SA"/>
              </w:rPr>
              <w:t>执行</w:t>
            </w:r>
            <w:r>
              <w:rPr>
                <w:rFonts w:hint="eastAsia" w:ascii="Times New Roman" w:hAnsi="Times New Roman" w:eastAsia="宋体" w:cs="Times New Roman"/>
                <w:color w:val="auto"/>
                <w:sz w:val="24"/>
                <w:u w:val="none"/>
                <w:lang w:eastAsia="zh-CN"/>
              </w:rPr>
              <w:t>《合成树脂工业污染物排放标准》</w:t>
            </w:r>
            <w:r>
              <w:rPr>
                <w:rFonts w:hint="eastAsia" w:ascii="Times New Roman" w:hAnsi="Times New Roman" w:cs="Times New Roman"/>
                <w:color w:val="auto"/>
                <w:sz w:val="24"/>
                <w:u w:val="none"/>
                <w:lang w:eastAsia="zh-CN"/>
              </w:rPr>
              <w:t>（</w:t>
            </w:r>
            <w:r>
              <w:rPr>
                <w:rFonts w:hint="eastAsia" w:ascii="Times New Roman" w:hAnsi="Times New Roman" w:eastAsia="宋体" w:cs="Times New Roman"/>
                <w:color w:val="auto"/>
                <w:sz w:val="24"/>
                <w:u w:val="none"/>
                <w:lang w:eastAsia="zh-CN"/>
              </w:rPr>
              <w:t>GB31572-2015</w:t>
            </w:r>
            <w:r>
              <w:rPr>
                <w:rFonts w:hint="eastAsia" w:ascii="Times New Roman" w:hAnsi="Times New Roman" w:cs="Times New Roman"/>
                <w:color w:val="auto"/>
                <w:sz w:val="24"/>
                <w:u w:val="none"/>
                <w:lang w:eastAsia="zh-CN"/>
              </w:rPr>
              <w:t>）</w:t>
            </w:r>
            <w:r>
              <w:rPr>
                <w:rFonts w:hint="eastAsia" w:ascii="Times New Roman" w:hAnsi="Times New Roman" w:eastAsia="宋体" w:cs="Times New Roman"/>
                <w:color w:val="auto"/>
                <w:sz w:val="24"/>
                <w:u w:val="none"/>
                <w:lang w:eastAsia="zh-CN"/>
              </w:rPr>
              <w:t>及修改单</w:t>
            </w:r>
            <w:r>
              <w:rPr>
                <w:rFonts w:hint="eastAsia" w:ascii="Times New Roman" w:hAnsi="Times New Roman" w:cs="Times New Roman"/>
                <w:color w:val="auto"/>
                <w:sz w:val="24"/>
                <w:u w:val="none"/>
                <w:lang w:val="en-US" w:eastAsia="zh-CN"/>
              </w:rPr>
              <w:t>（</w:t>
            </w:r>
            <w:r>
              <w:rPr>
                <w:rFonts w:ascii="Times New Roman" w:hAnsi="Times New Roman" w:eastAsia="宋体" w:cs="Times New Roman"/>
                <w:color w:val="auto"/>
                <w:kern w:val="0"/>
                <w:sz w:val="24"/>
                <w:szCs w:val="24"/>
                <w:u w:val="none"/>
                <w:lang w:val="en-US" w:eastAsia="zh-CN" w:bidi="ar"/>
              </w:rPr>
              <w:t>2024年7月1日起实施</w:t>
            </w:r>
            <w:r>
              <w:rPr>
                <w:rFonts w:hint="eastAsia" w:ascii="Times New Roman" w:hAnsi="Times New Roman" w:cs="Times New Roman"/>
                <w:color w:val="auto"/>
                <w:sz w:val="24"/>
                <w:u w:val="none"/>
                <w:lang w:val="en-US" w:eastAsia="zh-CN"/>
              </w:rPr>
              <w:t>）</w:t>
            </w:r>
            <w:r>
              <w:rPr>
                <w:rFonts w:hint="eastAsia" w:ascii="Times New Roman" w:hAnsi="Times New Roman" w:eastAsia="宋体" w:cs="Times New Roman"/>
                <w:color w:val="auto"/>
                <w:sz w:val="24"/>
                <w:u w:val="none"/>
                <w:lang w:eastAsia="zh-CN"/>
              </w:rPr>
              <w:t>的表</w:t>
            </w:r>
            <w:r>
              <w:rPr>
                <w:rFonts w:hint="eastAsia" w:ascii="Times New Roman" w:hAnsi="Times New Roman" w:eastAsia="宋体" w:cs="Times New Roman"/>
                <w:color w:val="auto"/>
                <w:sz w:val="24"/>
                <w:u w:val="none"/>
                <w:lang w:val="en-US" w:eastAsia="zh-CN"/>
              </w:rPr>
              <w:t>5</w:t>
            </w:r>
            <w:r>
              <w:rPr>
                <w:rFonts w:hint="eastAsia" w:ascii="Times New Roman" w:hAnsi="Times New Roman" w:eastAsia="宋体" w:cs="Times New Roman"/>
                <w:color w:val="auto"/>
                <w:sz w:val="24"/>
                <w:u w:val="none"/>
                <w:lang w:eastAsia="zh-CN"/>
              </w:rPr>
              <w:t>的</w:t>
            </w:r>
            <w:r>
              <w:rPr>
                <w:rFonts w:hint="default" w:ascii="Times New Roman" w:hAnsi="Times New Roman" w:eastAsia="宋体" w:cs="Times New Roman"/>
                <w:bCs/>
                <w:color w:val="auto"/>
                <w:kern w:val="2"/>
                <w:sz w:val="24"/>
                <w:szCs w:val="24"/>
                <w:u w:val="none"/>
                <w:lang w:val="en-US" w:eastAsia="zh-CN" w:bidi="ar-SA"/>
              </w:rPr>
              <w:t>大气污染物特别排放限值</w:t>
            </w:r>
            <w:r>
              <w:rPr>
                <w:rFonts w:hint="eastAsia" w:ascii="Times New Roman" w:hAnsi="Times New Roman" w:cs="Times New Roman"/>
                <w:bCs/>
                <w:color w:val="auto"/>
                <w:kern w:val="2"/>
                <w:sz w:val="24"/>
                <w:szCs w:val="24"/>
                <w:u w:val="none"/>
                <w:lang w:val="en-US" w:eastAsia="zh-CN" w:bidi="ar-SA"/>
              </w:rPr>
              <w:t>，臭气浓度执行</w:t>
            </w:r>
            <w:r>
              <w:rPr>
                <w:rFonts w:hint="eastAsia" w:ascii="Times New Roman" w:hAnsi="Times New Roman" w:eastAsia="宋体" w:cs="Times New Roman"/>
                <w:color w:val="auto"/>
                <w:sz w:val="24"/>
                <w:u w:val="none"/>
                <w:lang w:eastAsia="zh-CN"/>
              </w:rPr>
              <w:t>《恶臭污染物排放标准》</w:t>
            </w:r>
            <w:r>
              <w:rPr>
                <w:rFonts w:hint="eastAsia" w:cs="Times New Roman"/>
                <w:color w:val="auto"/>
                <w:sz w:val="24"/>
                <w:u w:val="none"/>
                <w:lang w:eastAsia="zh-CN"/>
              </w:rPr>
              <w:t>（</w:t>
            </w:r>
            <w:r>
              <w:rPr>
                <w:rFonts w:hint="eastAsia" w:ascii="Times New Roman" w:hAnsi="Times New Roman" w:eastAsia="宋体" w:cs="Times New Roman"/>
                <w:color w:val="auto"/>
                <w:sz w:val="24"/>
                <w:u w:val="none"/>
                <w:lang w:eastAsia="zh-CN"/>
              </w:rPr>
              <w:t>GB14554-93</w:t>
            </w:r>
            <w:r>
              <w:rPr>
                <w:rFonts w:hint="eastAsia" w:cs="Times New Roman"/>
                <w:color w:val="auto"/>
                <w:sz w:val="24"/>
                <w:u w:val="none"/>
                <w:lang w:eastAsia="zh-CN"/>
              </w:rPr>
              <w:t>）</w:t>
            </w:r>
            <w:r>
              <w:rPr>
                <w:rFonts w:hint="eastAsia" w:ascii="Times New Roman" w:hAnsi="Times New Roman" w:eastAsia="宋体" w:cs="Times New Roman"/>
                <w:color w:val="auto"/>
                <w:sz w:val="24"/>
                <w:u w:val="none"/>
                <w:lang w:eastAsia="zh-CN"/>
              </w:rPr>
              <w:t>表2标准限值</w:t>
            </w:r>
            <w:r>
              <w:rPr>
                <w:rFonts w:hint="eastAsia" w:ascii="Times New Roman" w:hAnsi="Times New Roman" w:cs="Times New Roman"/>
                <w:color w:val="auto"/>
                <w:sz w:val="24"/>
                <w:u w:val="none"/>
                <w:lang w:eastAsia="zh-CN"/>
              </w:rPr>
              <w:t>。</w:t>
            </w:r>
            <w:r>
              <w:rPr>
                <w:rFonts w:hint="eastAsia" w:ascii="Times New Roman" w:hAnsi="Times New Roman" w:eastAsia="宋体" w:cs="Times New Roman"/>
                <w:color w:val="auto"/>
                <w:sz w:val="24"/>
                <w:u w:val="none"/>
                <w:lang w:eastAsia="zh-CN"/>
              </w:rPr>
              <w:t>上述标准具体详见表3.7-3。</w:t>
            </w:r>
          </w:p>
          <w:p w14:paraId="7985118A">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表3.7-3 有组织废气污染物排放标准</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1368"/>
              <w:gridCol w:w="1161"/>
              <w:gridCol w:w="944"/>
              <w:gridCol w:w="961"/>
              <w:gridCol w:w="3219"/>
            </w:tblGrid>
            <w:tr w14:paraId="2944B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4" w:type="pct"/>
                  <w:tcBorders>
                    <w:tl2br w:val="nil"/>
                    <w:tr2bl w:val="nil"/>
                  </w:tcBorders>
                  <w:vAlign w:val="center"/>
                </w:tcPr>
                <w:p w14:paraId="414DBE9B">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污染物产生工段</w:t>
                  </w:r>
                </w:p>
              </w:tc>
              <w:tc>
                <w:tcPr>
                  <w:tcW w:w="794" w:type="pct"/>
                  <w:tcBorders>
                    <w:tl2br w:val="nil"/>
                    <w:tr2bl w:val="nil"/>
                  </w:tcBorders>
                  <w:vAlign w:val="center"/>
                </w:tcPr>
                <w:p w14:paraId="25C2B1A3">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污染物名称</w:t>
                  </w:r>
                </w:p>
              </w:tc>
              <w:tc>
                <w:tcPr>
                  <w:tcW w:w="674" w:type="pct"/>
                  <w:tcBorders>
                    <w:tl2br w:val="nil"/>
                    <w:tr2bl w:val="nil"/>
                  </w:tcBorders>
                  <w:vAlign w:val="center"/>
                </w:tcPr>
                <w:p w14:paraId="1CC512D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最高允许排放浓度</w:t>
                  </w:r>
                  <w:r>
                    <w:rPr>
                      <w:rFonts w:hint="default" w:ascii="Times New Roman" w:hAnsi="Times New Roman" w:eastAsia="宋体" w:cs="Times New Roman"/>
                      <w:b w:val="0"/>
                      <w:bCs w:val="0"/>
                      <w:color w:val="auto"/>
                      <w:sz w:val="21"/>
                      <w:szCs w:val="21"/>
                      <w:u w:val="none"/>
                      <w:lang w:val="en-US" w:eastAsia="zh-CN"/>
                    </w:rPr>
                    <w:t>mg/m</w:t>
                  </w:r>
                  <w:r>
                    <w:rPr>
                      <w:rFonts w:hint="default" w:ascii="Times New Roman" w:hAnsi="Times New Roman" w:eastAsia="宋体" w:cs="Times New Roman"/>
                      <w:b w:val="0"/>
                      <w:bCs w:val="0"/>
                      <w:color w:val="auto"/>
                      <w:sz w:val="21"/>
                      <w:szCs w:val="21"/>
                      <w:u w:val="none"/>
                      <w:vertAlign w:val="superscript"/>
                      <w:lang w:val="en-US" w:eastAsia="zh-CN"/>
                    </w:rPr>
                    <w:t>3</w:t>
                  </w:r>
                </w:p>
              </w:tc>
              <w:tc>
                <w:tcPr>
                  <w:tcW w:w="548" w:type="pct"/>
                  <w:tcBorders>
                    <w:tl2br w:val="nil"/>
                    <w:tr2bl w:val="nil"/>
                  </w:tcBorders>
                  <w:vAlign w:val="center"/>
                </w:tcPr>
                <w:p w14:paraId="7F98A08D">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排气筒编号</w:t>
                  </w:r>
                </w:p>
              </w:tc>
              <w:tc>
                <w:tcPr>
                  <w:tcW w:w="558" w:type="pct"/>
                  <w:tcBorders>
                    <w:tl2br w:val="nil"/>
                    <w:tr2bl w:val="nil"/>
                  </w:tcBorders>
                  <w:vAlign w:val="center"/>
                </w:tcPr>
                <w:p w14:paraId="32842754">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排气筒高度</w:t>
                  </w:r>
                </w:p>
                <w:p w14:paraId="59DEA4FB">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m</w:t>
                  </w:r>
                </w:p>
              </w:tc>
              <w:tc>
                <w:tcPr>
                  <w:tcW w:w="1869" w:type="pct"/>
                  <w:tcBorders>
                    <w:tl2br w:val="nil"/>
                    <w:tr2bl w:val="nil"/>
                  </w:tcBorders>
                  <w:vAlign w:val="center"/>
                </w:tcPr>
                <w:p w14:paraId="3C246A21">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执行标准</w:t>
                  </w:r>
                </w:p>
              </w:tc>
            </w:tr>
            <w:tr w14:paraId="4F6E8B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554" w:type="pct"/>
                  <w:vMerge w:val="restart"/>
                  <w:tcBorders>
                    <w:tl2br w:val="nil"/>
                    <w:tr2bl w:val="nil"/>
                  </w:tcBorders>
                  <w:vAlign w:val="center"/>
                </w:tcPr>
                <w:p w14:paraId="15998B69">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注塑</w:t>
                  </w:r>
                </w:p>
              </w:tc>
              <w:tc>
                <w:tcPr>
                  <w:tcW w:w="794" w:type="pct"/>
                  <w:tcBorders>
                    <w:tl2br w:val="nil"/>
                    <w:tr2bl w:val="nil"/>
                  </w:tcBorders>
                  <w:vAlign w:val="center"/>
                </w:tcPr>
                <w:p w14:paraId="77890BC9">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非甲烷总烃</w:t>
                  </w:r>
                </w:p>
              </w:tc>
              <w:tc>
                <w:tcPr>
                  <w:tcW w:w="674" w:type="pct"/>
                  <w:tcBorders>
                    <w:tl2br w:val="nil"/>
                    <w:tr2bl w:val="nil"/>
                  </w:tcBorders>
                  <w:vAlign w:val="center"/>
                </w:tcPr>
                <w:p w14:paraId="47131973">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60</w:t>
                  </w:r>
                </w:p>
              </w:tc>
              <w:tc>
                <w:tcPr>
                  <w:tcW w:w="548" w:type="pct"/>
                  <w:tcBorders>
                    <w:tl2br w:val="nil"/>
                    <w:tr2bl w:val="nil"/>
                  </w:tcBorders>
                  <w:shd w:val="clear" w:color="auto" w:fill="auto"/>
                  <w:vAlign w:val="center"/>
                </w:tcPr>
                <w:p w14:paraId="58A18DD2">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DA001</w:t>
                  </w:r>
                </w:p>
              </w:tc>
              <w:tc>
                <w:tcPr>
                  <w:tcW w:w="558" w:type="pct"/>
                  <w:tcBorders>
                    <w:tl2br w:val="nil"/>
                    <w:tr2bl w:val="nil"/>
                  </w:tcBorders>
                  <w:shd w:val="clear" w:color="auto" w:fill="auto"/>
                  <w:vAlign w:val="center"/>
                </w:tcPr>
                <w:p w14:paraId="1BA40DF2">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15</w:t>
                  </w:r>
                </w:p>
              </w:tc>
              <w:tc>
                <w:tcPr>
                  <w:tcW w:w="1869" w:type="pct"/>
                  <w:vMerge w:val="restart"/>
                  <w:tcBorders>
                    <w:tl2br w:val="nil"/>
                    <w:tr2bl w:val="nil"/>
                  </w:tcBorders>
                  <w:vAlign w:val="center"/>
                </w:tcPr>
                <w:p w14:paraId="65C2E810">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《合成树脂工业污染物排放标准》（GB31572-2015）及修改单（2024年7月1日起实施）的表5的大气污染物特别排放限值</w:t>
                  </w:r>
                </w:p>
              </w:tc>
            </w:tr>
            <w:tr w14:paraId="7155F0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4" w:type="pct"/>
                  <w:vMerge w:val="continue"/>
                  <w:tcBorders>
                    <w:tl2br w:val="nil"/>
                    <w:tr2bl w:val="nil"/>
                  </w:tcBorders>
                  <w:vAlign w:val="center"/>
                </w:tcPr>
                <w:p w14:paraId="52339AF5">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794" w:type="pct"/>
                  <w:tcBorders>
                    <w:tl2br w:val="nil"/>
                    <w:tr2bl w:val="nil"/>
                  </w:tcBorders>
                  <w:vAlign w:val="center"/>
                </w:tcPr>
                <w:p w14:paraId="633B9F0B">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苯乙烯</w:t>
                  </w:r>
                </w:p>
              </w:tc>
              <w:tc>
                <w:tcPr>
                  <w:tcW w:w="674" w:type="pct"/>
                  <w:tcBorders>
                    <w:tl2br w:val="nil"/>
                    <w:tr2bl w:val="nil"/>
                  </w:tcBorders>
                  <w:vAlign w:val="center"/>
                </w:tcPr>
                <w:p w14:paraId="52357D5D">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w:t>
                  </w:r>
                </w:p>
              </w:tc>
              <w:tc>
                <w:tcPr>
                  <w:tcW w:w="548" w:type="pct"/>
                  <w:tcBorders>
                    <w:tl2br w:val="nil"/>
                    <w:tr2bl w:val="nil"/>
                  </w:tcBorders>
                  <w:shd w:val="clear" w:color="auto" w:fill="auto"/>
                  <w:vAlign w:val="center"/>
                </w:tcPr>
                <w:p w14:paraId="64724EA5">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DA001</w:t>
                  </w:r>
                </w:p>
              </w:tc>
              <w:tc>
                <w:tcPr>
                  <w:tcW w:w="558" w:type="pct"/>
                  <w:tcBorders>
                    <w:tl2br w:val="nil"/>
                    <w:tr2bl w:val="nil"/>
                  </w:tcBorders>
                  <w:shd w:val="clear" w:color="auto" w:fill="auto"/>
                  <w:vAlign w:val="center"/>
                </w:tcPr>
                <w:p w14:paraId="15EA1E74">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w:t>
                  </w:r>
                </w:p>
              </w:tc>
              <w:tc>
                <w:tcPr>
                  <w:tcW w:w="1869" w:type="pct"/>
                  <w:vMerge w:val="continue"/>
                  <w:tcBorders>
                    <w:tl2br w:val="nil"/>
                    <w:tr2bl w:val="nil"/>
                  </w:tcBorders>
                  <w:vAlign w:val="center"/>
                </w:tcPr>
                <w:p w14:paraId="3E040B5D">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7F6DB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4" w:type="pct"/>
                  <w:vMerge w:val="continue"/>
                  <w:tcBorders>
                    <w:tl2br w:val="nil"/>
                    <w:tr2bl w:val="nil"/>
                  </w:tcBorders>
                  <w:vAlign w:val="center"/>
                </w:tcPr>
                <w:p w14:paraId="37AC13CD">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794" w:type="pct"/>
                  <w:tcBorders>
                    <w:tl2br w:val="nil"/>
                    <w:tr2bl w:val="nil"/>
                  </w:tcBorders>
                  <w:vAlign w:val="center"/>
                </w:tcPr>
                <w:p w14:paraId="4B8BA435">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丙烯腈</w:t>
                  </w:r>
                </w:p>
              </w:tc>
              <w:tc>
                <w:tcPr>
                  <w:tcW w:w="674" w:type="pct"/>
                  <w:tcBorders>
                    <w:tl2br w:val="nil"/>
                    <w:tr2bl w:val="nil"/>
                  </w:tcBorders>
                  <w:vAlign w:val="center"/>
                </w:tcPr>
                <w:p w14:paraId="0F38E306">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0.5</w:t>
                  </w:r>
                </w:p>
              </w:tc>
              <w:tc>
                <w:tcPr>
                  <w:tcW w:w="548" w:type="pct"/>
                  <w:tcBorders>
                    <w:tl2br w:val="nil"/>
                    <w:tr2bl w:val="nil"/>
                  </w:tcBorders>
                  <w:shd w:val="clear" w:color="auto" w:fill="auto"/>
                  <w:vAlign w:val="center"/>
                </w:tcPr>
                <w:p w14:paraId="3744FE56">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DA001</w:t>
                  </w:r>
                </w:p>
              </w:tc>
              <w:tc>
                <w:tcPr>
                  <w:tcW w:w="558" w:type="pct"/>
                  <w:tcBorders>
                    <w:tl2br w:val="nil"/>
                    <w:tr2bl w:val="nil"/>
                  </w:tcBorders>
                  <w:shd w:val="clear" w:color="auto" w:fill="auto"/>
                  <w:vAlign w:val="center"/>
                </w:tcPr>
                <w:p w14:paraId="1930CCF3">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15</w:t>
                  </w:r>
                </w:p>
              </w:tc>
              <w:tc>
                <w:tcPr>
                  <w:tcW w:w="1869" w:type="pct"/>
                  <w:vMerge w:val="continue"/>
                  <w:tcBorders>
                    <w:tl2br w:val="nil"/>
                    <w:tr2bl w:val="nil"/>
                  </w:tcBorders>
                  <w:vAlign w:val="center"/>
                </w:tcPr>
                <w:p w14:paraId="7057870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61A84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4" w:type="pct"/>
                  <w:vMerge w:val="continue"/>
                  <w:tcBorders>
                    <w:tl2br w:val="nil"/>
                    <w:tr2bl w:val="nil"/>
                  </w:tcBorders>
                  <w:vAlign w:val="center"/>
                </w:tcPr>
                <w:p w14:paraId="7B7A837B">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794" w:type="pct"/>
                  <w:tcBorders>
                    <w:tl2br w:val="nil"/>
                    <w:tr2bl w:val="nil"/>
                  </w:tcBorders>
                  <w:vAlign w:val="center"/>
                </w:tcPr>
                <w:p w14:paraId="38D43FA8">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1.3-丁二烯</w:t>
                  </w:r>
                </w:p>
              </w:tc>
              <w:tc>
                <w:tcPr>
                  <w:tcW w:w="674" w:type="pct"/>
                  <w:tcBorders>
                    <w:tl2br w:val="nil"/>
                    <w:tr2bl w:val="nil"/>
                  </w:tcBorders>
                  <w:vAlign w:val="center"/>
                </w:tcPr>
                <w:p w14:paraId="631A423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p>
              </w:tc>
              <w:tc>
                <w:tcPr>
                  <w:tcW w:w="548" w:type="pct"/>
                  <w:tcBorders>
                    <w:tl2br w:val="nil"/>
                    <w:tr2bl w:val="nil"/>
                  </w:tcBorders>
                  <w:shd w:val="clear" w:color="auto" w:fill="auto"/>
                  <w:vAlign w:val="center"/>
                </w:tcPr>
                <w:p w14:paraId="4B13D129">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DA001</w:t>
                  </w:r>
                </w:p>
              </w:tc>
              <w:tc>
                <w:tcPr>
                  <w:tcW w:w="558" w:type="pct"/>
                  <w:tcBorders>
                    <w:tl2br w:val="nil"/>
                    <w:tr2bl w:val="nil"/>
                  </w:tcBorders>
                  <w:shd w:val="clear" w:color="auto" w:fill="auto"/>
                  <w:vAlign w:val="center"/>
                </w:tcPr>
                <w:p w14:paraId="3896AD64">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15</w:t>
                  </w:r>
                </w:p>
              </w:tc>
              <w:tc>
                <w:tcPr>
                  <w:tcW w:w="1869" w:type="pct"/>
                  <w:vMerge w:val="continue"/>
                  <w:tcBorders>
                    <w:tl2br w:val="nil"/>
                    <w:tr2bl w:val="nil"/>
                  </w:tcBorders>
                  <w:vAlign w:val="center"/>
                </w:tcPr>
                <w:p w14:paraId="1B0C9164">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6D20A0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4" w:type="pct"/>
                  <w:vMerge w:val="continue"/>
                  <w:tcBorders>
                    <w:tl2br w:val="nil"/>
                    <w:tr2bl w:val="nil"/>
                  </w:tcBorders>
                  <w:vAlign w:val="center"/>
                </w:tcPr>
                <w:p w14:paraId="51E2F728">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794" w:type="pct"/>
                  <w:tcBorders>
                    <w:tl2br w:val="nil"/>
                    <w:tr2bl w:val="nil"/>
                  </w:tcBorders>
                  <w:vAlign w:val="center"/>
                </w:tcPr>
                <w:p w14:paraId="5EDB714C">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甲苯</w:t>
                  </w:r>
                </w:p>
              </w:tc>
              <w:tc>
                <w:tcPr>
                  <w:tcW w:w="674" w:type="pct"/>
                  <w:tcBorders>
                    <w:tl2br w:val="nil"/>
                    <w:tr2bl w:val="nil"/>
                  </w:tcBorders>
                  <w:vAlign w:val="center"/>
                </w:tcPr>
                <w:p w14:paraId="5F1C16AA">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8</w:t>
                  </w:r>
                </w:p>
              </w:tc>
              <w:tc>
                <w:tcPr>
                  <w:tcW w:w="548" w:type="pct"/>
                  <w:tcBorders>
                    <w:tl2br w:val="nil"/>
                    <w:tr2bl w:val="nil"/>
                  </w:tcBorders>
                  <w:shd w:val="clear" w:color="auto" w:fill="auto"/>
                  <w:vAlign w:val="center"/>
                </w:tcPr>
                <w:p w14:paraId="1194E893">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DA001</w:t>
                  </w:r>
                </w:p>
              </w:tc>
              <w:tc>
                <w:tcPr>
                  <w:tcW w:w="558" w:type="pct"/>
                  <w:tcBorders>
                    <w:tl2br w:val="nil"/>
                    <w:tr2bl w:val="nil"/>
                  </w:tcBorders>
                  <w:shd w:val="clear" w:color="auto" w:fill="auto"/>
                  <w:vAlign w:val="center"/>
                </w:tcPr>
                <w:p w14:paraId="0C01087A">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15</w:t>
                  </w:r>
                </w:p>
              </w:tc>
              <w:tc>
                <w:tcPr>
                  <w:tcW w:w="1869" w:type="pct"/>
                  <w:vMerge w:val="continue"/>
                  <w:tcBorders>
                    <w:tl2br w:val="nil"/>
                    <w:tr2bl w:val="nil"/>
                  </w:tcBorders>
                  <w:vAlign w:val="center"/>
                </w:tcPr>
                <w:p w14:paraId="37A50EF4">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7E2F6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4" w:type="pct"/>
                  <w:vMerge w:val="continue"/>
                  <w:tcBorders>
                    <w:tl2br w:val="nil"/>
                    <w:tr2bl w:val="nil"/>
                  </w:tcBorders>
                  <w:vAlign w:val="center"/>
                </w:tcPr>
                <w:p w14:paraId="4198E202">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794" w:type="pct"/>
                  <w:tcBorders>
                    <w:tl2br w:val="nil"/>
                    <w:tr2bl w:val="nil"/>
                  </w:tcBorders>
                  <w:vAlign w:val="center"/>
                </w:tcPr>
                <w:p w14:paraId="2088DFE3">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乙苯</w:t>
                  </w:r>
                </w:p>
              </w:tc>
              <w:tc>
                <w:tcPr>
                  <w:tcW w:w="674" w:type="pct"/>
                  <w:tcBorders>
                    <w:tl2br w:val="nil"/>
                    <w:tr2bl w:val="nil"/>
                  </w:tcBorders>
                  <w:vAlign w:val="center"/>
                </w:tcPr>
                <w:p w14:paraId="562EABD4">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w:t>
                  </w:r>
                </w:p>
              </w:tc>
              <w:tc>
                <w:tcPr>
                  <w:tcW w:w="548" w:type="pct"/>
                  <w:tcBorders>
                    <w:tl2br w:val="nil"/>
                    <w:tr2bl w:val="nil"/>
                  </w:tcBorders>
                  <w:shd w:val="clear" w:color="auto" w:fill="auto"/>
                  <w:vAlign w:val="center"/>
                </w:tcPr>
                <w:p w14:paraId="2BA5C06C">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DA001</w:t>
                  </w:r>
                </w:p>
              </w:tc>
              <w:tc>
                <w:tcPr>
                  <w:tcW w:w="558" w:type="pct"/>
                  <w:tcBorders>
                    <w:tl2br w:val="nil"/>
                    <w:tr2bl w:val="nil"/>
                  </w:tcBorders>
                  <w:shd w:val="clear" w:color="auto" w:fill="auto"/>
                  <w:vAlign w:val="center"/>
                </w:tcPr>
                <w:p w14:paraId="33251835">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15</w:t>
                  </w:r>
                </w:p>
              </w:tc>
              <w:tc>
                <w:tcPr>
                  <w:tcW w:w="1869" w:type="pct"/>
                  <w:vMerge w:val="continue"/>
                  <w:tcBorders>
                    <w:tl2br w:val="nil"/>
                    <w:tr2bl w:val="nil"/>
                  </w:tcBorders>
                  <w:vAlign w:val="center"/>
                </w:tcPr>
                <w:p w14:paraId="55712366">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4AA8E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554" w:type="pct"/>
                  <w:vMerge w:val="continue"/>
                  <w:tcBorders>
                    <w:tl2br w:val="nil"/>
                    <w:tr2bl w:val="nil"/>
                  </w:tcBorders>
                  <w:vAlign w:val="center"/>
                </w:tcPr>
                <w:p w14:paraId="13E55369">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794" w:type="pct"/>
                  <w:tcBorders>
                    <w:tl2br w:val="nil"/>
                    <w:tr2bl w:val="nil"/>
                  </w:tcBorders>
                  <w:vAlign w:val="center"/>
                </w:tcPr>
                <w:p w14:paraId="6551B813">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p>
              </w:tc>
              <w:tc>
                <w:tcPr>
                  <w:tcW w:w="674" w:type="pct"/>
                  <w:tcBorders>
                    <w:tl2br w:val="nil"/>
                    <w:tr2bl w:val="nil"/>
                  </w:tcBorders>
                  <w:vAlign w:val="center"/>
                </w:tcPr>
                <w:p w14:paraId="7CFDBF9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2000</w:t>
                  </w:r>
                </w:p>
                <w:p w14:paraId="3BAAC6EA">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无量纲</w:t>
                  </w:r>
                </w:p>
              </w:tc>
              <w:tc>
                <w:tcPr>
                  <w:tcW w:w="548" w:type="pct"/>
                  <w:tcBorders>
                    <w:tl2br w:val="nil"/>
                    <w:tr2bl w:val="nil"/>
                  </w:tcBorders>
                  <w:vAlign w:val="center"/>
                </w:tcPr>
                <w:p w14:paraId="3929E14B">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DA001</w:t>
                  </w:r>
                </w:p>
              </w:tc>
              <w:tc>
                <w:tcPr>
                  <w:tcW w:w="558" w:type="pct"/>
                  <w:tcBorders>
                    <w:tl2br w:val="nil"/>
                    <w:tr2bl w:val="nil"/>
                  </w:tcBorders>
                  <w:vAlign w:val="center"/>
                </w:tcPr>
                <w:p w14:paraId="144440E3">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15</w:t>
                  </w:r>
                </w:p>
              </w:tc>
              <w:tc>
                <w:tcPr>
                  <w:tcW w:w="1869" w:type="pct"/>
                  <w:tcBorders>
                    <w:tl2br w:val="nil"/>
                    <w:tr2bl w:val="nil"/>
                  </w:tcBorders>
                  <w:vAlign w:val="center"/>
                </w:tcPr>
                <w:p w14:paraId="04AA4240">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《恶臭污染物排放标准》</w:t>
                  </w:r>
                  <w:r>
                    <w:rPr>
                      <w:rFonts w:hint="eastAsia" w:cs="Times New Roman"/>
                      <w:b w:val="0"/>
                      <w:bCs w:val="0"/>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GB14554-93</w:t>
                  </w:r>
                  <w:r>
                    <w:rPr>
                      <w:rFonts w:hint="eastAsia" w:cs="Times New Roman"/>
                      <w:b w:val="0"/>
                      <w:bCs w:val="0"/>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表2标准限值</w:t>
                  </w:r>
                </w:p>
              </w:tc>
            </w:tr>
            <w:tr w14:paraId="4C2698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54" w:type="pct"/>
                  <w:tcBorders>
                    <w:tl2br w:val="nil"/>
                    <w:tr2bl w:val="nil"/>
                  </w:tcBorders>
                  <w:vAlign w:val="center"/>
                </w:tcPr>
                <w:p w14:paraId="4263E923">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破碎</w:t>
                  </w:r>
                </w:p>
              </w:tc>
              <w:tc>
                <w:tcPr>
                  <w:tcW w:w="794" w:type="pct"/>
                  <w:tcBorders>
                    <w:tl2br w:val="nil"/>
                    <w:tr2bl w:val="nil"/>
                  </w:tcBorders>
                  <w:vAlign w:val="center"/>
                </w:tcPr>
                <w:p w14:paraId="7F88BE28">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674" w:type="pct"/>
                  <w:tcBorders>
                    <w:tl2br w:val="nil"/>
                    <w:tr2bl w:val="nil"/>
                  </w:tcBorders>
                  <w:vAlign w:val="center"/>
                </w:tcPr>
                <w:p w14:paraId="57955586">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w:t>
                  </w:r>
                </w:p>
              </w:tc>
              <w:tc>
                <w:tcPr>
                  <w:tcW w:w="548" w:type="pct"/>
                  <w:tcBorders>
                    <w:tl2br w:val="nil"/>
                    <w:tr2bl w:val="nil"/>
                  </w:tcBorders>
                  <w:shd w:val="clear" w:color="auto" w:fill="auto"/>
                  <w:vAlign w:val="center"/>
                </w:tcPr>
                <w:p w14:paraId="35C11CF3">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DA001</w:t>
                  </w:r>
                </w:p>
              </w:tc>
              <w:tc>
                <w:tcPr>
                  <w:tcW w:w="558" w:type="pct"/>
                  <w:tcBorders>
                    <w:tl2br w:val="nil"/>
                    <w:tr2bl w:val="nil"/>
                  </w:tcBorders>
                  <w:shd w:val="clear" w:color="auto" w:fill="auto"/>
                  <w:vAlign w:val="center"/>
                </w:tcPr>
                <w:p w14:paraId="75048028">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15</w:t>
                  </w:r>
                </w:p>
              </w:tc>
              <w:tc>
                <w:tcPr>
                  <w:tcW w:w="1869" w:type="pct"/>
                  <w:tcBorders>
                    <w:tl2br w:val="nil"/>
                    <w:tr2bl w:val="nil"/>
                  </w:tcBorders>
                  <w:vAlign w:val="center"/>
                </w:tcPr>
                <w:p w14:paraId="706F7695">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《合成树脂工业污染物排放标准》（GB31572-2015）及修改单（2024年7月1日起实施）的表5的大气污染物特别排放限值</w:t>
                  </w:r>
                </w:p>
              </w:tc>
            </w:tr>
          </w:tbl>
          <w:p w14:paraId="1E6E69A0">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（2）项目无组织废气污染物排放标准</w:t>
            </w:r>
          </w:p>
          <w:p w14:paraId="1570F159">
            <w:pPr>
              <w:pStyle w:val="46"/>
              <w:keepNext w:val="0"/>
              <w:keepLines w:val="0"/>
              <w:pageBreakBefore w:val="0"/>
              <w:widowControl w:val="0"/>
              <w:kinsoku/>
              <w:wordWrap/>
              <w:overflowPunct/>
              <w:bidi w:val="0"/>
              <w:snapToGrid/>
              <w:ind w:firstLine="480"/>
              <w:rPr>
                <w:rFonts w:hint="default" w:ascii="Times New Roman" w:hAnsi="Times New Roman" w:eastAsia="宋体" w:cs="Times New Roman"/>
                <w:sz w:val="24"/>
                <w:szCs w:val="22"/>
                <w:lang w:val="en-US" w:eastAsia="zh-CN"/>
              </w:rPr>
            </w:pPr>
            <w:r>
              <w:rPr>
                <w:rFonts w:hint="default" w:ascii="Times New Roman" w:hAnsi="Times New Roman" w:eastAsia="宋体" w:cs="Times New Roman"/>
                <w:bCs/>
                <w:color w:val="auto"/>
                <w:kern w:val="2"/>
                <w:sz w:val="24"/>
                <w:szCs w:val="24"/>
                <w:lang w:val="en-US" w:eastAsia="zh-CN" w:bidi="ar-SA"/>
              </w:rPr>
              <w:t>项目所使用的塑料颗粒均为颗粒状，无使用粉末状原料，塑料颗粒直径范围在2-5mm之间，粒径较大</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因此投料工序无粉尘产生。</w:t>
            </w:r>
            <w:r>
              <w:rPr>
                <w:rFonts w:hint="eastAsia" w:cs="Times New Roman"/>
                <w:bCs/>
                <w:color w:val="auto"/>
                <w:kern w:val="2"/>
                <w:sz w:val="24"/>
                <w:szCs w:val="24"/>
                <w:lang w:val="en-US" w:eastAsia="zh-CN" w:bidi="ar-SA"/>
              </w:rPr>
              <w:t>不合格产品经过破碎后回用于生产，此过程会产生破碎粉尘（颗粒物）。</w:t>
            </w:r>
            <w:r>
              <w:rPr>
                <w:rFonts w:hint="default" w:ascii="Times New Roman" w:hAnsi="Times New Roman" w:eastAsia="宋体" w:cs="Times New Roman"/>
                <w:bCs/>
                <w:color w:val="auto"/>
                <w:kern w:val="2"/>
                <w:sz w:val="24"/>
                <w:szCs w:val="24"/>
                <w:lang w:val="en-US" w:eastAsia="zh-CN" w:bidi="ar-SA"/>
              </w:rPr>
              <w:t>注塑工序未收集到的废气（非甲烷总烃、臭气浓度</w:t>
            </w:r>
            <w:r>
              <w:rPr>
                <w:rFonts w:hint="eastAsia" w:cs="Times New Roman"/>
                <w:bCs/>
                <w:color w:val="auto"/>
                <w:kern w:val="2"/>
                <w:sz w:val="24"/>
                <w:szCs w:val="24"/>
                <w:lang w:val="en-US" w:eastAsia="zh-CN" w:bidi="ar-SA"/>
              </w:rPr>
              <w:t>、苯乙烯</w:t>
            </w:r>
            <w:r>
              <w:rPr>
                <w:rFonts w:hint="default" w:ascii="Times New Roman" w:hAnsi="Times New Roman" w:eastAsia="宋体" w:cs="Times New Roman"/>
                <w:bCs/>
                <w:color w:val="auto"/>
                <w:kern w:val="2"/>
                <w:sz w:val="24"/>
                <w:szCs w:val="24"/>
                <w:lang w:val="en-US" w:eastAsia="zh-CN" w:bidi="ar-SA"/>
              </w:rPr>
              <w:t>）车间内无组织排放执行</w:t>
            </w:r>
            <w:r>
              <w:rPr>
                <w:rFonts w:hint="default" w:ascii="Times New Roman" w:hAnsi="Times New Roman" w:eastAsia="宋体" w:cs="Times New Roman"/>
                <w:sz w:val="24"/>
                <w:szCs w:val="22"/>
              </w:rPr>
              <w:t>《合成树脂工业污染物排放标准》</w:t>
            </w:r>
            <w:r>
              <w:rPr>
                <w:rFonts w:hint="eastAsia" w:cs="Times New Roman"/>
                <w:sz w:val="24"/>
                <w:szCs w:val="22"/>
                <w:lang w:eastAsia="zh-CN"/>
              </w:rPr>
              <w:t>（</w:t>
            </w:r>
            <w:r>
              <w:rPr>
                <w:rFonts w:hint="default" w:ascii="Times New Roman" w:hAnsi="Times New Roman" w:eastAsia="宋体" w:cs="Times New Roman"/>
                <w:sz w:val="24"/>
                <w:szCs w:val="22"/>
              </w:rPr>
              <w:t>GB 31572—2015，含2024年修改单</w:t>
            </w:r>
            <w:r>
              <w:rPr>
                <w:rFonts w:hint="eastAsia" w:cs="Times New Roman"/>
                <w:sz w:val="24"/>
                <w:szCs w:val="22"/>
                <w:lang w:eastAsia="zh-CN"/>
              </w:rPr>
              <w:t>）</w:t>
            </w:r>
            <w:r>
              <w:rPr>
                <w:rFonts w:hint="default" w:ascii="Times New Roman" w:hAnsi="Times New Roman" w:eastAsia="宋体" w:cs="Times New Roman"/>
                <w:sz w:val="24"/>
                <w:szCs w:val="22"/>
              </w:rPr>
              <w:t>中表9企业边界大气污染物浓度限值；非甲烷总烃无组织排放同时应符合《挥发性有机物无组织排放控制标准》（GB 37822-2019）表A.1标准特别排放限值</w:t>
            </w:r>
            <w:r>
              <w:rPr>
                <w:rFonts w:hint="eastAsia" w:ascii="Times New Roman" w:hAnsi="Times New Roman" w:eastAsia="宋体" w:cs="Times New Roman"/>
                <w:sz w:val="24"/>
                <w:szCs w:val="22"/>
                <w:lang w:eastAsia="zh-CN"/>
              </w:rPr>
              <w:t>；</w:t>
            </w:r>
            <w:r>
              <w:rPr>
                <w:rFonts w:hint="eastAsia" w:ascii="Times New Roman" w:hAnsi="Times New Roman" w:eastAsia="宋体" w:cs="Times New Roman"/>
                <w:sz w:val="24"/>
                <w:szCs w:val="22"/>
                <w:lang w:val="en-US" w:eastAsia="zh-CN"/>
              </w:rPr>
              <w:t>臭气浓度执行《恶臭污染物排放标准》</w:t>
            </w:r>
            <w:r>
              <w:rPr>
                <w:rFonts w:hint="eastAsia" w:cs="Times New Roman"/>
                <w:sz w:val="24"/>
                <w:szCs w:val="22"/>
                <w:lang w:val="en-US" w:eastAsia="zh-CN"/>
              </w:rPr>
              <w:t>（</w:t>
            </w:r>
            <w:r>
              <w:rPr>
                <w:rFonts w:hint="eastAsia" w:ascii="Times New Roman" w:hAnsi="Times New Roman" w:eastAsia="宋体" w:cs="Times New Roman"/>
                <w:sz w:val="24"/>
                <w:szCs w:val="22"/>
                <w:lang w:val="en-US" w:eastAsia="zh-CN"/>
              </w:rPr>
              <w:t>GB14554-93</w:t>
            </w:r>
            <w:r>
              <w:rPr>
                <w:rFonts w:hint="eastAsia" w:cs="Times New Roman"/>
                <w:sz w:val="24"/>
                <w:szCs w:val="22"/>
                <w:lang w:val="en-US" w:eastAsia="zh-CN"/>
              </w:rPr>
              <w:t>）</w:t>
            </w:r>
            <w:r>
              <w:rPr>
                <w:rFonts w:hint="eastAsia" w:ascii="Times New Roman" w:hAnsi="Times New Roman" w:eastAsia="宋体" w:cs="Times New Roman"/>
                <w:sz w:val="24"/>
                <w:szCs w:val="22"/>
                <w:lang w:val="en-US" w:eastAsia="zh-CN"/>
              </w:rPr>
              <w:t>表1标准限值</w:t>
            </w:r>
            <w:r>
              <w:rPr>
                <w:rFonts w:hint="eastAsia" w:cs="Times New Roman"/>
                <w:sz w:val="24"/>
                <w:szCs w:val="22"/>
                <w:lang w:val="en-US" w:eastAsia="zh-CN"/>
              </w:rPr>
              <w:t>；</w:t>
            </w:r>
            <w:r>
              <w:rPr>
                <w:rFonts w:hint="eastAsia" w:cs="Times New Roman"/>
                <w:sz w:val="24"/>
                <w:szCs w:val="22"/>
                <w:highlight w:val="none"/>
                <w:lang w:val="en-US" w:eastAsia="zh-CN"/>
              </w:rPr>
              <w:t>破碎工序未收集到的粉尘（颗粒物）车间内无组织排放执行</w:t>
            </w:r>
            <w:r>
              <w:rPr>
                <w:rFonts w:hint="eastAsia"/>
              </w:rPr>
              <w:t>《合成树脂工业污染物排放标准》（GB 31572-2015）（含2024年修改单）表9企业边界大气污染物浓度限值</w:t>
            </w:r>
            <w:r>
              <w:rPr>
                <w:rFonts w:hint="eastAsia" w:ascii="Times New Roman" w:hAnsi="Times New Roman" w:eastAsia="宋体" w:cs="Times New Roman"/>
                <w:sz w:val="24"/>
                <w:szCs w:val="22"/>
                <w:lang w:val="en-US" w:eastAsia="zh-CN"/>
              </w:rPr>
              <w:t>；</w:t>
            </w:r>
            <w:r>
              <w:rPr>
                <w:rFonts w:hint="eastAsia" w:ascii="Times New Roman" w:hAnsi="Times New Roman" w:eastAsia="宋体" w:cs="Times New Roman"/>
                <w:sz w:val="24"/>
                <w:szCs w:val="22"/>
                <w:lang w:eastAsia="zh-CN"/>
              </w:rPr>
              <w:t>上述标准具体详见表3.7-</w:t>
            </w:r>
            <w:r>
              <w:rPr>
                <w:rFonts w:hint="eastAsia" w:ascii="Times New Roman" w:hAnsi="Times New Roman" w:eastAsia="宋体" w:cs="Times New Roman"/>
                <w:sz w:val="24"/>
                <w:szCs w:val="22"/>
                <w:lang w:val="en-US" w:eastAsia="zh-CN"/>
              </w:rPr>
              <w:t>4</w:t>
            </w:r>
            <w:r>
              <w:rPr>
                <w:rFonts w:hint="eastAsia" w:ascii="Times New Roman" w:hAnsi="Times New Roman" w:eastAsia="宋体" w:cs="Times New Roman"/>
                <w:sz w:val="24"/>
                <w:szCs w:val="22"/>
                <w:lang w:eastAsia="zh-CN"/>
              </w:rPr>
              <w:t>。</w:t>
            </w:r>
          </w:p>
          <w:p w14:paraId="177BB368">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表3.7-4 无组织废气污染物排放标准</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849"/>
              <w:gridCol w:w="1386"/>
              <w:gridCol w:w="4475"/>
            </w:tblGrid>
            <w:tr w14:paraId="102F9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520" w:type="pct"/>
                  <w:vMerge w:val="restart"/>
                  <w:tcBorders>
                    <w:tl2br w:val="nil"/>
                    <w:tr2bl w:val="nil"/>
                  </w:tcBorders>
                  <w:vAlign w:val="center"/>
                </w:tcPr>
                <w:p w14:paraId="26D6B0B2">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污染物名称</w:t>
                  </w:r>
                </w:p>
              </w:tc>
              <w:tc>
                <w:tcPr>
                  <w:tcW w:w="1879" w:type="pct"/>
                  <w:gridSpan w:val="2"/>
                  <w:tcBorders>
                    <w:tl2br w:val="nil"/>
                    <w:tr2bl w:val="nil"/>
                  </w:tcBorders>
                  <w:vAlign w:val="center"/>
                </w:tcPr>
                <w:p w14:paraId="3FFA1AF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无组织排放浓度限值</w:t>
                  </w:r>
                </w:p>
              </w:tc>
              <w:tc>
                <w:tcPr>
                  <w:tcW w:w="2599" w:type="pct"/>
                  <w:vMerge w:val="restart"/>
                  <w:tcBorders>
                    <w:tl2br w:val="nil"/>
                    <w:tr2bl w:val="nil"/>
                  </w:tcBorders>
                  <w:vAlign w:val="center"/>
                </w:tcPr>
                <w:p w14:paraId="661FF10D">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执行标准</w:t>
                  </w:r>
                </w:p>
              </w:tc>
            </w:tr>
            <w:tr w14:paraId="02179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20" w:type="pct"/>
                  <w:vMerge w:val="continue"/>
                  <w:tcBorders>
                    <w:tl2br w:val="nil"/>
                    <w:tr2bl w:val="nil"/>
                  </w:tcBorders>
                  <w:vAlign w:val="center"/>
                </w:tcPr>
                <w:p w14:paraId="7A7E28E0">
                  <w:pPr>
                    <w:pageBreakBefore w:val="0"/>
                    <w:widowControl w:val="0"/>
                    <w:kinsoku/>
                    <w:wordWrap/>
                    <w:overflowPunct/>
                    <w:topLinePunct w:val="0"/>
                    <w:autoSpaceDE/>
                    <w:autoSpaceDN/>
                    <w:bidi w:val="0"/>
                    <w:adjustRightInd/>
                    <w:snapToGrid/>
                    <w:spacing w:line="240" w:lineRule="auto"/>
                    <w:jc w:val="center"/>
                    <w:textAlignment w:val="auto"/>
                    <w:outlineLvl w:val="9"/>
                  </w:pPr>
                </w:p>
              </w:tc>
              <w:tc>
                <w:tcPr>
                  <w:tcW w:w="1074" w:type="pct"/>
                  <w:tcBorders>
                    <w:tl2br w:val="nil"/>
                    <w:tr2bl w:val="nil"/>
                  </w:tcBorders>
                  <w:vAlign w:val="center"/>
                </w:tcPr>
                <w:p w14:paraId="721E0662">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监控点</w:t>
                  </w:r>
                </w:p>
              </w:tc>
              <w:tc>
                <w:tcPr>
                  <w:tcW w:w="805" w:type="pct"/>
                  <w:tcBorders>
                    <w:tl2br w:val="nil"/>
                    <w:tr2bl w:val="nil"/>
                  </w:tcBorders>
                  <w:vAlign w:val="center"/>
                </w:tcPr>
                <w:p w14:paraId="19AE9CDA">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浓度mg/m</w:t>
                  </w:r>
                  <w:r>
                    <w:rPr>
                      <w:rFonts w:hint="eastAsia" w:ascii="Times New Roman" w:hAnsi="Times New Roman" w:eastAsia="宋体" w:cs="Times New Roman"/>
                      <w:b w:val="0"/>
                      <w:bCs w:val="0"/>
                      <w:sz w:val="21"/>
                      <w:szCs w:val="21"/>
                      <w:vertAlign w:val="superscript"/>
                      <w:lang w:val="en-US" w:eastAsia="zh-CN"/>
                    </w:rPr>
                    <w:t>3</w:t>
                  </w:r>
                </w:p>
              </w:tc>
              <w:tc>
                <w:tcPr>
                  <w:tcW w:w="2599" w:type="pct"/>
                  <w:vMerge w:val="continue"/>
                  <w:tcBorders>
                    <w:tl2br w:val="nil"/>
                    <w:tr2bl w:val="nil"/>
                  </w:tcBorders>
                  <w:vAlign w:val="center"/>
                </w:tcPr>
                <w:p w14:paraId="10099025">
                  <w:pPr>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51A67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20" w:type="pct"/>
                  <w:vMerge w:val="restart"/>
                  <w:tcBorders>
                    <w:tl2br w:val="nil"/>
                    <w:tr2bl w:val="nil"/>
                  </w:tcBorders>
                  <w:vAlign w:val="center"/>
                </w:tcPr>
                <w:p w14:paraId="25C111EA">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非甲烷总烃</w:t>
                  </w:r>
                </w:p>
              </w:tc>
              <w:tc>
                <w:tcPr>
                  <w:tcW w:w="1074" w:type="pct"/>
                  <w:tcBorders>
                    <w:tl2br w:val="nil"/>
                    <w:tr2bl w:val="nil"/>
                  </w:tcBorders>
                  <w:vAlign w:val="center"/>
                </w:tcPr>
                <w:p w14:paraId="4E497168">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企业边界</w:t>
                  </w:r>
                </w:p>
              </w:tc>
              <w:tc>
                <w:tcPr>
                  <w:tcW w:w="805" w:type="pct"/>
                  <w:tcBorders>
                    <w:tl2br w:val="nil"/>
                    <w:tr2bl w:val="nil"/>
                  </w:tcBorders>
                  <w:vAlign w:val="center"/>
                </w:tcPr>
                <w:p w14:paraId="1555D231">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4.0</w:t>
                  </w:r>
                </w:p>
              </w:tc>
              <w:tc>
                <w:tcPr>
                  <w:tcW w:w="2599" w:type="pct"/>
                  <w:tcBorders>
                    <w:tl2br w:val="nil"/>
                    <w:tr2bl w:val="nil"/>
                  </w:tcBorders>
                  <w:vAlign w:val="center"/>
                </w:tcPr>
                <w:p w14:paraId="3DD9F2A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ascii="Times New Roman"/>
                      <w:color w:val="auto"/>
                      <w:u w:val="none"/>
                      <w:lang w:bidi="he-IL"/>
                    </w:rPr>
                    <w:t>《合成树脂工业污染物排放标准》</w:t>
                  </w:r>
                  <w:r>
                    <w:rPr>
                      <w:rFonts w:hint="eastAsia"/>
                      <w:color w:val="auto"/>
                      <w:u w:val="none"/>
                      <w:lang w:eastAsia="zh-CN" w:bidi="he-IL"/>
                    </w:rPr>
                    <w:t>（</w:t>
                  </w:r>
                  <w:r>
                    <w:rPr>
                      <w:rFonts w:ascii="Times New Roman"/>
                      <w:color w:val="auto"/>
                      <w:u w:val="none"/>
                      <w:lang w:bidi="he-IL"/>
                    </w:rPr>
                    <w:t>GB31572-2015</w:t>
                  </w:r>
                  <w:r>
                    <w:rPr>
                      <w:rFonts w:hint="eastAsia"/>
                      <w:color w:val="auto"/>
                      <w:u w:val="none"/>
                      <w:lang w:eastAsia="zh-CN" w:bidi="he-IL"/>
                    </w:rPr>
                    <w:t>）</w:t>
                  </w:r>
                  <w:r>
                    <w:rPr>
                      <w:rFonts w:hint="eastAsia" w:ascii="Times New Roman"/>
                      <w:color w:val="auto"/>
                      <w:u w:val="none"/>
                      <w:lang w:eastAsia="zh-CN" w:bidi="he-IL"/>
                    </w:rPr>
                    <w:t>及修改单</w:t>
                  </w:r>
                  <w:r>
                    <w:rPr>
                      <w:rFonts w:hint="eastAsia" w:ascii="Times New Roman"/>
                      <w:color w:val="auto"/>
                      <w:u w:val="none"/>
                      <w:lang w:bidi="he-IL"/>
                    </w:rPr>
                    <w:t>表</w:t>
                  </w:r>
                  <w:r>
                    <w:rPr>
                      <w:rFonts w:hint="eastAsia" w:ascii="Times New Roman"/>
                      <w:color w:val="auto"/>
                      <w:u w:val="none"/>
                      <w:lang w:val="en-US" w:eastAsia="zh-CN" w:bidi="he-IL"/>
                    </w:rPr>
                    <w:t>9</w:t>
                  </w:r>
                </w:p>
              </w:tc>
            </w:tr>
            <w:tr w14:paraId="7545B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520" w:type="pct"/>
                  <w:vMerge w:val="continue"/>
                  <w:tcBorders>
                    <w:tl2br w:val="nil"/>
                    <w:tr2bl w:val="nil"/>
                  </w:tcBorders>
                  <w:vAlign w:val="center"/>
                </w:tcPr>
                <w:p w14:paraId="014855DA">
                  <w:pPr>
                    <w:pageBreakBefore w:val="0"/>
                    <w:widowControl w:val="0"/>
                    <w:kinsoku/>
                    <w:wordWrap/>
                    <w:overflowPunct/>
                    <w:topLinePunct w:val="0"/>
                    <w:autoSpaceDE/>
                    <w:autoSpaceDN/>
                    <w:bidi w:val="0"/>
                    <w:adjustRightInd/>
                    <w:snapToGrid/>
                    <w:spacing w:line="240" w:lineRule="auto"/>
                    <w:jc w:val="center"/>
                    <w:textAlignment w:val="auto"/>
                    <w:outlineLvl w:val="9"/>
                  </w:pPr>
                </w:p>
              </w:tc>
              <w:tc>
                <w:tcPr>
                  <w:tcW w:w="1074" w:type="pct"/>
                  <w:tcBorders>
                    <w:tl2br w:val="nil"/>
                    <w:tr2bl w:val="nil"/>
                  </w:tcBorders>
                  <w:vAlign w:val="center"/>
                </w:tcPr>
                <w:p w14:paraId="09D58FBC">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厂区内监控点处1小时平均浓度值</w:t>
                  </w:r>
                </w:p>
              </w:tc>
              <w:tc>
                <w:tcPr>
                  <w:tcW w:w="805" w:type="pct"/>
                  <w:tcBorders>
                    <w:tl2br w:val="nil"/>
                    <w:tr2bl w:val="nil"/>
                  </w:tcBorders>
                  <w:vAlign w:val="center"/>
                </w:tcPr>
                <w:p w14:paraId="6DE53B11">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6</w:t>
                  </w:r>
                </w:p>
              </w:tc>
              <w:tc>
                <w:tcPr>
                  <w:tcW w:w="2599" w:type="pct"/>
                  <w:vMerge w:val="restart"/>
                  <w:tcBorders>
                    <w:tl2br w:val="nil"/>
                    <w:tr2bl w:val="nil"/>
                  </w:tcBorders>
                  <w:vAlign w:val="center"/>
                </w:tcPr>
                <w:p w14:paraId="3D3A57EB">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color w:val="000000"/>
                      <w:highlight w:val="none"/>
                    </w:rPr>
                    <w:t>《挥发性有机物无组织排放控制标准》（GB37822-2019）附录A表A.1</w:t>
                  </w:r>
                  <w:r>
                    <w:rPr>
                      <w:rFonts w:hint="eastAsia"/>
                      <w:color w:val="000000"/>
                      <w:highlight w:val="none"/>
                      <w:lang w:val="en-US" w:eastAsia="zh-CN"/>
                    </w:rPr>
                    <w:t>标准特别排放限值</w:t>
                  </w:r>
                </w:p>
              </w:tc>
            </w:tr>
            <w:tr w14:paraId="5F9136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520" w:type="pct"/>
                  <w:vMerge w:val="continue"/>
                  <w:tcBorders>
                    <w:tl2br w:val="nil"/>
                    <w:tr2bl w:val="nil"/>
                  </w:tcBorders>
                  <w:vAlign w:val="center"/>
                </w:tcPr>
                <w:p w14:paraId="781C8666">
                  <w:pPr>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074" w:type="pct"/>
                  <w:tcBorders>
                    <w:tl2br w:val="nil"/>
                    <w:tr2bl w:val="nil"/>
                  </w:tcBorders>
                  <w:vAlign w:val="center"/>
                </w:tcPr>
                <w:p w14:paraId="4EE71078">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厂区内监控点处任意一次浓度值</w:t>
                  </w:r>
                </w:p>
              </w:tc>
              <w:tc>
                <w:tcPr>
                  <w:tcW w:w="805" w:type="pct"/>
                  <w:tcBorders>
                    <w:tl2br w:val="nil"/>
                    <w:tr2bl w:val="nil"/>
                  </w:tcBorders>
                  <w:vAlign w:val="center"/>
                </w:tcPr>
                <w:p w14:paraId="66701070">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20</w:t>
                  </w:r>
                </w:p>
              </w:tc>
              <w:tc>
                <w:tcPr>
                  <w:tcW w:w="2599" w:type="pct"/>
                  <w:vMerge w:val="continue"/>
                  <w:tcBorders>
                    <w:tl2br w:val="nil"/>
                    <w:tr2bl w:val="nil"/>
                  </w:tcBorders>
                  <w:vAlign w:val="center"/>
                </w:tcPr>
                <w:p w14:paraId="7A03C884">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r>
            <w:tr w14:paraId="400AF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20" w:type="pct"/>
                  <w:tcBorders>
                    <w:tl2br w:val="nil"/>
                    <w:tr2bl w:val="nil"/>
                  </w:tcBorders>
                  <w:shd w:val="clear" w:color="auto" w:fill="auto"/>
                  <w:vAlign w:val="center"/>
                </w:tcPr>
                <w:p w14:paraId="35390F22">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颗粒物</w:t>
                  </w:r>
                </w:p>
              </w:tc>
              <w:tc>
                <w:tcPr>
                  <w:tcW w:w="1074" w:type="pct"/>
                  <w:tcBorders>
                    <w:tl2br w:val="nil"/>
                    <w:tr2bl w:val="nil"/>
                  </w:tcBorders>
                  <w:shd w:val="clear" w:color="auto" w:fill="auto"/>
                  <w:vAlign w:val="center"/>
                </w:tcPr>
                <w:p w14:paraId="4A2C249A">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企业边界</w:t>
                  </w:r>
                </w:p>
              </w:tc>
              <w:tc>
                <w:tcPr>
                  <w:tcW w:w="805" w:type="pct"/>
                  <w:tcBorders>
                    <w:tl2br w:val="nil"/>
                    <w:tr2bl w:val="nil"/>
                  </w:tcBorders>
                  <w:shd w:val="clear" w:color="auto" w:fill="auto"/>
                  <w:vAlign w:val="center"/>
                </w:tcPr>
                <w:p w14:paraId="5F747B4E">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1.0</w:t>
                  </w:r>
                </w:p>
              </w:tc>
              <w:tc>
                <w:tcPr>
                  <w:tcW w:w="2599" w:type="pct"/>
                  <w:vMerge w:val="restart"/>
                  <w:tcBorders>
                    <w:tl2br w:val="nil"/>
                    <w:tr2bl w:val="nil"/>
                  </w:tcBorders>
                  <w:shd w:val="clear" w:color="auto" w:fill="auto"/>
                  <w:vAlign w:val="center"/>
                </w:tcPr>
                <w:p w14:paraId="47279974">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rPr>
                  </w:pPr>
                  <w:r>
                    <w:rPr>
                      <w:rFonts w:hint="eastAsia"/>
                    </w:rPr>
                    <w:t>《合成树脂工业污染物排放标准》</w:t>
                  </w:r>
                </w:p>
                <w:p w14:paraId="5EE09AB8">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rPr>
                    <w:t>（GB 31572-2015）（含2024年修改单）表9企业边界大气污染物浓度限值</w:t>
                  </w:r>
                </w:p>
              </w:tc>
            </w:tr>
            <w:tr w14:paraId="7DBF5A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520" w:type="pct"/>
                  <w:tcBorders>
                    <w:tl2br w:val="nil"/>
                    <w:tr2bl w:val="nil"/>
                  </w:tcBorders>
                  <w:vAlign w:val="center"/>
                </w:tcPr>
                <w:p w14:paraId="15549684">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甲苯</w:t>
                  </w:r>
                </w:p>
              </w:tc>
              <w:tc>
                <w:tcPr>
                  <w:tcW w:w="1074" w:type="pct"/>
                  <w:tcBorders>
                    <w:tl2br w:val="nil"/>
                    <w:tr2bl w:val="nil"/>
                  </w:tcBorders>
                  <w:vAlign w:val="center"/>
                </w:tcPr>
                <w:p w14:paraId="1349B867">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企业边界</w:t>
                  </w:r>
                </w:p>
              </w:tc>
              <w:tc>
                <w:tcPr>
                  <w:tcW w:w="805" w:type="pct"/>
                  <w:tcBorders>
                    <w:tl2br w:val="nil"/>
                    <w:tr2bl w:val="nil"/>
                  </w:tcBorders>
                  <w:vAlign w:val="center"/>
                </w:tcPr>
                <w:p w14:paraId="7A6A283C">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0.8</w:t>
                  </w:r>
                </w:p>
              </w:tc>
              <w:tc>
                <w:tcPr>
                  <w:tcW w:w="2599" w:type="pct"/>
                  <w:vMerge w:val="continue"/>
                  <w:tcBorders>
                    <w:tl2br w:val="nil"/>
                    <w:tr2bl w:val="nil"/>
                  </w:tcBorders>
                  <w:vAlign w:val="center"/>
                </w:tcPr>
                <w:p w14:paraId="07537FA7">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r>
            <w:tr w14:paraId="75AD6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0" w:type="pct"/>
                  <w:tcBorders>
                    <w:tl2br w:val="nil"/>
                    <w:tr2bl w:val="nil"/>
                  </w:tcBorders>
                  <w:vAlign w:val="center"/>
                </w:tcPr>
                <w:p w14:paraId="5B98F7C8">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臭气浓度</w:t>
                  </w:r>
                </w:p>
              </w:tc>
              <w:tc>
                <w:tcPr>
                  <w:tcW w:w="1074" w:type="pct"/>
                  <w:tcBorders>
                    <w:tl2br w:val="nil"/>
                    <w:tr2bl w:val="nil"/>
                  </w:tcBorders>
                  <w:vAlign w:val="center"/>
                </w:tcPr>
                <w:p w14:paraId="3258DF22">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企业边界</w:t>
                  </w:r>
                </w:p>
              </w:tc>
              <w:tc>
                <w:tcPr>
                  <w:tcW w:w="805" w:type="pct"/>
                  <w:tcBorders>
                    <w:tl2br w:val="nil"/>
                    <w:tr2bl w:val="nil"/>
                  </w:tcBorders>
                  <w:vAlign w:val="center"/>
                </w:tcPr>
                <w:p w14:paraId="18B7EB3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20（无量纲）</w:t>
                  </w:r>
                </w:p>
              </w:tc>
              <w:tc>
                <w:tcPr>
                  <w:tcW w:w="2599" w:type="pct"/>
                  <w:tcBorders>
                    <w:tl2br w:val="nil"/>
                    <w:tr2bl w:val="nil"/>
                  </w:tcBorders>
                  <w:vAlign w:val="center"/>
                </w:tcPr>
                <w:p w14:paraId="1FFAB5B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《恶臭污染物排放标准》</w:t>
                  </w:r>
                </w:p>
                <w:p w14:paraId="427042B5">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(GB14554-93</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表2标准限值-新扩改建标准限值</w:t>
                  </w:r>
                </w:p>
              </w:tc>
            </w:tr>
          </w:tbl>
          <w:p w14:paraId="4909B73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66" w:name="_Toc9144"/>
            <w:r>
              <w:rPr>
                <w:rFonts w:hint="eastAsia" w:ascii="Times New Roman" w:hAnsi="Times New Roman" w:eastAsia="宋体" w:cs="Times New Roman"/>
                <w:b/>
                <w:bCs/>
                <w:color w:val="auto"/>
                <w:sz w:val="24"/>
                <w:szCs w:val="24"/>
                <w:u w:val="none"/>
                <w:lang w:val="en-US" w:eastAsia="zh-CN"/>
              </w:rPr>
              <w:t>3.7.3噪声</w:t>
            </w:r>
            <w:bookmarkEnd w:id="66"/>
          </w:p>
          <w:p w14:paraId="496C66E6">
            <w:pPr>
              <w:widowControl/>
              <w:spacing w:line="360" w:lineRule="auto"/>
              <w:ind w:firstLine="480" w:firstLineChars="200"/>
              <w:jc w:val="both"/>
              <w:rPr>
                <w:rFonts w:hint="default" w:eastAsia="宋体"/>
                <w:sz w:val="24"/>
                <w:lang w:val="en-US" w:eastAsia="zh-CN"/>
              </w:rPr>
            </w:pPr>
            <w:r>
              <w:rPr>
                <w:sz w:val="24"/>
                <w:lang w:val="zh-CN"/>
              </w:rPr>
              <w:t>项目</w:t>
            </w:r>
            <w:r>
              <w:rPr>
                <w:rFonts w:hint="default" w:ascii="Times New Roman" w:hAnsi="Times New Roman" w:eastAsia="宋体" w:cs="Times New Roman"/>
                <w:color w:val="auto"/>
                <w:sz w:val="24"/>
                <w:szCs w:val="24"/>
              </w:rPr>
              <w:t>运营期</w:t>
            </w:r>
            <w:r>
              <w:rPr>
                <w:sz w:val="24"/>
                <w:lang w:val="zh-CN"/>
              </w:rPr>
              <w:t>厂界噪声排放执行《工业企业厂界环境噪声排放标准》</w:t>
            </w:r>
            <w:r>
              <w:rPr>
                <w:rFonts w:hint="eastAsia"/>
                <w:sz w:val="24"/>
                <w:lang w:val="zh-CN"/>
              </w:rPr>
              <w:t>（</w:t>
            </w:r>
            <w:r>
              <w:rPr>
                <w:sz w:val="24"/>
                <w:lang w:val="zh-CN"/>
              </w:rPr>
              <w:t>GB12348-2008</w:t>
            </w:r>
            <w:r>
              <w:rPr>
                <w:rFonts w:hint="eastAsia"/>
                <w:sz w:val="24"/>
                <w:lang w:val="zh-CN"/>
              </w:rPr>
              <w:t>）</w:t>
            </w:r>
            <w:r>
              <w:rPr>
                <w:rFonts w:hint="eastAsia"/>
                <w:sz w:val="24"/>
                <w:lang w:val="en-US" w:eastAsia="zh-CN"/>
              </w:rPr>
              <w:t>表1</w:t>
            </w:r>
            <w:r>
              <w:rPr>
                <w:sz w:val="24"/>
                <w:lang w:val="zh-CN"/>
              </w:rPr>
              <w:t>中的3类标准。</w:t>
            </w:r>
            <w:r>
              <w:rPr>
                <w:rFonts w:hint="eastAsia"/>
                <w:sz w:val="24"/>
                <w:lang w:val="en-US" w:eastAsia="zh-CN"/>
              </w:rPr>
              <w:t>详见表3.7-5。</w:t>
            </w:r>
          </w:p>
          <w:p w14:paraId="7725FEEA">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bookmarkStart w:id="67" w:name="_Toc19195"/>
            <w:bookmarkStart w:id="68" w:name="_Toc8302"/>
            <w:bookmarkStart w:id="69" w:name="_Toc25865"/>
            <w:bookmarkStart w:id="70" w:name="_Toc31199"/>
            <w:r>
              <w:rPr>
                <w:rFonts w:hint="default" w:ascii="Times New Roman" w:hAnsi="Times New Roman" w:eastAsia="宋体" w:cs="Times New Roman"/>
                <w:b/>
                <w:bCs/>
                <w:color w:val="auto"/>
                <w:sz w:val="24"/>
                <w:szCs w:val="24"/>
                <w:u w:val="none"/>
                <w:lang w:val="en-US" w:eastAsia="zh-CN"/>
              </w:rPr>
              <w:t>表3.7-5 《工业企业厂界环境噪声排放标准》（GB12348-2008）表1（摘录）</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130"/>
              <w:gridCol w:w="1525"/>
              <w:gridCol w:w="1444"/>
              <w:gridCol w:w="1506"/>
            </w:tblGrid>
            <w:tr w14:paraId="16895F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2399" w:type="pct"/>
                  <w:tcBorders>
                    <w:tl2br w:val="single" w:color="auto" w:sz="2" w:space="0"/>
                  </w:tcBorders>
                  <w:noWrap w:val="0"/>
                  <w:vAlign w:val="center"/>
                </w:tcPr>
                <w:p w14:paraId="56861939">
                  <w:pPr>
                    <w:snapToGrid w:val="0"/>
                    <w:spacing w:line="340" w:lineRule="exact"/>
                    <w:jc w:val="right"/>
                    <w:rPr>
                      <w:snapToGrid w:val="0"/>
                      <w:kern w:val="18"/>
                      <w:szCs w:val="21"/>
                    </w:rPr>
                  </w:pPr>
                  <w:r>
                    <w:rPr>
                      <w:snapToGrid w:val="0"/>
                      <w:kern w:val="18"/>
                      <w:szCs w:val="21"/>
                    </w:rPr>
                    <w:t>时段</w:t>
                  </w:r>
                </w:p>
                <w:p w14:paraId="086E30E4">
                  <w:pPr>
                    <w:snapToGrid w:val="0"/>
                    <w:spacing w:line="340" w:lineRule="exact"/>
                    <w:rPr>
                      <w:snapToGrid w:val="0"/>
                      <w:kern w:val="18"/>
                      <w:szCs w:val="21"/>
                    </w:rPr>
                  </w:pPr>
                  <w:r>
                    <w:rPr>
                      <w:snapToGrid w:val="0"/>
                      <w:kern w:val="18"/>
                      <w:szCs w:val="21"/>
                    </w:rPr>
                    <w:t>厂界外声环境功能区类别</w:t>
                  </w:r>
                </w:p>
              </w:tc>
              <w:tc>
                <w:tcPr>
                  <w:tcW w:w="886" w:type="pct"/>
                  <w:noWrap w:val="0"/>
                  <w:vAlign w:val="center"/>
                </w:tcPr>
                <w:p w14:paraId="67794D6D">
                  <w:pPr>
                    <w:snapToGrid w:val="0"/>
                    <w:spacing w:line="340" w:lineRule="exact"/>
                    <w:jc w:val="center"/>
                    <w:rPr>
                      <w:rFonts w:hint="eastAsia" w:eastAsia="宋体"/>
                      <w:snapToGrid w:val="0"/>
                      <w:kern w:val="18"/>
                      <w:szCs w:val="21"/>
                      <w:lang w:val="en-US" w:eastAsia="zh-CN"/>
                    </w:rPr>
                  </w:pPr>
                  <w:r>
                    <w:rPr>
                      <w:rFonts w:hint="eastAsia"/>
                      <w:snapToGrid w:val="0"/>
                      <w:kern w:val="18"/>
                      <w:szCs w:val="21"/>
                      <w:lang w:val="en-US" w:eastAsia="zh-CN"/>
                    </w:rPr>
                    <w:t>单位</w:t>
                  </w:r>
                </w:p>
              </w:tc>
              <w:tc>
                <w:tcPr>
                  <w:tcW w:w="839" w:type="pct"/>
                  <w:noWrap w:val="0"/>
                  <w:vAlign w:val="center"/>
                </w:tcPr>
                <w:p w14:paraId="428C4BA4">
                  <w:pPr>
                    <w:snapToGrid w:val="0"/>
                    <w:spacing w:line="340" w:lineRule="exact"/>
                    <w:jc w:val="center"/>
                    <w:rPr>
                      <w:rFonts w:hint="default" w:eastAsia="宋体"/>
                      <w:snapToGrid w:val="0"/>
                      <w:kern w:val="18"/>
                      <w:szCs w:val="21"/>
                      <w:lang w:val="en-US" w:eastAsia="zh-CN"/>
                    </w:rPr>
                  </w:pPr>
                  <w:r>
                    <w:rPr>
                      <w:rFonts w:hint="eastAsia" w:eastAsia="宋体"/>
                      <w:snapToGrid w:val="0"/>
                      <w:kern w:val="18"/>
                      <w:szCs w:val="21"/>
                      <w:lang w:val="en-US" w:eastAsia="zh-CN"/>
                    </w:rPr>
                    <w:t>昼间</w:t>
                  </w:r>
                </w:p>
              </w:tc>
              <w:tc>
                <w:tcPr>
                  <w:tcW w:w="874" w:type="pct"/>
                  <w:noWrap w:val="0"/>
                  <w:vAlign w:val="center"/>
                </w:tcPr>
                <w:p w14:paraId="2D7CA426">
                  <w:pPr>
                    <w:snapToGrid w:val="0"/>
                    <w:spacing w:line="340" w:lineRule="exact"/>
                    <w:jc w:val="center"/>
                    <w:rPr>
                      <w:rFonts w:hint="default"/>
                      <w:snapToGrid w:val="0"/>
                      <w:kern w:val="18"/>
                      <w:szCs w:val="21"/>
                      <w:lang w:val="en-US" w:eastAsia="zh-CN"/>
                    </w:rPr>
                  </w:pPr>
                  <w:r>
                    <w:rPr>
                      <w:rFonts w:hint="eastAsia"/>
                      <w:snapToGrid w:val="0"/>
                      <w:kern w:val="18"/>
                      <w:szCs w:val="21"/>
                      <w:lang w:val="en-US" w:eastAsia="zh-CN"/>
                    </w:rPr>
                    <w:t>夜间</w:t>
                  </w:r>
                </w:p>
              </w:tc>
            </w:tr>
            <w:tr w14:paraId="1BD5AF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99" w:type="pct"/>
                  <w:noWrap w:val="0"/>
                  <w:vAlign w:val="center"/>
                </w:tcPr>
                <w:p w14:paraId="7E159094">
                  <w:pPr>
                    <w:snapToGrid w:val="0"/>
                    <w:spacing w:line="340" w:lineRule="exact"/>
                    <w:jc w:val="center"/>
                    <w:rPr>
                      <w:snapToGrid w:val="0"/>
                      <w:kern w:val="18"/>
                      <w:szCs w:val="21"/>
                    </w:rPr>
                  </w:pPr>
                  <w:r>
                    <w:rPr>
                      <w:rFonts w:hint="eastAsia"/>
                      <w:snapToGrid w:val="0"/>
                      <w:kern w:val="18"/>
                      <w:szCs w:val="21"/>
                    </w:rPr>
                    <w:t>3</w:t>
                  </w:r>
                  <w:r>
                    <w:rPr>
                      <w:snapToGrid w:val="0"/>
                      <w:kern w:val="18"/>
                      <w:szCs w:val="21"/>
                    </w:rPr>
                    <w:t>类</w:t>
                  </w:r>
                </w:p>
              </w:tc>
              <w:tc>
                <w:tcPr>
                  <w:tcW w:w="886" w:type="pct"/>
                  <w:noWrap w:val="0"/>
                  <w:vAlign w:val="center"/>
                </w:tcPr>
                <w:p w14:paraId="6B1F140A">
                  <w:pPr>
                    <w:snapToGrid w:val="0"/>
                    <w:spacing w:line="340" w:lineRule="exact"/>
                    <w:jc w:val="center"/>
                    <w:rPr>
                      <w:rFonts w:hint="default" w:eastAsia="宋体"/>
                      <w:snapToGrid w:val="0"/>
                      <w:kern w:val="18"/>
                      <w:szCs w:val="21"/>
                      <w:lang w:val="en-US" w:eastAsia="zh-CN"/>
                    </w:rPr>
                  </w:pPr>
                  <w:r>
                    <w:rPr>
                      <w:rFonts w:hint="eastAsia"/>
                      <w:snapToGrid w:val="0"/>
                      <w:kern w:val="18"/>
                      <w:szCs w:val="21"/>
                      <w:lang w:val="en-US" w:eastAsia="zh-CN"/>
                    </w:rPr>
                    <w:t>dB(A)</w:t>
                  </w:r>
                </w:p>
              </w:tc>
              <w:tc>
                <w:tcPr>
                  <w:tcW w:w="839" w:type="pct"/>
                  <w:noWrap w:val="0"/>
                  <w:vAlign w:val="center"/>
                </w:tcPr>
                <w:p w14:paraId="2ABD76ED">
                  <w:pPr>
                    <w:snapToGrid w:val="0"/>
                    <w:spacing w:line="340" w:lineRule="exact"/>
                    <w:jc w:val="center"/>
                    <w:rPr>
                      <w:rFonts w:hint="default"/>
                      <w:snapToGrid w:val="0"/>
                      <w:kern w:val="18"/>
                      <w:szCs w:val="21"/>
                      <w:lang w:val="en-US"/>
                    </w:rPr>
                  </w:pPr>
                  <w:r>
                    <w:rPr>
                      <w:snapToGrid w:val="0"/>
                      <w:kern w:val="18"/>
                      <w:szCs w:val="21"/>
                    </w:rPr>
                    <w:t>≤</w:t>
                  </w:r>
                  <w:r>
                    <w:rPr>
                      <w:rFonts w:hint="eastAsia"/>
                      <w:snapToGrid w:val="0"/>
                      <w:kern w:val="18"/>
                      <w:szCs w:val="21"/>
                      <w:lang w:val="en-US" w:eastAsia="zh-CN"/>
                    </w:rPr>
                    <w:t>65</w:t>
                  </w:r>
                </w:p>
              </w:tc>
              <w:tc>
                <w:tcPr>
                  <w:tcW w:w="874" w:type="pct"/>
                  <w:noWrap w:val="0"/>
                  <w:vAlign w:val="center"/>
                </w:tcPr>
                <w:p w14:paraId="2C40C0FD">
                  <w:pPr>
                    <w:snapToGrid w:val="0"/>
                    <w:spacing w:line="340" w:lineRule="exact"/>
                    <w:jc w:val="center"/>
                    <w:rPr>
                      <w:rFonts w:hint="default" w:eastAsia="宋体"/>
                      <w:snapToGrid w:val="0"/>
                      <w:kern w:val="18"/>
                      <w:szCs w:val="21"/>
                      <w:lang w:val="en-US" w:eastAsia="zh-CN"/>
                    </w:rPr>
                  </w:pPr>
                  <w:r>
                    <w:rPr>
                      <w:snapToGrid w:val="0"/>
                      <w:kern w:val="18"/>
                      <w:szCs w:val="21"/>
                    </w:rPr>
                    <w:t>≤</w:t>
                  </w:r>
                  <w:r>
                    <w:rPr>
                      <w:rFonts w:hint="eastAsia"/>
                      <w:snapToGrid w:val="0"/>
                      <w:kern w:val="18"/>
                      <w:szCs w:val="21"/>
                      <w:lang w:val="en-US" w:eastAsia="zh-CN"/>
                    </w:rPr>
                    <w:t>55</w:t>
                  </w:r>
                </w:p>
              </w:tc>
            </w:tr>
          </w:tbl>
          <w:p w14:paraId="05C4978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71" w:name="_Toc32633"/>
            <w:r>
              <w:rPr>
                <w:rFonts w:hint="eastAsia" w:ascii="Times New Roman" w:hAnsi="Times New Roman" w:eastAsia="宋体" w:cs="Times New Roman"/>
                <w:b/>
                <w:bCs/>
                <w:color w:val="auto"/>
                <w:sz w:val="24"/>
                <w:szCs w:val="24"/>
                <w:u w:val="none"/>
                <w:lang w:val="en-US" w:eastAsia="zh-CN"/>
              </w:rPr>
              <w:t>3.7.4固废</w:t>
            </w:r>
            <w:bookmarkEnd w:id="67"/>
            <w:bookmarkEnd w:id="68"/>
            <w:bookmarkEnd w:id="69"/>
            <w:bookmarkEnd w:id="70"/>
            <w:bookmarkEnd w:id="71"/>
          </w:p>
          <w:p w14:paraId="45C0A22A">
            <w:pPr>
              <w:pStyle w:val="46"/>
              <w:keepNext w:val="0"/>
              <w:keepLines w:val="0"/>
              <w:pageBreakBefore w:val="0"/>
              <w:widowControl w:val="0"/>
              <w:kinsoku/>
              <w:wordWrap/>
              <w:overflowPunct/>
              <w:bidi w:val="0"/>
              <w:snapToGrid/>
              <w:ind w:firstLine="480"/>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lang w:val="en-US" w:eastAsia="zh-CN"/>
              </w:rPr>
              <w:t>运营期项目内产生的一般工业固废</w:t>
            </w:r>
            <w:r>
              <w:rPr>
                <w:rFonts w:hint="eastAsia" w:ascii="Times New Roman" w:hAnsi="Times New Roman" w:eastAsia="宋体" w:cs="Times New Roman"/>
                <w:lang w:val="en-US" w:eastAsia="zh-CN"/>
              </w:rPr>
              <w:t>贮存</w:t>
            </w:r>
            <w:r>
              <w:rPr>
                <w:rFonts w:hint="default" w:ascii="Times New Roman" w:hAnsi="Times New Roman" w:eastAsia="宋体" w:cs="Times New Roman"/>
                <w:lang w:val="en-US" w:eastAsia="zh-CN"/>
              </w:rPr>
              <w:t>应按照</w:t>
            </w:r>
            <w:r>
              <w:rPr>
                <w:rFonts w:hint="eastAsia" w:ascii="Times New Roman" w:hAnsi="Times New Roman" w:eastAsia="宋体" w:cs="Times New Roman"/>
                <w:lang w:val="en-US" w:eastAsia="zh-CN"/>
              </w:rPr>
              <w:t>《一般工业固体废物贮存和填埋污染控制标准》</w:t>
            </w:r>
            <w:r>
              <w:rPr>
                <w:rFonts w:hint="eastAsia" w:cs="Times New Roman"/>
                <w:lang w:val="en-US" w:eastAsia="zh-CN"/>
              </w:rPr>
              <w:t>（</w:t>
            </w:r>
            <w:r>
              <w:rPr>
                <w:rFonts w:hint="eastAsia" w:ascii="Times New Roman" w:hAnsi="Times New Roman" w:eastAsia="宋体" w:cs="Times New Roman"/>
                <w:lang w:val="en-US" w:eastAsia="zh-CN"/>
              </w:rPr>
              <w:t>GB18599-2020</w:t>
            </w:r>
            <w:r>
              <w:rPr>
                <w:rFonts w:hint="eastAsia" w:cs="Times New Roman"/>
                <w:lang w:val="en-US" w:eastAsia="zh-CN"/>
              </w:rPr>
              <w:t>）</w:t>
            </w:r>
            <w:r>
              <w:rPr>
                <w:rFonts w:hint="eastAsia" w:ascii="Times New Roman" w:hAnsi="Times New Roman" w:eastAsia="宋体" w:cs="Times New Roman"/>
                <w:lang w:val="en-US" w:eastAsia="zh-CN"/>
              </w:rPr>
              <w:t>要求</w:t>
            </w:r>
            <w:r>
              <w:rPr>
                <w:rFonts w:hint="default" w:ascii="Times New Roman" w:hAnsi="Times New Roman" w:eastAsia="宋体" w:cs="Times New Roman"/>
                <w:lang w:val="en-US" w:eastAsia="zh-CN"/>
              </w:rPr>
              <w:t>进行</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项目产生的危险废物</w:t>
            </w:r>
            <w:r>
              <w:rPr>
                <w:rFonts w:hint="eastAsia" w:ascii="Times New Roman" w:hAnsi="Times New Roman" w:eastAsia="宋体" w:cs="Times New Roman"/>
                <w:lang w:val="en-US" w:eastAsia="zh-CN"/>
              </w:rPr>
              <w:t>贮存</w:t>
            </w:r>
            <w:r>
              <w:rPr>
                <w:rFonts w:hint="default" w:ascii="Times New Roman" w:hAnsi="Times New Roman" w:eastAsia="宋体" w:cs="Times New Roman"/>
                <w:lang w:val="en-US" w:eastAsia="zh-CN"/>
              </w:rPr>
              <w:t>按照</w:t>
            </w:r>
            <w:r>
              <w:rPr>
                <w:rFonts w:hint="eastAsia" w:ascii="Times New Roman" w:hAnsi="Times New Roman" w:eastAsia="宋体" w:cs="Times New Roman"/>
                <w:lang w:val="en-US" w:eastAsia="zh-CN"/>
              </w:rPr>
              <w:t>《危险废物贮存污染控制标准》</w:t>
            </w:r>
            <w:r>
              <w:rPr>
                <w:rFonts w:hint="eastAsia" w:cs="Times New Roman"/>
                <w:lang w:val="en-US" w:eastAsia="zh-CN"/>
              </w:rPr>
              <w:t>（</w:t>
            </w:r>
            <w:r>
              <w:rPr>
                <w:rFonts w:hint="eastAsia" w:ascii="Times New Roman" w:hAnsi="Times New Roman" w:eastAsia="宋体" w:cs="Times New Roman"/>
                <w:lang w:val="en-US" w:eastAsia="zh-CN"/>
              </w:rPr>
              <w:t>GB18597-2023</w:t>
            </w:r>
            <w:r>
              <w:rPr>
                <w:rFonts w:hint="eastAsia" w:cs="Times New Roman"/>
                <w:lang w:val="en-US" w:eastAsia="zh-CN"/>
              </w:rPr>
              <w:t>）</w:t>
            </w:r>
            <w:r>
              <w:rPr>
                <w:rFonts w:hint="eastAsia" w:ascii="Times New Roman" w:hAnsi="Times New Roman" w:eastAsia="宋体" w:cs="Times New Roman"/>
                <w:lang w:val="en-US" w:eastAsia="zh-CN"/>
              </w:rPr>
              <w:t>要求</w:t>
            </w:r>
            <w:r>
              <w:rPr>
                <w:rFonts w:hint="default" w:ascii="Times New Roman" w:hAnsi="Times New Roman" w:eastAsia="宋体" w:cs="Times New Roman"/>
                <w:lang w:val="en-US" w:eastAsia="zh-CN"/>
              </w:rPr>
              <w:t>进行</w:t>
            </w:r>
            <w:r>
              <w:rPr>
                <w:rFonts w:hint="eastAsia" w:ascii="Times New Roman" w:hAnsi="Times New Roman" w:eastAsia="宋体" w:cs="Times New Roman"/>
                <w:lang w:val="en-US" w:eastAsia="zh-CN"/>
              </w:rPr>
              <w:t>，危险废物识别标志按照《危险废物识别标志设置技术规范》</w:t>
            </w:r>
            <w:r>
              <w:rPr>
                <w:rFonts w:hint="eastAsia" w:cs="Times New Roman"/>
                <w:lang w:val="en-US" w:eastAsia="zh-CN"/>
              </w:rPr>
              <w:t>（</w:t>
            </w:r>
            <w:r>
              <w:rPr>
                <w:rFonts w:hint="eastAsia" w:ascii="Times New Roman" w:hAnsi="Times New Roman" w:eastAsia="宋体" w:cs="Times New Roman"/>
                <w:lang w:val="en-US" w:eastAsia="zh-CN"/>
              </w:rPr>
              <w:t>HJ 1276-2022</w:t>
            </w:r>
            <w:r>
              <w:rPr>
                <w:rFonts w:hint="eastAsia" w:cs="Times New Roman"/>
                <w:lang w:val="en-US" w:eastAsia="zh-CN"/>
              </w:rPr>
              <w:t>）</w:t>
            </w:r>
            <w:r>
              <w:rPr>
                <w:rFonts w:hint="eastAsia" w:ascii="Times New Roman" w:hAnsi="Times New Roman" w:eastAsia="宋体" w:cs="Times New Roman"/>
                <w:lang w:val="en-US" w:eastAsia="zh-CN"/>
              </w:rPr>
              <w:t>要求进行</w:t>
            </w:r>
            <w:r>
              <w:rPr>
                <w:rFonts w:hint="default" w:ascii="Times New Roman" w:hAnsi="Times New Roman" w:eastAsia="宋体" w:cs="Times New Roman"/>
                <w:lang w:val="en-US" w:eastAsia="zh-CN"/>
              </w:rPr>
              <w:t>设置</w:t>
            </w:r>
            <w:r>
              <w:rPr>
                <w:rFonts w:hint="eastAsia" w:ascii="Times New Roman" w:hAnsi="Times New Roman" w:eastAsia="宋体" w:cs="Times New Roman"/>
                <w:lang w:val="en-US" w:eastAsia="zh-CN"/>
              </w:rPr>
              <w:t>，危险废物转移按照《危险废物转移管理办法》要求进行</w:t>
            </w:r>
            <w:r>
              <w:rPr>
                <w:rFonts w:hint="default" w:ascii="Times New Roman" w:hAnsi="Times New Roman" w:eastAsia="宋体" w:cs="Times New Roman"/>
                <w:lang w:val="en-US" w:eastAsia="zh-CN"/>
              </w:rPr>
              <w:t>。</w:t>
            </w:r>
          </w:p>
        </w:tc>
      </w:tr>
      <w:tr w14:paraId="52D4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56" w:type="dxa"/>
            <w:vAlign w:val="center"/>
          </w:tcPr>
          <w:p w14:paraId="22878926">
            <w:pPr>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 w:val="24"/>
                <w:szCs w:val="24"/>
                <w:lang w:val="en-US" w:eastAsia="zh-CN"/>
              </w:rPr>
              <w:t>总量控制指标</w:t>
            </w:r>
          </w:p>
        </w:tc>
        <w:tc>
          <w:tcPr>
            <w:tcW w:w="8749" w:type="dxa"/>
          </w:tcPr>
          <w:p w14:paraId="2F3CF6A1">
            <w:pPr>
              <w:pStyle w:val="45"/>
              <w:keepNext w:val="0"/>
              <w:keepLines w:val="0"/>
              <w:pageBreakBefore w:val="0"/>
              <w:widowControl w:val="0"/>
              <w:kinsoku/>
              <w:wordWrap/>
              <w:overflowPunct/>
              <w:topLinePunct w:val="0"/>
              <w:autoSpaceDE/>
              <w:autoSpaceDN/>
              <w:bidi w:val="0"/>
              <w:adjustRightInd w:val="0"/>
              <w:snapToGrid/>
              <w:textAlignment w:val="auto"/>
              <w:outlineLvl w:val="1"/>
              <w:rPr>
                <w:rFonts w:hint="eastAsia"/>
                <w:color w:val="auto"/>
                <w:szCs w:val="28"/>
                <w:lang w:val="en-US" w:eastAsia="zh-CN"/>
              </w:rPr>
            </w:pPr>
            <w:bookmarkStart w:id="72" w:name="_Toc13992"/>
            <w:r>
              <w:rPr>
                <w:rFonts w:hint="eastAsia"/>
                <w:color w:val="auto"/>
                <w:szCs w:val="28"/>
                <w:lang w:val="en-US" w:eastAsia="zh-CN"/>
              </w:rPr>
              <w:t>3.8总量控制</w:t>
            </w:r>
            <w:bookmarkEnd w:id="72"/>
          </w:p>
          <w:p w14:paraId="6DA519CC">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宋体"/>
                <w:color w:val="000000"/>
                <w:lang w:val="en-US" w:eastAsia="zh-CN"/>
              </w:rPr>
            </w:pPr>
            <w:r>
              <w:rPr>
                <w:rFonts w:hint="default" w:ascii="Times New Roman" w:hAnsi="Times New Roman" w:eastAsia="宋体" w:cs="宋体"/>
                <w:color w:val="000000"/>
                <w:lang w:val="en-US" w:eastAsia="zh-CN"/>
              </w:rPr>
              <w:t>根据《福建省环保局关于做好建设项目环保审批污染物总量控制有关工作的通知》和国家主要污染物排放总量控制方案，主要控制污染物指标为COD、NH</w:t>
            </w:r>
            <w:r>
              <w:rPr>
                <w:rFonts w:hint="default" w:ascii="Times New Roman" w:hAnsi="Times New Roman" w:eastAsia="宋体" w:cs="宋体"/>
                <w:color w:val="000000"/>
                <w:vertAlign w:val="subscript"/>
                <w:lang w:val="en-US" w:eastAsia="zh-CN"/>
              </w:rPr>
              <w:t>3</w:t>
            </w:r>
            <w:r>
              <w:rPr>
                <w:rFonts w:hint="default" w:ascii="Times New Roman" w:hAnsi="Times New Roman" w:eastAsia="宋体" w:cs="宋体"/>
                <w:color w:val="000000"/>
                <w:lang w:val="en-US" w:eastAsia="zh-CN"/>
              </w:rPr>
              <w:t>-N、SO</w:t>
            </w:r>
            <w:r>
              <w:rPr>
                <w:rFonts w:hint="default" w:ascii="Times New Roman" w:hAnsi="Times New Roman" w:eastAsia="宋体" w:cs="宋体"/>
                <w:color w:val="000000"/>
                <w:vertAlign w:val="subscript"/>
                <w:lang w:val="en-US" w:eastAsia="zh-CN"/>
              </w:rPr>
              <w:t>2</w:t>
            </w:r>
            <w:r>
              <w:rPr>
                <w:rFonts w:hint="default" w:ascii="Times New Roman" w:hAnsi="Times New Roman" w:eastAsia="宋体" w:cs="宋体"/>
                <w:color w:val="000000"/>
                <w:lang w:val="en-US" w:eastAsia="zh-CN"/>
              </w:rPr>
              <w:t>及NOx</w:t>
            </w:r>
            <w:r>
              <w:rPr>
                <w:rFonts w:hint="eastAsia" w:ascii="Times New Roman" w:hAnsi="Times New Roman" w:cs="宋体"/>
                <w:color w:val="000000"/>
                <w:lang w:val="en-US" w:eastAsia="zh-CN"/>
              </w:rPr>
              <w:t>。</w:t>
            </w:r>
            <w:r>
              <w:rPr>
                <w:rFonts w:hint="default" w:ascii="Times New Roman" w:hAnsi="Times New Roman" w:eastAsia="宋体" w:cs="宋体"/>
                <w:color w:val="000000"/>
                <w:lang w:val="en-US" w:eastAsia="zh-CN"/>
              </w:rPr>
              <w:t>建议性控制指标为VOCs。</w:t>
            </w:r>
          </w:p>
          <w:p w14:paraId="663ED9A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73" w:name="_Toc1077"/>
            <w:r>
              <w:rPr>
                <w:rFonts w:hint="eastAsia" w:ascii="Times New Roman" w:hAnsi="Times New Roman" w:eastAsia="宋体" w:cs="Times New Roman"/>
                <w:b/>
                <w:bCs/>
                <w:color w:val="auto"/>
                <w:sz w:val="24"/>
                <w:szCs w:val="24"/>
                <w:u w:val="none"/>
                <w:lang w:val="en-US" w:eastAsia="zh-CN"/>
              </w:rPr>
              <w:t>3.8.1废水总量</w:t>
            </w:r>
            <w:bookmarkEnd w:id="73"/>
          </w:p>
          <w:p w14:paraId="6940E237">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宋体"/>
                <w:color w:val="000000"/>
                <w:lang w:val="en-US" w:eastAsia="zh-CN"/>
              </w:rPr>
              <w:t>本项目</w:t>
            </w:r>
            <w:r>
              <w:rPr>
                <w:rFonts w:hint="eastAsia" w:ascii="Times New Roman" w:hAnsi="Times New Roman" w:eastAsia="宋体" w:cs="宋体"/>
                <w:color w:val="000000"/>
                <w:lang w:val="en-US" w:eastAsia="zh-CN"/>
              </w:rPr>
              <w:t>生产过程中仅产生间接冷却水，不外排。</w:t>
            </w:r>
            <w:r>
              <w:rPr>
                <w:rFonts w:hint="default" w:ascii="Times New Roman" w:hAnsi="Times New Roman" w:eastAsia="宋体" w:cs="宋体"/>
                <w:color w:val="000000"/>
                <w:lang w:val="en-US" w:eastAsia="zh-CN"/>
              </w:rPr>
              <w:t>生活</w:t>
            </w:r>
            <w:r>
              <w:rPr>
                <w:rFonts w:hint="eastAsia" w:ascii="Times New Roman" w:hAnsi="Times New Roman" w:eastAsia="宋体" w:cs="宋体"/>
                <w:color w:val="000000"/>
                <w:lang w:val="en-US" w:eastAsia="zh-CN"/>
              </w:rPr>
              <w:t>污水经化粪池</w:t>
            </w:r>
            <w:r>
              <w:rPr>
                <w:rFonts w:hint="default" w:ascii="Times New Roman" w:hAnsi="Times New Roman" w:eastAsia="宋体" w:cs="宋体"/>
                <w:color w:val="000000"/>
                <w:lang w:val="en-US" w:eastAsia="zh-CN"/>
              </w:rPr>
              <w:t>处理后排入市政污水管网，送</w:t>
            </w:r>
            <w:r>
              <w:rPr>
                <w:rFonts w:hint="default" w:ascii="Times New Roman" w:hAnsi="Times New Roman" w:eastAsia="宋体" w:cs="宋体"/>
                <w:color w:val="auto"/>
                <w:lang w:val="en-US" w:eastAsia="zh-CN"/>
              </w:rPr>
              <w:t>往福清市融元污水处理厂进行</w:t>
            </w:r>
            <w:r>
              <w:rPr>
                <w:rFonts w:hint="default" w:ascii="Times New Roman" w:hAnsi="Times New Roman" w:eastAsia="宋体" w:cs="宋体"/>
                <w:color w:val="000000"/>
                <w:lang w:val="en-US" w:eastAsia="zh-CN"/>
              </w:rPr>
              <w:t>处理</w:t>
            </w:r>
            <w:r>
              <w:rPr>
                <w:rFonts w:hint="eastAsia" w:ascii="Times New Roman" w:hAnsi="Times New Roman" w:eastAsia="宋体" w:cs="宋体"/>
                <w:color w:val="000000"/>
                <w:lang w:val="en-US" w:eastAsia="zh-CN"/>
              </w:rPr>
              <w:t>。</w:t>
            </w:r>
            <w:r>
              <w:rPr>
                <w:rFonts w:hint="default" w:ascii="Times New Roman" w:hAnsi="Times New Roman" w:eastAsia="宋体" w:cs="Times New Roman"/>
                <w:color w:val="auto"/>
                <w:sz w:val="24"/>
                <w:szCs w:val="24"/>
                <w:highlight w:val="none"/>
                <w:u w:val="none"/>
              </w:rPr>
              <w:t>根据《福建省环保厅关于进一步明确排污权工作有关问题的通知》</w:t>
            </w:r>
            <w:r>
              <w:rPr>
                <w:rFonts w:hint="eastAsia" w:ascii="Times New Roman" w:hAnsi="Times New Roman"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闽环保财</w:t>
            </w:r>
            <w:r>
              <w:rPr>
                <w:rFonts w:hint="eastAsia" w:ascii="Times New Roman" w:hAnsi="Times New Roman" w:cs="Times New Roman"/>
                <w:color w:val="auto"/>
                <w:sz w:val="24"/>
                <w:szCs w:val="24"/>
                <w:highlight w:val="none"/>
                <w:u w:val="none"/>
                <w:lang w:eastAsia="zh-CN"/>
              </w:rPr>
              <w:t>〔2017〕22号）</w:t>
            </w:r>
            <w:r>
              <w:rPr>
                <w:rFonts w:hint="default" w:ascii="Times New Roman" w:hAnsi="Times New Roman" w:eastAsia="宋体" w:cs="Times New Roman"/>
                <w:color w:val="auto"/>
                <w:sz w:val="24"/>
                <w:szCs w:val="24"/>
                <w:highlight w:val="none"/>
                <w:u w:val="none"/>
              </w:rPr>
              <w:t>，现有工业排污单位的水污染物的初始排污权只核定工业废水部分，</w:t>
            </w:r>
            <w:r>
              <w:rPr>
                <w:rFonts w:hint="eastAsia" w:ascii="Times New Roman" w:hAnsi="Times New Roman" w:eastAsia="宋体" w:cs="Times New Roman"/>
                <w:color w:val="auto"/>
                <w:sz w:val="24"/>
                <w:szCs w:val="24"/>
                <w:highlight w:val="none"/>
                <w:u w:val="none"/>
                <w:lang w:eastAsia="zh-CN"/>
              </w:rPr>
              <w:t>本项目无生产废水的排放，</w:t>
            </w:r>
            <w:r>
              <w:rPr>
                <w:rFonts w:hint="default" w:ascii="Times New Roman" w:hAnsi="Times New Roman" w:eastAsia="宋体" w:cs="Times New Roman"/>
                <w:color w:val="auto"/>
                <w:sz w:val="24"/>
                <w:szCs w:val="24"/>
                <w:highlight w:val="none"/>
                <w:u w:val="none"/>
                <w:lang w:val="en-US" w:eastAsia="zh-CN"/>
              </w:rPr>
              <w:t>项目生活污水排放暂不需要购买相应的排污权指标，因此，</w:t>
            </w:r>
            <w:r>
              <w:rPr>
                <w:rFonts w:hint="default" w:ascii="Times New Roman" w:hAnsi="Times New Roman" w:eastAsia="宋体" w:cs="Times New Roman"/>
                <w:color w:val="auto"/>
                <w:sz w:val="24"/>
                <w:szCs w:val="24"/>
                <w:highlight w:val="none"/>
                <w:u w:val="none"/>
              </w:rPr>
              <w:t>无需申请总量控制指标。</w:t>
            </w:r>
          </w:p>
          <w:p w14:paraId="23C9BE5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74" w:name="_Toc2800"/>
            <w:r>
              <w:rPr>
                <w:rFonts w:hint="eastAsia" w:ascii="Times New Roman" w:hAnsi="Times New Roman" w:eastAsia="宋体" w:cs="Times New Roman"/>
                <w:b/>
                <w:bCs/>
                <w:color w:val="auto"/>
                <w:sz w:val="24"/>
                <w:szCs w:val="24"/>
                <w:u w:val="none"/>
                <w:lang w:val="en-US" w:eastAsia="zh-CN"/>
              </w:rPr>
              <w:t>3.8.2废气总量</w:t>
            </w:r>
            <w:bookmarkEnd w:id="74"/>
          </w:p>
          <w:p w14:paraId="7CE296C3">
            <w:pPr>
              <w:pStyle w:val="44"/>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kern w:val="2"/>
                <w:szCs w:val="24"/>
                <w:shd w:val="clear" w:color="auto" w:fill="FFFFFF"/>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《福建省环保局关于做好建设项目环保审批污染物总量控制有关工作的通知》</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闽环保监</w:t>
            </w:r>
            <w:r>
              <w:rPr>
                <w:rFonts w:hint="default" w:ascii="Times New Roman" w:hAnsi="Times New Roman" w:eastAsia="宋体" w:cs="Times New Roman"/>
                <w:color w:val="auto"/>
                <w:sz w:val="24"/>
                <w:szCs w:val="24"/>
                <w:highlight w:val="none"/>
                <w:lang w:eastAsia="zh-CN"/>
              </w:rPr>
              <w:t>〔2007〕52号</w:t>
            </w:r>
            <w:r>
              <w:rPr>
                <w:rFonts w:hint="default" w:ascii="Times New Roman" w:hAnsi="Times New Roman" w:eastAsia="宋体" w:cs="Times New Roman"/>
                <w:color w:val="auto"/>
                <w:sz w:val="24"/>
                <w:szCs w:val="24"/>
                <w:highlight w:val="none"/>
              </w:rPr>
              <w:t>文</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和《</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十三五</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主要污染物总量控制规划编制技术指南》的有关总量</w:t>
            </w:r>
            <w:r>
              <w:rPr>
                <w:rFonts w:hint="default" w:ascii="Times New Roman" w:hAnsi="Times New Roman" w:eastAsia="宋体" w:cs="Times New Roman"/>
                <w:color w:val="auto"/>
                <w:sz w:val="24"/>
                <w:szCs w:val="24"/>
                <w:highlight w:val="none"/>
                <w:shd w:val="clear" w:color="auto" w:fill="FFFFFF"/>
              </w:rPr>
              <w:t>调剂</w:t>
            </w:r>
            <w:r>
              <w:rPr>
                <w:rFonts w:hint="default" w:ascii="Times New Roman" w:hAnsi="Times New Roman" w:eastAsia="宋体" w:cs="Times New Roman"/>
                <w:color w:val="auto"/>
                <w:sz w:val="24"/>
                <w:szCs w:val="24"/>
                <w:highlight w:val="none"/>
              </w:rPr>
              <w:t>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项目排放的</w:t>
            </w:r>
            <w:r>
              <w:rPr>
                <w:rFonts w:hint="default" w:ascii="Times New Roman" w:hAnsi="Times New Roman" w:eastAsia="宋体" w:cs="Times New Roman"/>
                <w:color w:val="auto"/>
                <w:sz w:val="24"/>
                <w:szCs w:val="24"/>
                <w:highlight w:val="none"/>
              </w:rPr>
              <w:t>废气</w:t>
            </w:r>
            <w:r>
              <w:rPr>
                <w:rFonts w:hint="default" w:ascii="Times New Roman" w:hAnsi="Times New Roman" w:eastAsia="宋体" w:cs="Times New Roman"/>
                <w:color w:val="auto"/>
                <w:sz w:val="24"/>
                <w:szCs w:val="24"/>
                <w:highlight w:val="none"/>
                <w:lang w:val="en-US" w:eastAsia="zh-CN"/>
              </w:rPr>
              <w:t>为颗粒物、VOCs（以非甲烷总烃计），</w:t>
            </w:r>
            <w:r>
              <w:rPr>
                <w:rFonts w:hint="default" w:ascii="Times New Roman" w:hAnsi="Times New Roman" w:eastAsia="宋体" w:cs="Times New Roman"/>
                <w:color w:val="auto"/>
                <w:kern w:val="2"/>
                <w:szCs w:val="24"/>
                <w:shd w:val="clear" w:color="auto" w:fill="FFFFFF"/>
              </w:rPr>
              <w:t>项目废气不涉及SO</w:t>
            </w:r>
            <w:r>
              <w:rPr>
                <w:rFonts w:hint="default" w:ascii="Times New Roman" w:hAnsi="Times New Roman" w:eastAsia="宋体" w:cs="Times New Roman"/>
                <w:color w:val="auto"/>
                <w:kern w:val="2"/>
                <w:szCs w:val="24"/>
                <w:shd w:val="clear" w:color="auto" w:fill="FFFFFF"/>
                <w:vertAlign w:val="subscript"/>
              </w:rPr>
              <w:t>2</w:t>
            </w:r>
            <w:r>
              <w:rPr>
                <w:rFonts w:hint="default" w:ascii="Times New Roman" w:hAnsi="Times New Roman" w:eastAsia="宋体" w:cs="Times New Roman"/>
                <w:color w:val="auto"/>
                <w:kern w:val="2"/>
                <w:szCs w:val="24"/>
                <w:shd w:val="clear" w:color="auto" w:fill="FFFFFF"/>
              </w:rPr>
              <w:t>、NO</w:t>
            </w:r>
            <w:r>
              <w:rPr>
                <w:rFonts w:hint="default" w:ascii="Times New Roman" w:hAnsi="Times New Roman" w:eastAsia="宋体" w:cs="Times New Roman"/>
                <w:color w:val="auto"/>
                <w:kern w:val="2"/>
                <w:szCs w:val="24"/>
                <w:shd w:val="clear" w:color="auto" w:fill="FFFFFF"/>
                <w:vertAlign w:val="subscript"/>
              </w:rPr>
              <w:t>x</w:t>
            </w:r>
            <w:r>
              <w:rPr>
                <w:rFonts w:hint="default" w:ascii="Times New Roman" w:hAnsi="Times New Roman" w:eastAsia="宋体" w:cs="Times New Roman"/>
                <w:color w:val="auto"/>
                <w:kern w:val="2"/>
                <w:szCs w:val="24"/>
                <w:shd w:val="clear" w:color="auto" w:fill="FFFFFF"/>
              </w:rPr>
              <w:t>等属于国家和地方有偿使用和交易的排污权总量指标</w:t>
            </w:r>
            <w:r>
              <w:rPr>
                <w:rFonts w:hint="default" w:ascii="Times New Roman" w:hAnsi="Times New Roman" w:eastAsia="宋体" w:cs="Times New Roman"/>
                <w:color w:val="auto"/>
                <w:kern w:val="2"/>
                <w:szCs w:val="24"/>
                <w:shd w:val="clear" w:color="auto" w:fill="FFFFFF"/>
                <w:lang w:eastAsia="zh-CN"/>
              </w:rPr>
              <w:t>。</w:t>
            </w:r>
            <w:r>
              <w:rPr>
                <w:rFonts w:hint="default" w:ascii="Times New Roman" w:hAnsi="Times New Roman" w:eastAsia="宋体" w:cs="Times New Roman"/>
                <w:color w:val="auto"/>
                <w:kern w:val="2"/>
                <w:szCs w:val="24"/>
                <w:shd w:val="clear" w:color="auto" w:fill="FFFFFF"/>
                <w:lang w:val="en-US" w:eastAsia="zh-CN"/>
              </w:rPr>
              <w:t>因此，本项目废气总量控制指标为VOCs。</w:t>
            </w:r>
            <w:r>
              <w:rPr>
                <w:rFonts w:hint="default" w:ascii="Times New Roman" w:hAnsi="Times New Roman" w:eastAsia="宋体" w:cs="Times New Roman"/>
                <w:color w:val="auto"/>
                <w:kern w:val="2"/>
                <w:szCs w:val="24"/>
                <w:shd w:val="clear" w:color="auto" w:fill="FFFFFF"/>
              </w:rPr>
              <w:t>项目</w:t>
            </w:r>
            <w:r>
              <w:rPr>
                <w:rFonts w:hint="default" w:ascii="Times New Roman" w:hAnsi="Times New Roman" w:eastAsia="宋体" w:cs="Times New Roman"/>
                <w:color w:val="auto"/>
                <w:kern w:val="2"/>
                <w:szCs w:val="24"/>
                <w:shd w:val="clear" w:color="auto" w:fill="FFFFFF"/>
                <w:lang w:eastAsia="zh-CN"/>
              </w:rPr>
              <w:t>废气</w:t>
            </w:r>
            <w:r>
              <w:rPr>
                <w:rFonts w:hint="default" w:ascii="Times New Roman" w:hAnsi="Times New Roman" w:eastAsia="宋体" w:cs="Times New Roman"/>
                <w:color w:val="auto"/>
                <w:kern w:val="2"/>
                <w:szCs w:val="24"/>
                <w:shd w:val="clear" w:color="auto" w:fill="FFFFFF"/>
              </w:rPr>
              <w:t>总量指标详见表3.8-1。</w:t>
            </w:r>
          </w:p>
          <w:p w14:paraId="5A71E43D">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GB" w:eastAsia="zh-CN"/>
              </w:rPr>
              <w:t>表3.</w:t>
            </w:r>
            <w:r>
              <w:rPr>
                <w:rFonts w:hint="eastAsia" w:ascii="Times New Roman" w:hAnsi="Times New Roman" w:eastAsia="宋体" w:cs="Times New Roman"/>
                <w:b/>
                <w:bCs/>
                <w:color w:val="auto"/>
                <w:sz w:val="24"/>
                <w:szCs w:val="24"/>
                <w:highlight w:val="none"/>
                <w:u w:val="none"/>
                <w:lang w:val="en-US" w:eastAsia="zh-CN"/>
              </w:rPr>
              <w:t>9</w:t>
            </w:r>
            <w:r>
              <w:rPr>
                <w:rFonts w:hint="default" w:ascii="Times New Roman" w:hAnsi="Times New Roman" w:eastAsia="宋体" w:cs="Times New Roman"/>
                <w:b/>
                <w:bCs/>
                <w:color w:val="auto"/>
                <w:sz w:val="24"/>
                <w:szCs w:val="24"/>
                <w:highlight w:val="none"/>
                <w:u w:val="none"/>
                <w:lang w:val="en-GB" w:eastAsia="zh-CN"/>
              </w:rPr>
              <w:t>-</w:t>
            </w:r>
            <w:r>
              <w:rPr>
                <w:rFonts w:hint="eastAsia" w:ascii="Times New Roman" w:hAnsi="Times New Roman" w:eastAsia="宋体" w:cs="Times New Roman"/>
                <w:b/>
                <w:bCs/>
                <w:color w:val="auto"/>
                <w:sz w:val="24"/>
                <w:szCs w:val="24"/>
                <w:highlight w:val="none"/>
                <w:u w:val="none"/>
                <w:lang w:val="en-US" w:eastAsia="zh-CN"/>
              </w:rPr>
              <w:t xml:space="preserve">1 </w:t>
            </w:r>
            <w:r>
              <w:rPr>
                <w:rFonts w:hint="default" w:ascii="Times New Roman" w:hAnsi="Times New Roman" w:eastAsia="宋体" w:cs="Times New Roman"/>
                <w:b/>
                <w:bCs/>
                <w:color w:val="auto"/>
                <w:sz w:val="24"/>
                <w:szCs w:val="24"/>
                <w:highlight w:val="none"/>
                <w:u w:val="none"/>
                <w:lang w:val="en-GB" w:eastAsia="zh-CN"/>
              </w:rPr>
              <w:t>项目废气污染物排放总量指标一览表</w:t>
            </w:r>
          </w:p>
          <w:tbl>
            <w:tblPr>
              <w:tblStyle w:val="22"/>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985"/>
              <w:gridCol w:w="1328"/>
              <w:gridCol w:w="1316"/>
              <w:gridCol w:w="1605"/>
              <w:gridCol w:w="2371"/>
            </w:tblGrid>
            <w:tr w14:paraId="7E05CF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53" w:type="pct"/>
                  <w:noWrap w:val="0"/>
                  <w:vAlign w:val="center"/>
                </w:tcPr>
                <w:p w14:paraId="3A227B43">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污染物</w:t>
                  </w:r>
                </w:p>
              </w:tc>
              <w:tc>
                <w:tcPr>
                  <w:tcW w:w="771" w:type="pct"/>
                  <w:noWrap w:val="0"/>
                  <w:vAlign w:val="center"/>
                </w:tcPr>
                <w:p w14:paraId="7E678C4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有组织预测排放量</w:t>
                  </w:r>
                </w:p>
              </w:tc>
              <w:tc>
                <w:tcPr>
                  <w:tcW w:w="764" w:type="pct"/>
                  <w:noWrap w:val="0"/>
                  <w:vAlign w:val="center"/>
                </w:tcPr>
                <w:p w14:paraId="3663404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auto"/>
                      <w:kern w:val="18"/>
                      <w:sz w:val="21"/>
                      <w:szCs w:val="21"/>
                    </w:rPr>
                  </w:pPr>
                  <w:r>
                    <w:rPr>
                      <w:rFonts w:hint="eastAsia" w:ascii="Times New Roman" w:hAnsi="Times New Roman" w:eastAsia="宋体" w:cs="Times New Roman"/>
                      <w:snapToGrid w:val="0"/>
                      <w:color w:val="auto"/>
                      <w:kern w:val="18"/>
                      <w:sz w:val="21"/>
                      <w:szCs w:val="21"/>
                      <w:lang w:val="en-US" w:eastAsia="zh-CN"/>
                    </w:rPr>
                    <w:t>无组织预测排放量</w:t>
                  </w:r>
                </w:p>
              </w:tc>
              <w:tc>
                <w:tcPr>
                  <w:tcW w:w="932" w:type="pct"/>
                  <w:noWrap w:val="0"/>
                  <w:vAlign w:val="center"/>
                </w:tcPr>
                <w:p w14:paraId="7EDEDB2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全厂合计预测排放量</w:t>
                  </w:r>
                </w:p>
              </w:tc>
              <w:tc>
                <w:tcPr>
                  <w:tcW w:w="1377" w:type="pct"/>
                  <w:noWrap w:val="0"/>
                  <w:vAlign w:val="center"/>
                </w:tcPr>
                <w:p w14:paraId="339877CA">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建议申请总量指标</w:t>
                  </w:r>
                </w:p>
                <w:p w14:paraId="29B7116D">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（1.2倍）</w:t>
                  </w:r>
                </w:p>
              </w:tc>
            </w:tr>
            <w:tr w14:paraId="276D26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1153" w:type="pct"/>
                  <w:noWrap w:val="0"/>
                  <w:vAlign w:val="center"/>
                </w:tcPr>
                <w:p w14:paraId="7EA5CC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非甲烷总（VOCs）</w:t>
                  </w:r>
                  <w:r>
                    <w:rPr>
                      <w:rFonts w:hint="eastAsia" w:cs="Times New Roman"/>
                      <w:color w:val="auto"/>
                      <w:kern w:val="0"/>
                      <w:sz w:val="21"/>
                      <w:szCs w:val="21"/>
                      <w:lang w:val="en-US" w:eastAsia="zh-CN"/>
                    </w:rPr>
                    <w:t>（t/a）</w:t>
                  </w:r>
                </w:p>
              </w:tc>
              <w:tc>
                <w:tcPr>
                  <w:tcW w:w="771" w:type="pct"/>
                  <w:noWrap w:val="0"/>
                  <w:vAlign w:val="center"/>
                </w:tcPr>
                <w:p w14:paraId="0D7067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0.2151</w:t>
                  </w:r>
                </w:p>
              </w:tc>
              <w:tc>
                <w:tcPr>
                  <w:tcW w:w="764" w:type="pct"/>
                  <w:noWrap w:val="0"/>
                  <w:vAlign w:val="center"/>
                </w:tcPr>
                <w:p w14:paraId="68F69A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0.2151</w:t>
                  </w:r>
                </w:p>
              </w:tc>
              <w:tc>
                <w:tcPr>
                  <w:tcW w:w="932" w:type="pct"/>
                  <w:noWrap w:val="0"/>
                  <w:vAlign w:val="center"/>
                </w:tcPr>
                <w:p w14:paraId="7041C3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0.4303</w:t>
                  </w:r>
                </w:p>
              </w:tc>
              <w:tc>
                <w:tcPr>
                  <w:tcW w:w="1377" w:type="pct"/>
                  <w:noWrap w:val="0"/>
                  <w:vAlign w:val="center"/>
                </w:tcPr>
                <w:p w14:paraId="359841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0.51636</w:t>
                  </w:r>
                </w:p>
              </w:tc>
            </w:tr>
            <w:tr w14:paraId="376805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1153" w:type="pct"/>
                  <w:noWrap w:val="0"/>
                  <w:vAlign w:val="center"/>
                </w:tcPr>
                <w:p w14:paraId="3A98DA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苯乙烯</w:t>
                  </w:r>
                </w:p>
                <w:p w14:paraId="18A722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red"/>
                      <w:lang w:val="en-US" w:eastAsia="zh-CN"/>
                    </w:rPr>
                  </w:pPr>
                  <w:r>
                    <w:rPr>
                      <w:rFonts w:hint="eastAsia" w:cs="Times New Roman"/>
                      <w:color w:val="auto"/>
                      <w:kern w:val="0"/>
                      <w:sz w:val="21"/>
                      <w:szCs w:val="21"/>
                      <w:highlight w:val="none"/>
                      <w:lang w:val="en-US" w:eastAsia="zh-CN"/>
                    </w:rPr>
                    <w:t>(t/a)</w:t>
                  </w:r>
                </w:p>
              </w:tc>
              <w:tc>
                <w:tcPr>
                  <w:tcW w:w="771" w:type="pct"/>
                  <w:noWrap w:val="0"/>
                  <w:vAlign w:val="center"/>
                </w:tcPr>
                <w:p w14:paraId="19EF5F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0.0010</w:t>
                  </w:r>
                </w:p>
              </w:tc>
              <w:tc>
                <w:tcPr>
                  <w:tcW w:w="764" w:type="pct"/>
                  <w:noWrap w:val="0"/>
                  <w:vAlign w:val="center"/>
                </w:tcPr>
                <w:p w14:paraId="000E60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0.0010</w:t>
                  </w:r>
                </w:p>
              </w:tc>
              <w:tc>
                <w:tcPr>
                  <w:tcW w:w="932" w:type="pct"/>
                  <w:noWrap w:val="0"/>
                  <w:vAlign w:val="center"/>
                </w:tcPr>
                <w:p w14:paraId="4F7F9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0.0020</w:t>
                  </w:r>
                </w:p>
              </w:tc>
              <w:tc>
                <w:tcPr>
                  <w:tcW w:w="1377" w:type="pct"/>
                  <w:noWrap w:val="0"/>
                  <w:vAlign w:val="center"/>
                </w:tcPr>
                <w:p w14:paraId="27917A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4EE0BB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1153" w:type="pct"/>
                  <w:noWrap w:val="0"/>
                  <w:vAlign w:val="center"/>
                </w:tcPr>
                <w:p w14:paraId="0309A4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丙烯腈</w:t>
                  </w:r>
                </w:p>
                <w:p w14:paraId="231C22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lang w:val="en-US" w:eastAsia="zh-CN"/>
                    </w:rPr>
                  </w:pPr>
                  <w:r>
                    <w:rPr>
                      <w:rFonts w:hint="eastAsia" w:cs="Times New Roman"/>
                      <w:color w:val="auto"/>
                      <w:kern w:val="0"/>
                      <w:sz w:val="21"/>
                      <w:szCs w:val="21"/>
                      <w:highlight w:val="none"/>
                      <w:lang w:val="en-US" w:eastAsia="zh-CN"/>
                    </w:rPr>
                    <w:t>(t/a)</w:t>
                  </w:r>
                </w:p>
              </w:tc>
              <w:tc>
                <w:tcPr>
                  <w:tcW w:w="771" w:type="pct"/>
                  <w:shd w:val="clear" w:color="auto" w:fill="auto"/>
                  <w:noWrap w:val="0"/>
                  <w:vAlign w:val="center"/>
                </w:tcPr>
                <w:p w14:paraId="394299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0.0010</w:t>
                  </w:r>
                </w:p>
              </w:tc>
              <w:tc>
                <w:tcPr>
                  <w:tcW w:w="764" w:type="pct"/>
                  <w:shd w:val="clear" w:color="auto" w:fill="auto"/>
                  <w:noWrap w:val="0"/>
                  <w:vAlign w:val="center"/>
                </w:tcPr>
                <w:p w14:paraId="2C31E7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0.0010</w:t>
                  </w:r>
                </w:p>
              </w:tc>
              <w:tc>
                <w:tcPr>
                  <w:tcW w:w="932" w:type="pct"/>
                  <w:shd w:val="clear" w:color="auto" w:fill="auto"/>
                  <w:noWrap w:val="0"/>
                  <w:vAlign w:val="center"/>
                </w:tcPr>
                <w:p w14:paraId="4CCC29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0.0020</w:t>
                  </w:r>
                </w:p>
              </w:tc>
              <w:tc>
                <w:tcPr>
                  <w:tcW w:w="1377" w:type="pct"/>
                  <w:shd w:val="clear" w:color="auto" w:fill="auto"/>
                  <w:noWrap w:val="0"/>
                  <w:vAlign w:val="center"/>
                </w:tcPr>
                <w:p w14:paraId="31EEF1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r>
            <w:tr w14:paraId="23C871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6" w:hRule="atLeast"/>
              </w:trPr>
              <w:tc>
                <w:tcPr>
                  <w:tcW w:w="1153" w:type="pct"/>
                  <w:noWrap w:val="0"/>
                  <w:vAlign w:val="center"/>
                </w:tcPr>
                <w:p w14:paraId="56C449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颗粒物</w:t>
                  </w:r>
                </w:p>
                <w:p w14:paraId="08E0B2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(kg/a)</w:t>
                  </w:r>
                </w:p>
              </w:tc>
              <w:tc>
                <w:tcPr>
                  <w:tcW w:w="771" w:type="pct"/>
                  <w:noWrap w:val="0"/>
                  <w:vAlign w:val="center"/>
                </w:tcPr>
                <w:p w14:paraId="06D9F3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0.0169</w:t>
                  </w:r>
                </w:p>
              </w:tc>
              <w:tc>
                <w:tcPr>
                  <w:tcW w:w="764" w:type="pct"/>
                  <w:noWrap w:val="0"/>
                  <w:vAlign w:val="center"/>
                </w:tcPr>
                <w:p w14:paraId="7C8FE5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0.0847</w:t>
                  </w:r>
                </w:p>
              </w:tc>
              <w:tc>
                <w:tcPr>
                  <w:tcW w:w="932" w:type="pct"/>
                  <w:noWrap w:val="0"/>
                  <w:vAlign w:val="center"/>
                </w:tcPr>
                <w:p w14:paraId="4868F1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0.1016</w:t>
                  </w:r>
                </w:p>
              </w:tc>
              <w:tc>
                <w:tcPr>
                  <w:tcW w:w="1377" w:type="pct"/>
                  <w:noWrap w:val="0"/>
                  <w:vAlign w:val="center"/>
                </w:tcPr>
                <w:p w14:paraId="1F3061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bl>
          <w:p w14:paraId="345740E8">
            <w:pPr>
              <w:pStyle w:val="44"/>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kern w:val="2"/>
                <w:szCs w:val="24"/>
                <w:shd w:val="clear" w:color="auto" w:fill="FFFFFF"/>
                <w:lang w:val="en-US" w:eastAsia="zh-CN"/>
              </w:rPr>
            </w:pPr>
            <w:r>
              <w:rPr>
                <w:rFonts w:hint="eastAsia" w:ascii="Times New Roman" w:hAnsi="Times New Roman" w:eastAsia="宋体" w:cs="Times New Roman"/>
                <w:color w:val="auto"/>
                <w:kern w:val="2"/>
                <w:szCs w:val="24"/>
                <w:shd w:val="clear" w:color="auto" w:fill="FFFFFF"/>
                <w:lang w:val="en-US" w:eastAsia="zh-CN"/>
              </w:rPr>
              <w:t>根据</w:t>
            </w:r>
            <w:r>
              <w:rPr>
                <w:rFonts w:hint="default" w:ascii="Times New Roman" w:hAnsi="Times New Roman" w:eastAsia="宋体" w:cs="Times New Roman"/>
                <w:color w:val="auto"/>
                <w:kern w:val="2"/>
                <w:szCs w:val="24"/>
                <w:shd w:val="clear" w:color="auto" w:fill="FFFFFF"/>
                <w:lang w:val="en-US" w:eastAsia="zh-CN"/>
              </w:rPr>
              <w:t>福建省环保厅关于印发《福建省建设项目主要污染物排放总量指标管理办法（试行）》的通知</w:t>
            </w:r>
            <w:r>
              <w:rPr>
                <w:rFonts w:hint="eastAsia" w:ascii="Times New Roman" w:hAnsi="Times New Roman" w:eastAsia="宋体" w:cs="Times New Roman"/>
                <w:color w:val="auto"/>
                <w:kern w:val="2"/>
                <w:szCs w:val="24"/>
                <w:shd w:val="clear" w:color="auto" w:fill="FFFFFF"/>
                <w:lang w:val="en-US" w:eastAsia="zh-CN"/>
              </w:rPr>
              <w:t>（闽环发〔2014〕13号）：“</w:t>
            </w:r>
            <w:r>
              <w:rPr>
                <w:rFonts w:hint="default" w:ascii="Times New Roman" w:hAnsi="Times New Roman" w:eastAsia="宋体" w:cs="Times New Roman"/>
                <w:color w:val="auto"/>
                <w:kern w:val="2"/>
                <w:szCs w:val="24"/>
                <w:shd w:val="clear" w:color="auto" w:fill="FFFFFF"/>
                <w:lang w:val="en-US" w:eastAsia="zh-CN"/>
              </w:rPr>
              <w:t>第十条</w:t>
            </w:r>
            <w:r>
              <w:rPr>
                <w:rFonts w:hint="eastAsia" w:ascii="Times New Roman" w:hAnsi="Times New Roman" w:eastAsia="宋体" w:cs="Times New Roman"/>
                <w:color w:val="auto"/>
                <w:kern w:val="2"/>
                <w:szCs w:val="24"/>
                <w:shd w:val="clear" w:color="auto" w:fill="FFFFFF"/>
                <w:lang w:val="en-US" w:eastAsia="zh-CN"/>
              </w:rPr>
              <w:t xml:space="preserve"> </w:t>
            </w:r>
            <w:r>
              <w:rPr>
                <w:rFonts w:hint="default" w:ascii="Times New Roman" w:hAnsi="Times New Roman" w:eastAsia="宋体" w:cs="Times New Roman"/>
                <w:color w:val="auto"/>
                <w:kern w:val="2"/>
                <w:szCs w:val="24"/>
                <w:shd w:val="clear" w:color="auto" w:fill="FFFFFF"/>
                <w:lang w:val="en-US" w:eastAsia="zh-CN"/>
              </w:rPr>
              <w:t>实行重点区域和行业总量倍量调剂，其倍量调剂比例为以下各单项比例的乘积：（四）工业园区外的工业企业的新增排放量，按不低于1.2倍调剂</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根据《福州市</w:t>
            </w:r>
            <w:r>
              <w:rPr>
                <w:rFonts w:hint="eastAsia" w:ascii="Times New Roman" w:hAnsi="Times New Roman" w:eastAsia="宋体" w:cs="Times New Roman"/>
                <w:color w:val="auto"/>
                <w:kern w:val="2"/>
                <w:szCs w:val="24"/>
                <w:shd w:val="clear" w:color="auto" w:fill="FFFFFF"/>
                <w:lang w:val="en-US" w:eastAsia="zh-CN"/>
              </w:rPr>
              <w:t>生态环境局</w:t>
            </w:r>
            <w:r>
              <w:rPr>
                <w:rFonts w:hint="default" w:ascii="Times New Roman" w:hAnsi="Times New Roman" w:eastAsia="宋体" w:cs="Times New Roman"/>
                <w:color w:val="auto"/>
                <w:kern w:val="2"/>
                <w:szCs w:val="24"/>
                <w:shd w:val="clear" w:color="auto" w:fill="FFFFFF"/>
                <w:lang w:val="en-US" w:eastAsia="zh-CN"/>
              </w:rPr>
              <w:t>关于印发福州市</w:t>
            </w:r>
            <w:r>
              <w:rPr>
                <w:rFonts w:hint="eastAsia" w:ascii="Times New Roman" w:hAnsi="Times New Roman" w:eastAsia="宋体" w:cs="Times New Roman"/>
                <w:color w:val="auto"/>
                <w:kern w:val="2"/>
                <w:szCs w:val="24"/>
                <w:shd w:val="clear" w:color="auto" w:fill="FFFFFF"/>
                <w:lang w:val="en-US" w:eastAsia="zh-CN"/>
              </w:rPr>
              <w:t>大气污染联防联控联治工作方案的通知</w:t>
            </w:r>
            <w:r>
              <w:rPr>
                <w:rFonts w:hint="default" w:ascii="Times New Roman" w:hAnsi="Times New Roman" w:eastAsia="宋体" w:cs="Times New Roman"/>
                <w:color w:val="auto"/>
                <w:kern w:val="2"/>
                <w:szCs w:val="24"/>
                <w:shd w:val="clear" w:color="auto" w:fill="FFFFFF"/>
                <w:lang w:val="en-US" w:eastAsia="zh-CN"/>
              </w:rPr>
              <w:t>》榕环保综</w:t>
            </w:r>
            <w:r>
              <w:rPr>
                <w:rFonts w:hint="eastAsia" w:ascii="Times New Roman" w:hAnsi="Times New Roman" w:eastAsia="宋体" w:cs="Times New Roman"/>
                <w:color w:val="auto"/>
                <w:kern w:val="2"/>
                <w:szCs w:val="24"/>
                <w:shd w:val="clear" w:color="auto" w:fill="FFFFFF"/>
                <w:lang w:val="en-US" w:eastAsia="zh-CN"/>
              </w:rPr>
              <w:t>〔2018〕386号</w:t>
            </w:r>
            <w:r>
              <w:rPr>
                <w:rFonts w:hint="default" w:ascii="Times New Roman" w:hAnsi="Times New Roman" w:eastAsia="宋体" w:cs="Times New Roman"/>
                <w:color w:val="auto"/>
                <w:kern w:val="2"/>
                <w:szCs w:val="24"/>
                <w:shd w:val="clear" w:color="auto" w:fill="FFFFFF"/>
                <w:lang w:val="en-US" w:eastAsia="zh-CN"/>
              </w:rPr>
              <w:t>：VOCs排放实行区域内倍量替代，新、改扩建涉VOCs排放项目，应从源头加强控制，使用低</w:t>
            </w:r>
            <w:r>
              <w:rPr>
                <w:rFonts w:hint="eastAsia" w:ascii="Times New Roman" w:hAnsi="Times New Roman"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无</w:t>
            </w:r>
            <w:r>
              <w:rPr>
                <w:rFonts w:hint="eastAsia" w:ascii="Times New Roman" w:hAnsi="Times New Roman"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VOCs含量的原辅材料，加强废气收集、安装高效治理设施</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根据《2022年度福州市蓝天碧水碧海净土保卫战行动计划》</w:t>
            </w:r>
            <w:r>
              <w:rPr>
                <w:rFonts w:hint="eastAsia" w:ascii="Times New Roman" w:hAnsi="Times New Roman"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榕环委办</w:t>
            </w:r>
            <w:r>
              <w:rPr>
                <w:rFonts w:hint="eastAsia" w:ascii="Times New Roman" w:hAnsi="Times New Roman" w:eastAsia="宋体" w:cs="Times New Roman"/>
                <w:color w:val="auto"/>
                <w:kern w:val="2"/>
                <w:szCs w:val="24"/>
                <w:shd w:val="clear" w:color="auto" w:fill="FFFFFF"/>
                <w:lang w:val="en-US" w:eastAsia="zh-CN"/>
              </w:rPr>
              <w:t>〔2022〕49号</w:t>
            </w:r>
            <w:r>
              <w:rPr>
                <w:rFonts w:hint="eastAsia" w:ascii="Times New Roman" w:hAnsi="Times New Roman" w:cs="Times New Roman"/>
                <w:color w:val="auto"/>
                <w:kern w:val="2"/>
                <w:szCs w:val="24"/>
                <w:shd w:val="clear" w:color="auto" w:fill="FFFFFF"/>
                <w:lang w:val="en-US" w:eastAsia="zh-CN"/>
              </w:rPr>
              <w:t>）</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实施新建项目VOC</w:t>
            </w:r>
            <w:r>
              <w:rPr>
                <w:rFonts w:hint="eastAsia" w:ascii="Times New Roman" w:hAnsi="Times New Roman" w:eastAsia="宋体" w:cs="Times New Roman"/>
                <w:color w:val="auto"/>
                <w:kern w:val="2"/>
                <w:szCs w:val="24"/>
                <w:shd w:val="clear" w:color="auto" w:fill="FFFFFF"/>
                <w:lang w:val="en-US" w:eastAsia="zh-CN"/>
              </w:rPr>
              <w:t>s</w:t>
            </w:r>
            <w:r>
              <w:rPr>
                <w:rFonts w:hint="default" w:ascii="Times New Roman" w:hAnsi="Times New Roman" w:eastAsia="宋体" w:cs="Times New Roman"/>
                <w:color w:val="auto"/>
                <w:kern w:val="2"/>
                <w:szCs w:val="24"/>
                <w:shd w:val="clear" w:color="auto" w:fill="FFFFFF"/>
                <w:lang w:val="en-US" w:eastAsia="zh-CN"/>
              </w:rPr>
              <w:t>排放区域内倍量替代。</w:t>
            </w:r>
            <w:r>
              <w:rPr>
                <w:rFonts w:hint="eastAsia" w:ascii="Times New Roman" w:hAnsi="Times New Roman" w:eastAsia="宋体" w:cs="Times New Roman"/>
                <w:color w:val="auto"/>
                <w:kern w:val="2"/>
                <w:szCs w:val="24"/>
                <w:shd w:val="clear" w:color="auto" w:fill="FFFFFF"/>
                <w:lang w:val="en-US" w:eastAsia="zh-CN"/>
              </w:rPr>
              <w:t>本项目VOCs（以非甲烷总烃计）的排放总量为</w:t>
            </w:r>
            <w:r>
              <w:rPr>
                <w:rFonts w:hint="eastAsia" w:ascii="Times New Roman" w:hAnsi="Times New Roman" w:eastAsia="宋体" w:cs="Times New Roman"/>
                <w:color w:val="auto"/>
                <w:kern w:val="2"/>
                <w:szCs w:val="24"/>
                <w:highlight w:val="none"/>
                <w:shd w:val="clear" w:color="auto" w:fill="FFFFFF"/>
                <w:lang w:val="en-US" w:eastAsia="zh-CN"/>
              </w:rPr>
              <w:t>：</w:t>
            </w:r>
            <w:r>
              <w:rPr>
                <w:rFonts w:hint="eastAsia" w:ascii="Times New Roman" w:hAnsi="Times New Roman" w:cs="Times New Roman"/>
                <w:color w:val="auto"/>
                <w:kern w:val="2"/>
                <w:szCs w:val="24"/>
                <w:highlight w:val="none"/>
                <w:shd w:val="clear" w:color="auto" w:fill="FFFFFF"/>
                <w:lang w:val="en-US" w:eastAsia="zh-CN"/>
              </w:rPr>
              <w:t>0.51636</w:t>
            </w:r>
            <w:r>
              <w:rPr>
                <w:rFonts w:hint="eastAsia" w:ascii="Times New Roman" w:hAnsi="Times New Roman" w:eastAsia="宋体" w:cs="Times New Roman"/>
                <w:color w:val="auto"/>
                <w:kern w:val="2"/>
                <w:szCs w:val="24"/>
                <w:highlight w:val="none"/>
                <w:shd w:val="clear" w:color="auto" w:fill="FFFFFF"/>
                <w:lang w:val="en-US" w:eastAsia="zh-CN"/>
              </w:rPr>
              <w:t>t/a</w:t>
            </w:r>
            <w:r>
              <w:rPr>
                <w:rFonts w:hint="eastAsia" w:ascii="Times New Roman" w:hAnsi="Times New Roman" w:eastAsia="宋体" w:cs="Times New Roman"/>
                <w:color w:val="auto"/>
                <w:kern w:val="2"/>
                <w:szCs w:val="24"/>
                <w:shd w:val="clear" w:color="auto" w:fill="FFFFFF"/>
                <w:lang w:val="en-US" w:eastAsia="zh-CN"/>
              </w:rPr>
              <w:t>。因此，本项目排放的VOCs总量</w:t>
            </w:r>
            <w:r>
              <w:rPr>
                <w:rFonts w:hint="default" w:ascii="Times New Roman" w:hAnsi="Times New Roman" w:eastAsia="宋体" w:cs="Times New Roman"/>
                <w:color w:val="auto"/>
                <w:kern w:val="2"/>
                <w:szCs w:val="24"/>
                <w:shd w:val="clear" w:color="auto" w:fill="FFFFFF"/>
                <w:lang w:val="en-US" w:eastAsia="zh-CN"/>
              </w:rPr>
              <w:t>由建设单位向</w:t>
            </w:r>
            <w:r>
              <w:rPr>
                <w:rFonts w:hint="eastAsia" w:ascii="Times New Roman" w:hAnsi="Times New Roman" w:eastAsia="宋体" w:cs="Times New Roman"/>
                <w:color w:val="auto"/>
                <w:kern w:val="2"/>
                <w:szCs w:val="24"/>
                <w:shd w:val="clear" w:color="auto" w:fill="FFFFFF"/>
                <w:lang w:val="en-US" w:eastAsia="zh-CN"/>
              </w:rPr>
              <w:t>福州市福清生态环境局</w:t>
            </w:r>
            <w:r>
              <w:rPr>
                <w:rFonts w:hint="default" w:ascii="Times New Roman" w:hAnsi="Times New Roman" w:eastAsia="宋体" w:cs="Times New Roman"/>
                <w:color w:val="auto"/>
                <w:kern w:val="2"/>
                <w:szCs w:val="24"/>
                <w:shd w:val="clear" w:color="auto" w:fill="FFFFFF"/>
                <w:lang w:val="en-US" w:eastAsia="zh-CN"/>
              </w:rPr>
              <w:t>申请区域</w:t>
            </w:r>
            <w:r>
              <w:rPr>
                <w:rFonts w:hint="eastAsia" w:ascii="Times New Roman" w:hAnsi="Times New Roman" w:eastAsia="宋体" w:cs="Times New Roman"/>
                <w:color w:val="auto"/>
                <w:kern w:val="2"/>
                <w:szCs w:val="24"/>
                <w:shd w:val="clear" w:color="auto" w:fill="FFFFFF"/>
                <w:lang w:val="en-US" w:eastAsia="zh-CN"/>
              </w:rPr>
              <w:t>倍量</w:t>
            </w:r>
            <w:r>
              <w:rPr>
                <w:rFonts w:hint="default" w:ascii="Times New Roman" w:hAnsi="Times New Roman" w:eastAsia="宋体" w:cs="Times New Roman"/>
                <w:color w:val="auto"/>
                <w:kern w:val="2"/>
                <w:szCs w:val="24"/>
                <w:shd w:val="clear" w:color="auto" w:fill="FFFFFF"/>
                <w:lang w:val="en-US" w:eastAsia="zh-CN"/>
              </w:rPr>
              <w:t>替代</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建设单位承诺在项目投产前取得</w:t>
            </w:r>
            <w:r>
              <w:rPr>
                <w:rFonts w:hint="eastAsia" w:ascii="Times New Roman" w:hAnsi="Times New Roman" w:eastAsia="宋体" w:cs="Times New Roman"/>
                <w:color w:val="auto"/>
                <w:kern w:val="2"/>
                <w:szCs w:val="24"/>
                <w:shd w:val="clear" w:color="auto" w:fill="FFFFFF"/>
                <w:lang w:val="en-US" w:eastAsia="zh-CN"/>
              </w:rPr>
              <w:t>各污染</w:t>
            </w:r>
            <w:r>
              <w:rPr>
                <w:rFonts w:hint="default" w:ascii="Times New Roman" w:hAnsi="Times New Roman" w:eastAsia="宋体" w:cs="Times New Roman"/>
                <w:color w:val="auto"/>
                <w:kern w:val="2"/>
                <w:szCs w:val="24"/>
                <w:shd w:val="clear" w:color="auto" w:fill="FFFFFF"/>
                <w:lang w:val="en-US" w:eastAsia="zh-CN"/>
              </w:rPr>
              <w:t>VOCs</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以非甲烷总烃计</w:t>
            </w:r>
            <w:r>
              <w:rPr>
                <w:rFonts w:hint="eastAsia" w:ascii="Times New Roman" w:hAnsi="Times New Roman" w:eastAsia="宋体" w:cs="Times New Roman"/>
                <w:color w:val="auto"/>
                <w:kern w:val="2"/>
                <w:szCs w:val="24"/>
                <w:shd w:val="clear" w:color="auto" w:fill="FFFFFF"/>
                <w:lang w:val="en-US" w:eastAsia="zh-CN"/>
              </w:rPr>
              <w:t>）总量</w:t>
            </w:r>
            <w:r>
              <w:rPr>
                <w:rFonts w:hint="default" w:ascii="Times New Roman" w:hAnsi="Times New Roman" w:eastAsia="宋体" w:cs="Times New Roman"/>
                <w:color w:val="auto"/>
                <w:kern w:val="2"/>
                <w:szCs w:val="24"/>
                <w:shd w:val="clear" w:color="auto" w:fill="FFFFFF"/>
                <w:lang w:val="en-US" w:eastAsia="zh-CN"/>
              </w:rPr>
              <w:t>的</w:t>
            </w:r>
            <w:r>
              <w:rPr>
                <w:rFonts w:hint="eastAsia" w:ascii="Times New Roman" w:hAnsi="Times New Roman" w:eastAsia="宋体" w:cs="Times New Roman"/>
                <w:color w:val="auto"/>
                <w:kern w:val="2"/>
                <w:szCs w:val="24"/>
                <w:shd w:val="clear" w:color="auto" w:fill="FFFFFF"/>
                <w:lang w:val="en-US" w:eastAsia="zh-CN"/>
              </w:rPr>
              <w:t>倍量</w:t>
            </w:r>
            <w:r>
              <w:rPr>
                <w:rFonts w:hint="default" w:ascii="Times New Roman" w:hAnsi="Times New Roman" w:eastAsia="宋体" w:cs="Times New Roman"/>
                <w:color w:val="auto"/>
                <w:kern w:val="2"/>
                <w:szCs w:val="24"/>
                <w:shd w:val="clear" w:color="auto" w:fill="FFFFFF"/>
                <w:lang w:val="en-US" w:eastAsia="zh-CN"/>
              </w:rPr>
              <w:t>替代</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并依法</w:t>
            </w:r>
            <w:r>
              <w:rPr>
                <w:rFonts w:hint="eastAsia" w:ascii="Times New Roman" w:hAnsi="Times New Roman" w:eastAsia="宋体" w:cs="Times New Roman"/>
                <w:color w:val="auto"/>
                <w:kern w:val="2"/>
                <w:szCs w:val="24"/>
                <w:shd w:val="clear" w:color="auto" w:fill="FFFFFF"/>
                <w:lang w:val="en-US" w:eastAsia="zh-CN"/>
              </w:rPr>
              <w:t>办理</w:t>
            </w:r>
            <w:r>
              <w:rPr>
                <w:rFonts w:hint="default" w:ascii="Times New Roman" w:hAnsi="Times New Roman" w:eastAsia="宋体" w:cs="Times New Roman"/>
                <w:color w:val="auto"/>
                <w:kern w:val="2"/>
                <w:szCs w:val="24"/>
                <w:shd w:val="clear" w:color="auto" w:fill="FFFFFF"/>
                <w:lang w:val="en-US" w:eastAsia="zh-CN"/>
              </w:rPr>
              <w:t>排污许可</w:t>
            </w:r>
            <w:r>
              <w:rPr>
                <w:rFonts w:hint="eastAsia" w:ascii="Times New Roman" w:hAnsi="Times New Roman" w:eastAsia="宋体" w:cs="Times New Roman"/>
                <w:color w:val="auto"/>
                <w:kern w:val="2"/>
                <w:szCs w:val="24"/>
                <w:shd w:val="clear" w:color="auto" w:fill="FFFFFF"/>
                <w:lang w:val="en-US" w:eastAsia="zh-CN"/>
              </w:rPr>
              <w:t>手续</w:t>
            </w:r>
            <w:r>
              <w:rPr>
                <w:rFonts w:hint="eastAsia" w:ascii="Times New Roman" w:hAnsi="Times New Roman" w:eastAsia="宋体" w:cs="Times New Roman"/>
                <w:color w:val="auto"/>
                <w:kern w:val="2"/>
                <w:szCs w:val="24"/>
                <w:highlight w:val="none"/>
                <w:shd w:val="clear" w:color="auto" w:fill="FFFFFF"/>
                <w:lang w:val="en-US" w:eastAsia="zh-CN"/>
              </w:rPr>
              <w:t>（总量</w:t>
            </w:r>
            <w:r>
              <w:rPr>
                <w:rFonts w:hint="default" w:ascii="Times New Roman" w:hAnsi="Times New Roman" w:eastAsia="宋体" w:cs="Times New Roman"/>
                <w:color w:val="auto"/>
                <w:kern w:val="2"/>
                <w:szCs w:val="24"/>
                <w:highlight w:val="none"/>
                <w:shd w:val="clear" w:color="auto" w:fill="FFFFFF"/>
                <w:lang w:val="en-US" w:eastAsia="zh-CN"/>
              </w:rPr>
              <w:t>承诺函详见</w:t>
            </w:r>
            <w:r>
              <w:rPr>
                <w:rFonts w:hint="eastAsia" w:ascii="Times New Roman" w:hAnsi="Times New Roman" w:eastAsia="宋体" w:cs="Times New Roman"/>
                <w:b/>
                <w:bCs/>
                <w:color w:val="auto"/>
                <w:kern w:val="2"/>
                <w:szCs w:val="24"/>
                <w:highlight w:val="none"/>
                <w:shd w:val="clear" w:color="auto" w:fill="FFFFFF"/>
                <w:lang w:val="en-US" w:eastAsia="zh-CN"/>
              </w:rPr>
              <w:t>附件</w:t>
            </w:r>
            <w:r>
              <w:rPr>
                <w:rFonts w:hint="eastAsia" w:ascii="Times New Roman" w:hAnsi="Times New Roman" w:cs="Times New Roman"/>
                <w:b/>
                <w:bCs/>
                <w:color w:val="auto"/>
                <w:kern w:val="2"/>
                <w:szCs w:val="24"/>
                <w:highlight w:val="none"/>
                <w:shd w:val="clear" w:color="auto" w:fill="FFFFFF"/>
                <w:lang w:val="en-US" w:eastAsia="zh-CN"/>
              </w:rPr>
              <w:t>十二</w:t>
            </w:r>
            <w:r>
              <w:rPr>
                <w:rFonts w:hint="eastAsia" w:ascii="Times New Roman" w:hAnsi="Times New Roman" w:eastAsia="宋体" w:cs="Times New Roman"/>
                <w:color w:val="auto"/>
                <w:kern w:val="2"/>
                <w:szCs w:val="24"/>
                <w:highlight w:val="none"/>
                <w:shd w:val="clear" w:color="auto" w:fill="FFFFFF"/>
                <w:lang w:val="en-US" w:eastAsia="zh-CN"/>
              </w:rPr>
              <w:t>）</w:t>
            </w:r>
            <w:r>
              <w:rPr>
                <w:rFonts w:hint="eastAsia" w:ascii="Times New Roman" w:hAnsi="Times New Roman" w:eastAsia="宋体" w:cs="Times New Roman"/>
                <w:color w:val="auto"/>
                <w:kern w:val="2"/>
                <w:szCs w:val="24"/>
                <w:shd w:val="clear" w:color="auto" w:fill="FFFFFF"/>
                <w:lang w:val="en-US" w:eastAsia="zh-CN"/>
              </w:rPr>
              <w:t>。</w:t>
            </w:r>
          </w:p>
        </w:tc>
      </w:tr>
    </w:tbl>
    <w:p w14:paraId="50819DC2">
      <w:pPr>
        <w:rPr>
          <w:rFonts w:hint="eastAsia"/>
          <w:lang w:eastAsia="zh-CN"/>
        </w:rPr>
      </w:pPr>
      <w:r>
        <w:rPr>
          <w:rFonts w:hint="eastAsia"/>
          <w:lang w:eastAsia="zh-CN"/>
        </w:rPr>
        <w:br w:type="page"/>
      </w:r>
    </w:p>
    <w:p w14:paraId="150C7E76">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75" w:name="_Toc3724"/>
      <w:bookmarkStart w:id="76" w:name="_Toc3502"/>
      <w:r>
        <w:rPr>
          <w:rFonts w:hint="eastAsia" w:ascii="Times New Roman" w:hAnsi="Times New Roman" w:eastAsia="黑体" w:cs="Times New Roman"/>
          <w:snapToGrid w:val="0"/>
          <w:color w:val="auto"/>
          <w:sz w:val="30"/>
          <w:szCs w:val="30"/>
          <w:u w:val="none"/>
          <w:lang w:val="en-US" w:eastAsia="zh-CN"/>
        </w:rPr>
        <w:t>四、</w:t>
      </w:r>
      <w:r>
        <w:rPr>
          <w:rFonts w:hint="default" w:ascii="Times New Roman" w:hAnsi="Times New Roman" w:eastAsia="黑体" w:cs="Times New Roman"/>
          <w:snapToGrid w:val="0"/>
          <w:color w:val="auto"/>
          <w:sz w:val="30"/>
          <w:szCs w:val="30"/>
          <w:u w:val="none"/>
          <w:lang w:val="en-US" w:eastAsia="zh-CN"/>
        </w:rPr>
        <w:t>主要环境影响和保护措施</w:t>
      </w:r>
      <w:bookmarkEnd w:id="75"/>
      <w:bookmarkEnd w:id="76"/>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755"/>
      </w:tblGrid>
      <w:tr w14:paraId="3A3A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19" w:hRule="atLeast"/>
        </w:trPr>
        <w:tc>
          <w:tcPr>
            <w:tcW w:w="533" w:type="dxa"/>
            <w:vAlign w:val="center"/>
          </w:tcPr>
          <w:p w14:paraId="6E0219F9">
            <w:pPr>
              <w:jc w:val="center"/>
              <w:rPr>
                <w:rFonts w:hint="default"/>
                <w:vertAlign w:val="baseline"/>
                <w:lang w:val="en-US" w:eastAsia="zh-CN"/>
              </w:rPr>
            </w:pPr>
            <w:r>
              <w:rPr>
                <w:rFonts w:hint="eastAsia" w:ascii="Times New Roman" w:hAnsi="Times New Roman" w:eastAsia="宋体" w:cs="Times New Roman"/>
                <w:color w:val="auto"/>
                <w:kern w:val="0"/>
                <w:sz w:val="24"/>
                <w:szCs w:val="24"/>
                <w:lang w:val="en-US" w:eastAsia="zh-CN"/>
              </w:rPr>
              <w:t>施工期环境保护措施</w:t>
            </w:r>
          </w:p>
        </w:tc>
        <w:tc>
          <w:tcPr>
            <w:tcW w:w="8755" w:type="dxa"/>
            <w:vAlign w:val="center"/>
          </w:tcPr>
          <w:p w14:paraId="004AE2AC">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vertAlign w:val="baseline"/>
                <w:lang w:eastAsia="zh-CN"/>
              </w:rPr>
            </w:pPr>
            <w:bookmarkStart w:id="77" w:name="_Toc224713628"/>
            <w:bookmarkStart w:id="78" w:name="_Toc235065596"/>
            <w:bookmarkStart w:id="79" w:name="_Toc278977997"/>
            <w:bookmarkStart w:id="80" w:name="_Toc17361640"/>
            <w:bookmarkStart w:id="81" w:name="_Toc279492221"/>
            <w:bookmarkStart w:id="82" w:name="_Toc85178610"/>
            <w:bookmarkStart w:id="83" w:name="_Toc212261317"/>
            <w:bookmarkStart w:id="84" w:name="_Toc56498815"/>
            <w:bookmarkStart w:id="85" w:name="_Toc17361639"/>
            <w:bookmarkStart w:id="86" w:name="_Toc225766861"/>
            <w:bookmarkStart w:id="87" w:name="_Toc222825971"/>
            <w:bookmarkStart w:id="88" w:name="_Toc235459029"/>
            <w:bookmarkStart w:id="89" w:name="_Toc233386843"/>
            <w:bookmarkStart w:id="90" w:name="_Toc211967612"/>
            <w:bookmarkStart w:id="91" w:name="_Toc56498971"/>
            <w:bookmarkStart w:id="92" w:name="_Toc232930955"/>
            <w:bookmarkStart w:id="93" w:name="_Toc281777364"/>
            <w:bookmarkStart w:id="94" w:name="_Toc234833275"/>
            <w:bookmarkStart w:id="95" w:name="_Toc213206595"/>
            <w:r>
              <w:rPr>
                <w:rFonts w:hint="default" w:ascii="Times New Roman" w:hAnsi="Times New Roman" w:eastAsia="宋体" w:cs="Times New Roman"/>
                <w:color w:val="auto"/>
                <w:kern w:val="2"/>
                <w:sz w:val="24"/>
                <w:szCs w:val="24"/>
                <w:shd w:val="clear" w:color="auto" w:fill="FFFFFF"/>
                <w:lang w:val="en-US" w:eastAsia="zh-CN"/>
              </w:rPr>
              <w:t>本项目位于</w:t>
            </w:r>
            <w:r>
              <w:rPr>
                <w:rFonts w:hint="default" w:ascii="Times New Roman" w:hAnsi="Times New Roman" w:eastAsia="宋体" w:cs="Times New Roman"/>
                <w:color w:val="auto"/>
                <w:sz w:val="24"/>
                <w:szCs w:val="24"/>
                <w:u w:val="none"/>
                <w:lang w:val="en-US" w:eastAsia="zh-CN"/>
              </w:rPr>
              <w:t>福建省福州市福清市阳下街道上亭村（均和云谷·福清科技港31栋厂房1-4层）。</w:t>
            </w:r>
            <w:r>
              <w:rPr>
                <w:rFonts w:hint="default" w:ascii="Times New Roman" w:hAnsi="Times New Roman" w:eastAsia="宋体" w:cs="Times New Roman"/>
                <w:color w:val="auto"/>
                <w:kern w:val="2"/>
                <w:sz w:val="24"/>
                <w:szCs w:val="24"/>
                <w:shd w:val="clear" w:color="auto" w:fill="FFFFFF"/>
                <w:lang w:val="en-US" w:eastAsia="zh-CN"/>
              </w:rPr>
              <w:t>利用现有厂房进行生产，根据现场勘查，该厂房已建成，因此不存在厂房等主体工程施工期环境影响。项目施工期主要为设备安装、调试阶段产生的环境问题，本项目设备安装、调试简单</w:t>
            </w:r>
            <w:r>
              <w:rPr>
                <w:rFonts w:hint="eastAsia" w:cs="Times New Roman"/>
                <w:color w:val="auto"/>
                <w:kern w:val="2"/>
                <w:sz w:val="24"/>
                <w:szCs w:val="24"/>
                <w:shd w:val="clear" w:color="auto" w:fill="FFFFFF"/>
                <w:lang w:val="en-US" w:eastAsia="zh-CN"/>
              </w:rPr>
              <w:t>且</w:t>
            </w:r>
            <w:r>
              <w:rPr>
                <w:rFonts w:hint="default" w:ascii="Times New Roman" w:hAnsi="Times New Roman" w:eastAsia="宋体" w:cs="Times New Roman"/>
                <w:color w:val="auto"/>
                <w:kern w:val="2"/>
                <w:sz w:val="24"/>
                <w:szCs w:val="24"/>
                <w:shd w:val="clear" w:color="auto" w:fill="FFFFFF"/>
                <w:lang w:val="en-US" w:eastAsia="zh-CN"/>
              </w:rPr>
              <w:t>时间较短，因此，随着设备安装、调试完毕后，项目施工期也将结束，施工期环境影响也随着消失，</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Pr>
                <w:rFonts w:hint="default" w:ascii="Times New Roman" w:hAnsi="Times New Roman" w:eastAsia="宋体" w:cs="Times New Roman"/>
                <w:color w:val="auto"/>
                <w:kern w:val="2"/>
                <w:sz w:val="24"/>
                <w:szCs w:val="24"/>
                <w:shd w:val="clear" w:color="auto" w:fill="FFFFFF"/>
                <w:lang w:val="zh-CN" w:eastAsia="zh-CN"/>
              </w:rPr>
              <w:t>对周围环境的影响较小，故本环评对此不再作出具体分析。</w:t>
            </w:r>
          </w:p>
        </w:tc>
      </w:tr>
      <w:tr w14:paraId="3A09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018F02A0">
            <w:pPr>
              <w:jc w:val="center"/>
              <w:rPr>
                <w:rFonts w:hint="default"/>
                <w:vertAlign w:val="baseline"/>
                <w:lang w:val="en-US" w:eastAsia="zh-CN"/>
              </w:rPr>
            </w:pPr>
            <w:r>
              <w:rPr>
                <w:rFonts w:hint="eastAsia" w:ascii="Times New Roman" w:hAnsi="Times New Roman" w:eastAsia="宋体" w:cs="Times New Roman"/>
                <w:color w:val="auto"/>
                <w:kern w:val="0"/>
                <w:sz w:val="24"/>
                <w:szCs w:val="24"/>
                <w:lang w:val="en-US" w:eastAsia="zh-CN"/>
              </w:rPr>
              <w:t>运营期环境影响和保护措施</w:t>
            </w:r>
          </w:p>
        </w:tc>
        <w:tc>
          <w:tcPr>
            <w:tcW w:w="8755" w:type="dxa"/>
          </w:tcPr>
          <w:p w14:paraId="6F7CEE44">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b/>
                <w:sz w:val="28"/>
                <w:szCs w:val="28"/>
              </w:rPr>
            </w:pPr>
            <w:bookmarkStart w:id="96" w:name="_Toc19070"/>
            <w:r>
              <w:rPr>
                <w:rFonts w:hint="eastAsia"/>
                <w:b/>
                <w:sz w:val="28"/>
                <w:szCs w:val="28"/>
                <w:lang w:val="en-US" w:eastAsia="zh-CN"/>
              </w:rPr>
              <w:t>4</w:t>
            </w:r>
            <w:r>
              <w:rPr>
                <w:b/>
                <w:sz w:val="28"/>
                <w:szCs w:val="28"/>
              </w:rPr>
              <w:t>.1</w:t>
            </w:r>
            <w:r>
              <w:rPr>
                <w:rFonts w:eastAsia="宋体"/>
                <w:b/>
                <w:sz w:val="28"/>
                <w:szCs w:val="28"/>
              </w:rPr>
              <w:t>大气环境影响分析和污染防治措施</w:t>
            </w:r>
            <w:bookmarkEnd w:id="96"/>
          </w:p>
          <w:p w14:paraId="74AB3F9A">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b/>
                <w:color w:val="262626"/>
                <w:kern w:val="0"/>
                <w:sz w:val="24"/>
              </w:rPr>
            </w:pPr>
            <w:bookmarkStart w:id="97" w:name="_Toc22470"/>
            <w:bookmarkStart w:id="98" w:name="_Toc5618"/>
            <w:r>
              <w:rPr>
                <w:b/>
                <w:color w:val="262626"/>
                <w:kern w:val="0"/>
                <w:sz w:val="24"/>
              </w:rPr>
              <w:t>4.1.1 运营期废气源强核算</w:t>
            </w:r>
            <w:bookmarkEnd w:id="97"/>
            <w:bookmarkEnd w:id="98"/>
          </w:p>
          <w:p w14:paraId="14AB46F5">
            <w:pPr>
              <w:adjustRightInd w:val="0"/>
              <w:snapToGrid w:val="0"/>
              <w:spacing w:line="348" w:lineRule="auto"/>
              <w:ind w:firstLine="480" w:firstLineChars="200"/>
              <w:rPr>
                <w:color w:val="262626"/>
                <w:sz w:val="24"/>
              </w:rPr>
            </w:pPr>
            <w:r>
              <w:rPr>
                <w:rFonts w:hint="eastAsia"/>
                <w:color w:val="262626"/>
                <w:sz w:val="24"/>
              </w:rPr>
              <w:t>根据生产工艺流程图可知，项目运营期废气</w:t>
            </w:r>
            <w:r>
              <w:rPr>
                <w:rFonts w:hint="eastAsia"/>
                <w:color w:val="262626"/>
                <w:sz w:val="24"/>
                <w:lang w:val="en-US" w:eastAsia="zh-CN"/>
              </w:rPr>
              <w:t>来源是汽车塑料制品生产时产生的</w:t>
            </w:r>
            <w:r>
              <w:rPr>
                <w:rFonts w:hint="eastAsia"/>
                <w:color w:val="262626"/>
                <w:sz w:val="24"/>
              </w:rPr>
              <w:t>注塑加热有机废气</w:t>
            </w:r>
            <w:r>
              <w:rPr>
                <w:rFonts w:hint="eastAsia"/>
                <w:color w:val="262626"/>
                <w:sz w:val="24"/>
                <w:lang w:eastAsia="zh-CN"/>
              </w:rPr>
              <w:t>（</w:t>
            </w:r>
            <w:r>
              <w:rPr>
                <w:color w:val="262626"/>
                <w:sz w:val="24"/>
              </w:rPr>
              <w:t>以非甲烷</w:t>
            </w:r>
            <w:r>
              <w:rPr>
                <w:rFonts w:hint="eastAsia"/>
                <w:color w:val="262626"/>
                <w:sz w:val="24"/>
              </w:rPr>
              <w:t>总烃</w:t>
            </w:r>
            <w:r>
              <w:rPr>
                <w:rFonts w:hint="eastAsia"/>
                <w:color w:val="262626"/>
                <w:sz w:val="24"/>
                <w:lang w:val="en-US" w:eastAsia="zh-CN"/>
              </w:rPr>
              <w:t>计）</w:t>
            </w:r>
            <w:r>
              <w:rPr>
                <w:rFonts w:hint="eastAsia"/>
                <w:color w:val="262626"/>
                <w:sz w:val="24"/>
                <w:lang w:eastAsia="zh-CN"/>
              </w:rPr>
              <w:t>、</w:t>
            </w:r>
            <w:r>
              <w:rPr>
                <w:rFonts w:hint="eastAsia"/>
                <w:color w:val="262626"/>
                <w:sz w:val="24"/>
                <w:lang w:val="en-US" w:eastAsia="zh-CN"/>
              </w:rPr>
              <w:t>苯乙烯</w:t>
            </w:r>
            <w:r>
              <w:rPr>
                <w:rFonts w:hint="eastAsia"/>
                <w:color w:val="262626"/>
                <w:sz w:val="24"/>
              </w:rPr>
              <w:t>、臭气</w:t>
            </w:r>
            <w:r>
              <w:rPr>
                <w:rFonts w:hint="eastAsia"/>
                <w:color w:val="262626"/>
                <w:sz w:val="24"/>
                <w:lang w:eastAsia="zh-CN"/>
              </w:rPr>
              <w:t>。不合格产品破碎过程中产生的粉尘废气（颗粒物）。</w:t>
            </w:r>
            <w:r>
              <w:rPr>
                <w:rFonts w:hint="eastAsia" w:ascii="Times New Roman" w:hAnsi="Times New Roman" w:eastAsia="宋体" w:cs="Times New Roman"/>
                <w:color w:val="262626"/>
                <w:sz w:val="24"/>
                <w:lang w:val="en-US" w:eastAsia="zh-CN"/>
              </w:rPr>
              <w:t>本项目废气源强</w:t>
            </w:r>
            <w:r>
              <w:rPr>
                <w:rFonts w:hint="eastAsia"/>
                <w:color w:val="262626"/>
                <w:kern w:val="0"/>
                <w:sz w:val="24"/>
                <w:szCs w:val="20"/>
              </w:rPr>
              <w:t>核算参照《污染源源强核算技术指南 准则》</w:t>
            </w:r>
            <w:r>
              <w:rPr>
                <w:rFonts w:hint="eastAsia"/>
                <w:color w:val="262626"/>
                <w:kern w:val="0"/>
                <w:sz w:val="24"/>
                <w:szCs w:val="20"/>
                <w:lang w:eastAsia="zh-CN"/>
              </w:rPr>
              <w:t>《</w:t>
            </w:r>
            <w:r>
              <w:rPr>
                <w:rFonts w:hint="eastAsia"/>
                <w:color w:val="262626"/>
                <w:kern w:val="0"/>
                <w:sz w:val="24"/>
                <w:szCs w:val="20"/>
                <w:lang w:val="en-US" w:eastAsia="zh-CN"/>
              </w:rPr>
              <w:t>排放源统计调查产排污核算方法和系数手册</w:t>
            </w:r>
            <w:r>
              <w:rPr>
                <w:rFonts w:hint="eastAsia"/>
                <w:color w:val="262626"/>
                <w:kern w:val="0"/>
                <w:sz w:val="24"/>
                <w:szCs w:val="20"/>
                <w:lang w:eastAsia="zh-CN"/>
              </w:rPr>
              <w:t>》</w:t>
            </w:r>
            <w:r>
              <w:rPr>
                <w:rFonts w:hint="eastAsia"/>
                <w:color w:val="262626"/>
                <w:kern w:val="0"/>
                <w:sz w:val="24"/>
                <w:szCs w:val="20"/>
              </w:rPr>
              <w:t>等相关要求进行。项目</w:t>
            </w:r>
            <w:r>
              <w:rPr>
                <w:color w:val="262626"/>
                <w:kern w:val="0"/>
                <w:sz w:val="24"/>
                <w:szCs w:val="20"/>
              </w:rPr>
              <w:t>废气污染源</w:t>
            </w:r>
            <w:r>
              <w:rPr>
                <w:rFonts w:hint="eastAsia"/>
                <w:color w:val="262626"/>
                <w:kern w:val="0"/>
                <w:sz w:val="24"/>
                <w:szCs w:val="20"/>
              </w:rPr>
              <w:t>源强分析如下：</w:t>
            </w:r>
          </w:p>
          <w:p w14:paraId="5DC81BFF">
            <w:pPr>
              <w:adjustRightInd w:val="0"/>
              <w:snapToGrid w:val="0"/>
              <w:spacing w:line="348" w:lineRule="auto"/>
              <w:ind w:firstLine="480" w:firstLineChars="200"/>
              <w:rPr>
                <w:rFonts w:hint="eastAsia" w:ascii="Times New Roman" w:hAnsi="Times New Roman" w:eastAsia="宋体" w:cs="Times New Roman"/>
                <w:color w:val="262626"/>
                <w:sz w:val="24"/>
                <w:lang w:eastAsia="zh-CN"/>
              </w:rPr>
            </w:pPr>
            <w:r>
              <w:rPr>
                <w:rFonts w:hint="eastAsia" w:ascii="Times New Roman" w:hAnsi="Times New Roman" w:eastAsia="宋体" w:cs="Times New Roman"/>
                <w:color w:val="262626"/>
                <w:sz w:val="24"/>
                <w:lang w:eastAsia="zh-CN"/>
              </w:rPr>
              <w:t>（</w:t>
            </w:r>
            <w:r>
              <w:rPr>
                <w:rFonts w:hint="eastAsia" w:ascii="Times New Roman" w:hAnsi="Times New Roman" w:eastAsia="宋体" w:cs="Times New Roman"/>
                <w:color w:val="262626"/>
                <w:sz w:val="24"/>
                <w:lang w:val="en-US" w:eastAsia="zh-CN"/>
              </w:rPr>
              <w:t>1</w:t>
            </w:r>
            <w:r>
              <w:rPr>
                <w:rFonts w:hint="eastAsia" w:ascii="Times New Roman" w:hAnsi="Times New Roman" w:eastAsia="宋体" w:cs="Times New Roman"/>
                <w:color w:val="262626"/>
                <w:sz w:val="24"/>
                <w:lang w:eastAsia="zh-CN"/>
              </w:rPr>
              <w:t>）</w:t>
            </w:r>
            <w:r>
              <w:rPr>
                <w:rFonts w:hint="eastAsia" w:cs="Times New Roman"/>
                <w:color w:val="262626"/>
                <w:sz w:val="24"/>
                <w:lang w:val="en-US" w:eastAsia="zh-CN"/>
              </w:rPr>
              <w:t>有机</w:t>
            </w:r>
            <w:r>
              <w:rPr>
                <w:rFonts w:hint="eastAsia" w:ascii="Times New Roman" w:hAnsi="Times New Roman" w:eastAsia="宋体" w:cs="Times New Roman"/>
                <w:color w:val="262626"/>
                <w:sz w:val="24"/>
                <w:lang w:eastAsia="zh-CN"/>
              </w:rPr>
              <w:t>废气</w:t>
            </w:r>
            <w:r>
              <w:rPr>
                <w:rFonts w:hint="eastAsia" w:cs="Times New Roman"/>
                <w:color w:val="262626"/>
                <w:sz w:val="24"/>
                <w:lang w:eastAsia="zh-CN"/>
              </w:rPr>
              <w:t>（</w:t>
            </w:r>
            <w:r>
              <w:rPr>
                <w:rFonts w:hint="eastAsia" w:cs="Times New Roman"/>
                <w:color w:val="262626"/>
                <w:sz w:val="24"/>
                <w:lang w:val="en-US" w:eastAsia="zh-CN"/>
              </w:rPr>
              <w:t>注塑、脱模</w:t>
            </w:r>
            <w:r>
              <w:rPr>
                <w:rFonts w:hint="eastAsia" w:cs="Times New Roman"/>
                <w:color w:val="262626"/>
                <w:sz w:val="24"/>
                <w:lang w:eastAsia="zh-CN"/>
              </w:rPr>
              <w:t>）</w:t>
            </w:r>
          </w:p>
          <w:p w14:paraId="158A36F2">
            <w:pPr>
              <w:adjustRightInd w:val="0"/>
              <w:snapToGrid w:val="0"/>
              <w:spacing w:line="360" w:lineRule="auto"/>
              <w:ind w:firstLine="480" w:firstLineChars="200"/>
              <w:rPr>
                <w:bCs/>
                <w:color w:val="262626"/>
                <w:sz w:val="24"/>
              </w:rPr>
            </w:pPr>
            <w:r>
              <w:rPr>
                <w:rFonts w:hint="eastAsia"/>
                <w:bCs/>
                <w:color w:val="262626"/>
                <w:sz w:val="24"/>
              </w:rPr>
              <w:t>项目</w:t>
            </w:r>
            <w:r>
              <w:rPr>
                <w:rFonts w:hint="eastAsia"/>
                <w:color w:val="262626"/>
                <w:kern w:val="0"/>
                <w:sz w:val="24"/>
                <w:szCs w:val="20"/>
              </w:rPr>
              <w:t>注塑机加热温度为</w:t>
            </w:r>
            <w:r>
              <w:rPr>
                <w:rFonts w:hint="eastAsia"/>
                <w:color w:val="262626"/>
                <w:kern w:val="0"/>
                <w:sz w:val="24"/>
                <w:szCs w:val="20"/>
                <w:highlight w:val="none"/>
              </w:rPr>
              <w:t>200</w:t>
            </w:r>
            <w:r>
              <w:rPr>
                <w:rFonts w:hint="eastAsia"/>
                <w:color w:val="262626"/>
                <w:kern w:val="0"/>
                <w:sz w:val="24"/>
                <w:szCs w:val="20"/>
                <w:highlight w:val="none"/>
                <w:lang w:val="en-US" w:eastAsia="zh-CN"/>
              </w:rPr>
              <w:t>℃</w:t>
            </w:r>
            <w:r>
              <w:rPr>
                <w:rFonts w:hint="eastAsia"/>
                <w:color w:val="262626"/>
                <w:kern w:val="0"/>
                <w:sz w:val="24"/>
                <w:szCs w:val="20"/>
              </w:rPr>
              <w:t>，因此原料树脂颗粒在注塑机加热温度下不会发生热分解反应。根据《排放源统计调查产排污核算方法和系数手册》</w:t>
            </w:r>
            <w:r>
              <w:rPr>
                <w:color w:val="262626"/>
                <w:kern w:val="0"/>
                <w:sz w:val="24"/>
                <w:szCs w:val="20"/>
              </w:rPr>
              <w:t>292</w:t>
            </w:r>
            <w:r>
              <w:rPr>
                <w:rFonts w:hint="eastAsia"/>
                <w:color w:val="262626"/>
                <w:kern w:val="0"/>
                <w:sz w:val="24"/>
                <w:szCs w:val="20"/>
              </w:rPr>
              <w:t>塑料制品行业系数手册中“</w:t>
            </w:r>
            <w:r>
              <w:rPr>
                <w:rFonts w:hint="eastAsia"/>
                <w:color w:val="262626"/>
                <w:kern w:val="0"/>
                <w:sz w:val="24"/>
                <w:szCs w:val="20"/>
                <w:lang w:val="en-US" w:eastAsia="zh-CN"/>
              </w:rPr>
              <w:t>2929</w:t>
            </w:r>
            <w:r>
              <w:rPr>
                <w:rFonts w:hint="eastAsia"/>
                <w:color w:val="262626"/>
                <w:kern w:val="0"/>
                <w:sz w:val="24"/>
                <w:szCs w:val="20"/>
              </w:rPr>
              <w:t>塑料零件及其他塑料制品制造行业系数表”</w:t>
            </w:r>
            <w:r>
              <w:rPr>
                <w:bCs/>
                <w:color w:val="262626"/>
                <w:sz w:val="24"/>
              </w:rPr>
              <w:t>进行计算，产污系数详见表4.1-</w:t>
            </w:r>
            <w:r>
              <w:rPr>
                <w:rFonts w:hint="eastAsia"/>
                <w:bCs/>
                <w:color w:val="262626"/>
                <w:sz w:val="24"/>
              </w:rPr>
              <w:t>1</w:t>
            </w:r>
            <w:r>
              <w:rPr>
                <w:bCs/>
                <w:color w:val="262626"/>
                <w:sz w:val="24"/>
              </w:rPr>
              <w:t>。</w:t>
            </w:r>
          </w:p>
          <w:p w14:paraId="56F4AE4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表4.1-</w:t>
            </w:r>
            <w:r>
              <w:rPr>
                <w:rFonts w:hint="eastAsia" w:ascii="Times New Roman" w:hAnsi="Times New Roman" w:eastAsia="宋体" w:cs="Times New Roman"/>
                <w:b/>
                <w:bCs/>
                <w:color w:val="auto"/>
                <w:sz w:val="24"/>
                <w:szCs w:val="24"/>
                <w:u w:val="none"/>
                <w:lang w:val="en-US" w:eastAsia="zh-CN"/>
              </w:rPr>
              <w:t xml:space="preserve">1 </w:t>
            </w:r>
            <w:r>
              <w:rPr>
                <w:rFonts w:hint="default" w:ascii="Times New Roman" w:hAnsi="Times New Roman" w:eastAsia="宋体" w:cs="Times New Roman"/>
                <w:b/>
                <w:bCs/>
                <w:color w:val="auto"/>
                <w:sz w:val="24"/>
                <w:szCs w:val="24"/>
                <w:u w:val="none"/>
                <w:lang w:val="en-US" w:eastAsia="zh-CN"/>
              </w:rPr>
              <w:t>292</w:t>
            </w:r>
            <w:r>
              <w:rPr>
                <w:rFonts w:hint="eastAsia" w:ascii="Times New Roman" w:hAnsi="Times New Roman" w:eastAsia="宋体" w:cs="Times New Roman"/>
                <w:b/>
                <w:bCs/>
                <w:color w:val="auto"/>
                <w:sz w:val="24"/>
                <w:szCs w:val="24"/>
                <w:u w:val="none"/>
                <w:lang w:val="en-US" w:eastAsia="zh-CN"/>
              </w:rPr>
              <w:t>9</w:t>
            </w:r>
            <w:r>
              <w:rPr>
                <w:rFonts w:hint="default" w:ascii="Times New Roman" w:hAnsi="Times New Roman" w:eastAsia="宋体" w:cs="Times New Roman"/>
                <w:b/>
                <w:bCs/>
                <w:color w:val="auto"/>
                <w:sz w:val="24"/>
                <w:szCs w:val="24"/>
                <w:u w:val="none"/>
                <w:lang w:val="en-US" w:eastAsia="zh-CN"/>
              </w:rPr>
              <w:t>塑料制品行业系数手册</w:t>
            </w:r>
            <w:r>
              <w:rPr>
                <w:rFonts w:hint="eastAsia" w:ascii="Times New Roman" w:hAnsi="Times New Roman" w:eastAsia="宋体" w:cs="Times New Roman"/>
                <w:b/>
                <w:bCs/>
                <w:color w:val="auto"/>
                <w:sz w:val="24"/>
                <w:szCs w:val="24"/>
                <w:u w:val="none"/>
                <w:lang w:val="en-US" w:eastAsia="zh-CN"/>
              </w:rPr>
              <w:t>产排污核算系数一览表（摘录）</w:t>
            </w:r>
          </w:p>
          <w:tbl>
            <w:tblPr>
              <w:tblStyle w:val="22"/>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897"/>
              <w:gridCol w:w="2508"/>
              <w:gridCol w:w="790"/>
              <w:gridCol w:w="994"/>
              <w:gridCol w:w="954"/>
              <w:gridCol w:w="954"/>
              <w:gridCol w:w="698"/>
            </w:tblGrid>
            <w:tr w14:paraId="51DAE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pct"/>
                  <w:noWrap w:val="0"/>
                  <w:vAlign w:val="center"/>
                </w:tcPr>
                <w:p w14:paraId="69D4F52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产品</w:t>
                  </w:r>
                </w:p>
                <w:p w14:paraId="445ED3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名称</w:t>
                  </w:r>
                </w:p>
              </w:tc>
              <w:tc>
                <w:tcPr>
                  <w:tcW w:w="526" w:type="pct"/>
                  <w:noWrap w:val="0"/>
                  <w:vAlign w:val="center"/>
                </w:tcPr>
                <w:p w14:paraId="4636FE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原料</w:t>
                  </w:r>
                </w:p>
                <w:p w14:paraId="45810E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名称</w:t>
                  </w:r>
                </w:p>
              </w:tc>
              <w:tc>
                <w:tcPr>
                  <w:tcW w:w="1470" w:type="pct"/>
                  <w:noWrap w:val="0"/>
                  <w:vAlign w:val="center"/>
                </w:tcPr>
                <w:p w14:paraId="135BC4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工艺</w:t>
                  </w:r>
                </w:p>
                <w:p w14:paraId="6CF78C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名称</w:t>
                  </w:r>
                </w:p>
              </w:tc>
              <w:tc>
                <w:tcPr>
                  <w:tcW w:w="463" w:type="pct"/>
                  <w:noWrap w:val="0"/>
                  <w:vAlign w:val="center"/>
                </w:tcPr>
                <w:p w14:paraId="3DDDC3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规模等级</w:t>
                  </w:r>
                </w:p>
              </w:tc>
              <w:tc>
                <w:tcPr>
                  <w:tcW w:w="583" w:type="pct"/>
                  <w:noWrap w:val="0"/>
                  <w:vAlign w:val="center"/>
                </w:tcPr>
                <w:p w14:paraId="3ACFE0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污染物类别</w:t>
                  </w:r>
                </w:p>
              </w:tc>
              <w:tc>
                <w:tcPr>
                  <w:tcW w:w="559" w:type="pct"/>
                  <w:noWrap w:val="0"/>
                  <w:vAlign w:val="center"/>
                </w:tcPr>
                <w:p w14:paraId="0352B5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污染物指标</w:t>
                  </w:r>
                </w:p>
              </w:tc>
              <w:tc>
                <w:tcPr>
                  <w:tcW w:w="559" w:type="pct"/>
                  <w:noWrap w:val="0"/>
                  <w:vAlign w:val="center"/>
                </w:tcPr>
                <w:p w14:paraId="6D2A26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单位</w:t>
                  </w:r>
                </w:p>
              </w:tc>
              <w:tc>
                <w:tcPr>
                  <w:tcW w:w="404" w:type="pct"/>
                  <w:noWrap w:val="0"/>
                  <w:vAlign w:val="center"/>
                </w:tcPr>
                <w:p w14:paraId="62FFFF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产污系数</w:t>
                  </w:r>
                </w:p>
              </w:tc>
            </w:tr>
            <w:tr w14:paraId="2D43C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pct"/>
                  <w:noWrap w:val="0"/>
                  <w:vAlign w:val="center"/>
                </w:tcPr>
                <w:p w14:paraId="1716EA9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塑料</w:t>
                  </w:r>
                </w:p>
                <w:p w14:paraId="3A1B8C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零件</w:t>
                  </w:r>
                </w:p>
              </w:tc>
              <w:tc>
                <w:tcPr>
                  <w:tcW w:w="526" w:type="pct"/>
                  <w:noWrap w:val="0"/>
                  <w:vAlign w:val="center"/>
                </w:tcPr>
                <w:p w14:paraId="20EEB1A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树脂、</w:t>
                  </w:r>
                </w:p>
                <w:p w14:paraId="30F8AB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助剂</w:t>
                  </w:r>
                </w:p>
              </w:tc>
              <w:tc>
                <w:tcPr>
                  <w:tcW w:w="1470" w:type="pct"/>
                  <w:noWrap w:val="0"/>
                  <w:vAlign w:val="center"/>
                </w:tcPr>
                <w:p w14:paraId="4AFC00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配料混合挤出/注塑</w:t>
                  </w:r>
                </w:p>
              </w:tc>
              <w:tc>
                <w:tcPr>
                  <w:tcW w:w="463" w:type="pct"/>
                  <w:noWrap w:val="0"/>
                  <w:vAlign w:val="center"/>
                </w:tcPr>
                <w:p w14:paraId="078E94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所有规模</w:t>
                  </w:r>
                </w:p>
              </w:tc>
              <w:tc>
                <w:tcPr>
                  <w:tcW w:w="583" w:type="pct"/>
                  <w:noWrap w:val="0"/>
                  <w:vAlign w:val="center"/>
                </w:tcPr>
                <w:p w14:paraId="581BBC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废气</w:t>
                  </w:r>
                </w:p>
              </w:tc>
              <w:tc>
                <w:tcPr>
                  <w:tcW w:w="559" w:type="pct"/>
                  <w:noWrap w:val="0"/>
                  <w:vAlign w:val="center"/>
                </w:tcPr>
                <w:p w14:paraId="3F6007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挥发性有机物*</w:t>
                  </w:r>
                </w:p>
              </w:tc>
              <w:tc>
                <w:tcPr>
                  <w:tcW w:w="559" w:type="pct"/>
                  <w:noWrap w:val="0"/>
                  <w:vAlign w:val="center"/>
                </w:tcPr>
                <w:p w14:paraId="36521A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千克/吨-产品</w:t>
                  </w:r>
                </w:p>
              </w:tc>
              <w:tc>
                <w:tcPr>
                  <w:tcW w:w="404" w:type="pct"/>
                  <w:noWrap w:val="0"/>
                  <w:vAlign w:val="center"/>
                </w:tcPr>
                <w:p w14:paraId="378D34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2.7</w:t>
                  </w:r>
                </w:p>
              </w:tc>
            </w:tr>
            <w:tr w14:paraId="00601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noWrap w:val="0"/>
                  <w:vAlign w:val="center"/>
                </w:tcPr>
                <w:p w14:paraId="3653A47D">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注：挥发性有机物以非甲烷总烃计。</w:t>
                  </w:r>
                </w:p>
              </w:tc>
            </w:tr>
          </w:tbl>
          <w:p w14:paraId="02D2561E">
            <w:pPr>
              <w:pStyle w:val="49"/>
              <w:ind w:firstLine="480"/>
              <w:jc w:val="both"/>
              <w:rPr>
                <w:rFonts w:hint="eastAsia"/>
                <w:color w:val="auto"/>
                <w:sz w:val="24"/>
                <w:szCs w:val="24"/>
                <w:highlight w:val="none"/>
                <w:lang w:eastAsia="zh-CN"/>
              </w:rPr>
            </w:pPr>
            <w:r>
              <w:rPr>
                <w:rFonts w:hint="eastAsia"/>
                <w:color w:val="auto"/>
                <w:lang w:val="en-US" w:eastAsia="zh-CN"/>
              </w:rPr>
              <w:t>本项目年产83万套汽车塑料零配件，平均每套产品重0.48kg则本项目年产830000套×0.48kg÷1000=398.4t产品。根据系数手册可知产污系数为2.7kg/吨-产品，则非甲</w:t>
            </w:r>
            <w:r>
              <w:rPr>
                <w:rFonts w:hint="eastAsia"/>
                <w:color w:val="auto"/>
                <w:sz w:val="24"/>
                <w:szCs w:val="24"/>
                <w:lang w:val="en-US" w:eastAsia="zh-CN"/>
              </w:rPr>
              <w:t>烷总烃（VOCs）产生量为398.4</w:t>
            </w:r>
            <w:r>
              <w:rPr>
                <w:rFonts w:hint="eastAsia"/>
                <w:color w:val="auto"/>
                <w:sz w:val="24"/>
                <w:szCs w:val="24"/>
                <w:highlight w:val="none"/>
                <w:lang w:val="en-US" w:eastAsia="zh-CN"/>
              </w:rPr>
              <w:t>t产品×2.7kg/吨-产品÷1000=1.07568t/a。</w:t>
            </w:r>
            <w:r>
              <w:rPr>
                <w:rFonts w:hint="eastAsia"/>
                <w:color w:val="auto"/>
                <w:sz w:val="24"/>
                <w:szCs w:val="24"/>
                <w:highlight w:val="none"/>
              </w:rPr>
              <w:t>经计算，非甲烷总烃</w:t>
            </w:r>
            <w:r>
              <w:rPr>
                <w:rFonts w:hint="eastAsia"/>
                <w:color w:val="auto"/>
                <w:sz w:val="24"/>
                <w:szCs w:val="24"/>
                <w:highlight w:val="none"/>
                <w:lang w:eastAsia="zh-CN"/>
              </w:rPr>
              <w:t>（</w:t>
            </w:r>
            <w:r>
              <w:rPr>
                <w:rFonts w:hint="eastAsia"/>
                <w:color w:val="auto"/>
                <w:sz w:val="24"/>
                <w:szCs w:val="24"/>
                <w:highlight w:val="none"/>
                <w:lang w:val="en-US" w:eastAsia="zh-CN"/>
              </w:rPr>
              <w:t>VOCs</w:t>
            </w:r>
            <w:r>
              <w:rPr>
                <w:rFonts w:hint="eastAsia"/>
                <w:color w:val="auto"/>
                <w:sz w:val="24"/>
                <w:szCs w:val="24"/>
                <w:highlight w:val="none"/>
                <w:lang w:eastAsia="zh-CN"/>
              </w:rPr>
              <w:t>）</w:t>
            </w:r>
            <w:r>
              <w:rPr>
                <w:rFonts w:hint="eastAsia"/>
                <w:color w:val="auto"/>
                <w:sz w:val="24"/>
                <w:szCs w:val="24"/>
                <w:highlight w:val="none"/>
              </w:rPr>
              <w:t>产生量</w:t>
            </w:r>
            <w:r>
              <w:rPr>
                <w:rFonts w:hint="eastAsia"/>
                <w:color w:val="auto"/>
                <w:sz w:val="24"/>
                <w:szCs w:val="24"/>
                <w:highlight w:val="none"/>
                <w:lang w:val="en-US" w:eastAsia="zh-CN"/>
              </w:rPr>
              <w:t>为1.07568</w:t>
            </w:r>
            <w:r>
              <w:rPr>
                <w:rFonts w:hint="eastAsia"/>
                <w:color w:val="auto"/>
                <w:sz w:val="24"/>
                <w:szCs w:val="24"/>
                <w:highlight w:val="none"/>
              </w:rPr>
              <w:t>t/a</w:t>
            </w:r>
            <w:r>
              <w:rPr>
                <w:rFonts w:hint="eastAsia"/>
                <w:color w:val="auto"/>
                <w:sz w:val="24"/>
                <w:szCs w:val="24"/>
                <w:highlight w:val="none"/>
                <w:lang w:eastAsia="zh-CN"/>
              </w:rPr>
              <w:t>。</w:t>
            </w:r>
          </w:p>
          <w:p w14:paraId="6BADA486">
            <w:pPr>
              <w:pStyle w:val="49"/>
              <w:ind w:firstLine="480"/>
              <w:jc w:val="both"/>
              <w:rPr>
                <w:rFonts w:hint="default" w:cs="Times New Roman"/>
                <w:bCs/>
                <w:color w:val="auto"/>
                <w:kern w:val="2"/>
                <w:sz w:val="24"/>
                <w:szCs w:val="24"/>
                <w:lang w:val="en-US" w:eastAsia="zh-CN" w:bidi="ar-SA"/>
              </w:rPr>
            </w:pPr>
            <w:r>
              <w:rPr>
                <w:rFonts w:hint="eastAsia"/>
                <w:color w:val="auto"/>
                <w:sz w:val="24"/>
                <w:szCs w:val="24"/>
                <w:highlight w:val="none"/>
                <w:lang w:val="en-US" w:eastAsia="zh-CN"/>
              </w:rPr>
              <w:t>ABS生产过程中除非甲烷总烃外还会产生苯乙烯、丙烯腈</w:t>
            </w:r>
            <w:r>
              <w:rPr>
                <w:rFonts w:hint="eastAsia" w:cs="Times New Roman"/>
                <w:bCs/>
                <w:color w:val="auto"/>
                <w:kern w:val="2"/>
                <w:sz w:val="24"/>
                <w:szCs w:val="24"/>
                <w:lang w:val="en-US" w:eastAsia="zh-CN" w:bidi="ar-SA"/>
              </w:rPr>
              <w:t>、1,3-丁二烯、甲苯、乙苯等特征因子。参考《各种塑料原料注塑废气污染物排放系数》，苯乙烯产生量按0.05kg/t树脂类原料计、丙烯腈产生量按0.05kg/t树脂类原料计。本项目PC/ABS塑料颗粒用量为110t/a，其中ABS占30%，则ABS树脂用量为33t/a，另外ABS塑料颗粒用量为70t/a。则注塑过程中苯乙烯产生量为（33t/a+70t/a）×0.05kg/t树脂类原料÷1000=0.00515t/a、丙烯腈产生量为（33t/a+70t/a）×0.05kg/t树脂类原料÷1000=0.00515t/a</w:t>
            </w:r>
          </w:p>
          <w:p w14:paraId="6A550215">
            <w:pPr>
              <w:pStyle w:val="49"/>
              <w:ind w:firstLine="480"/>
              <w:jc w:val="both"/>
              <w:rPr>
                <w:rFonts w:hint="eastAsia" w:eastAsia="宋体" w:cs="Times New Roman"/>
                <w:color w:val="auto"/>
                <w:sz w:val="24"/>
                <w:szCs w:val="24"/>
                <w:highlight w:val="none"/>
                <w:lang w:val="en-US" w:eastAsia="zh-CN"/>
              </w:rPr>
            </w:pPr>
            <w:r>
              <w:rPr>
                <w:rFonts w:hint="eastAsia"/>
                <w:color w:val="auto"/>
                <w:sz w:val="24"/>
                <w:szCs w:val="24"/>
              </w:rPr>
              <w:t>根据《主要污染物总量减排核算技术指南（</w:t>
            </w:r>
            <w:r>
              <w:rPr>
                <w:color w:val="auto"/>
                <w:sz w:val="24"/>
                <w:szCs w:val="24"/>
              </w:rPr>
              <w:t xml:space="preserve">2022 </w:t>
            </w:r>
            <w:r>
              <w:rPr>
                <w:rFonts w:hint="eastAsia"/>
                <w:color w:val="auto"/>
                <w:sz w:val="24"/>
                <w:szCs w:val="24"/>
              </w:rPr>
              <w:t>年修订）》中表</w:t>
            </w:r>
            <w:r>
              <w:rPr>
                <w:color w:val="auto"/>
                <w:sz w:val="24"/>
                <w:szCs w:val="24"/>
              </w:rPr>
              <w:t>2-3</w:t>
            </w:r>
            <w:r>
              <w:rPr>
                <w:rFonts w:hint="eastAsia"/>
                <w:color w:val="auto"/>
                <w:sz w:val="24"/>
                <w:szCs w:val="24"/>
              </w:rPr>
              <w:t>废气收集效率通用系数，项目拟密闭车间，设置单层密闭正压，设施集气效率为</w:t>
            </w:r>
            <w:r>
              <w:rPr>
                <w:color w:val="auto"/>
                <w:sz w:val="24"/>
                <w:szCs w:val="24"/>
              </w:rPr>
              <w:t>80%</w:t>
            </w:r>
            <w:r>
              <w:rPr>
                <w:rFonts w:hint="eastAsia"/>
                <w:color w:val="auto"/>
                <w:sz w:val="24"/>
                <w:szCs w:val="24"/>
              </w:rPr>
              <w:t>。</w:t>
            </w:r>
            <w:r>
              <w:rPr>
                <w:rFonts w:hint="eastAsia"/>
                <w:color w:val="auto"/>
                <w:sz w:val="24"/>
                <w:szCs w:val="24"/>
                <w:highlight w:val="none"/>
              </w:rPr>
              <w:t>建设单位拟将注塑工序废气收集后引至1套“</w:t>
            </w:r>
            <w:r>
              <w:rPr>
                <w:rFonts w:hint="eastAsia"/>
                <w:color w:val="auto"/>
                <w:sz w:val="24"/>
                <w:szCs w:val="24"/>
                <w:highlight w:val="none"/>
                <w:lang w:val="en-US" w:eastAsia="zh-CN"/>
              </w:rPr>
              <w:t>二级</w:t>
            </w:r>
            <w:r>
              <w:rPr>
                <w:rFonts w:hint="eastAsia"/>
                <w:color w:val="auto"/>
                <w:sz w:val="24"/>
                <w:szCs w:val="24"/>
                <w:highlight w:val="none"/>
              </w:rPr>
              <w:t>活性炭吸附装置”处理后经过1根</w:t>
            </w:r>
            <w:r>
              <w:rPr>
                <w:rFonts w:hint="eastAsia"/>
                <w:color w:val="auto"/>
                <w:sz w:val="24"/>
                <w:szCs w:val="24"/>
                <w:highlight w:val="none"/>
                <w:lang w:val="en-US" w:eastAsia="zh-CN"/>
              </w:rPr>
              <w:t>15</w:t>
            </w:r>
            <w:r>
              <w:rPr>
                <w:rFonts w:hint="eastAsia"/>
                <w:color w:val="auto"/>
                <w:sz w:val="24"/>
                <w:szCs w:val="24"/>
                <w:highlight w:val="none"/>
              </w:rPr>
              <w:t>m高排气筒排放（DA00</w:t>
            </w:r>
            <w:r>
              <w:rPr>
                <w:rFonts w:hint="eastAsia"/>
                <w:color w:val="auto"/>
                <w:sz w:val="24"/>
                <w:szCs w:val="24"/>
                <w:highlight w:val="none"/>
                <w:lang w:val="en-US" w:eastAsia="zh-CN"/>
              </w:rPr>
              <w:t>1</w:t>
            </w:r>
            <w:r>
              <w:rPr>
                <w:rFonts w:hint="eastAsia"/>
                <w:color w:val="auto"/>
                <w:sz w:val="24"/>
                <w:szCs w:val="24"/>
                <w:highlight w:val="none"/>
              </w:rPr>
              <w:t>）</w:t>
            </w:r>
            <w:r>
              <w:rPr>
                <w:rFonts w:hint="eastAsia"/>
                <w:color w:val="auto"/>
                <w:sz w:val="24"/>
                <w:szCs w:val="24"/>
                <w:highlight w:val="none"/>
                <w:lang w:eastAsia="zh-CN"/>
              </w:rPr>
              <w:t>，</w:t>
            </w: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生态环境部发布</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关于印发</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主要污染物总量减排核算技术指南（2022年修订）&gt;的通知</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〔2022〕350号</w:t>
            </w:r>
            <w:r>
              <w:rPr>
                <w:rFonts w:hint="eastAsia" w:ascii="Times New Roman" w:hAnsi="Times New Roman" w:eastAsia="宋体" w:cs="Times New Roman"/>
                <w:color w:val="auto"/>
                <w:sz w:val="24"/>
                <w:szCs w:val="24"/>
                <w:lang w:val="en-US" w:eastAsia="zh-CN"/>
              </w:rPr>
              <w:t>中规定</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一次性活性炭的吸附效率50%。采用二级活性炭吸附效率为1-（1-50%）</w:t>
            </w:r>
            <w:r>
              <w:rPr>
                <w:rFonts w:hint="default" w:ascii="Arial" w:hAnsi="Arial" w:eastAsia="宋体" w:cs="Arial"/>
                <w:color w:val="auto"/>
                <w:sz w:val="24"/>
                <w:szCs w:val="24"/>
                <w:lang w:val="en-US" w:eastAsia="zh-CN"/>
              </w:rPr>
              <w:t>×</w:t>
            </w:r>
            <w:r>
              <w:rPr>
                <w:rFonts w:hint="eastAsia" w:ascii="Times New Roman" w:hAnsi="Times New Roman" w:eastAsia="宋体" w:cs="Times New Roman"/>
                <w:color w:val="auto"/>
                <w:sz w:val="24"/>
                <w:szCs w:val="24"/>
                <w:lang w:val="en-US" w:eastAsia="zh-CN"/>
              </w:rPr>
              <w:t>（1-50%）=75%。因此本项目活性炭</w:t>
            </w:r>
            <w:r>
              <w:rPr>
                <w:rFonts w:hint="eastAsia" w:ascii="Times New Roman" w:hAnsi="Times New Roman" w:eastAsia="宋体" w:cs="Times New Roman"/>
                <w:color w:val="auto"/>
                <w:sz w:val="24"/>
                <w:szCs w:val="24"/>
                <w:highlight w:val="none"/>
                <w:lang w:val="en-US" w:eastAsia="zh-CN"/>
              </w:rPr>
              <w:t>处理效率以75%计</w:t>
            </w:r>
            <w:r>
              <w:rPr>
                <w:rFonts w:hint="eastAsia" w:eastAsia="宋体" w:cs="Times New Roman"/>
                <w:color w:val="auto"/>
                <w:sz w:val="24"/>
                <w:szCs w:val="24"/>
                <w:highlight w:val="none"/>
                <w:lang w:val="en-US" w:eastAsia="zh-CN"/>
              </w:rPr>
              <w:t>，则本项目非甲烷总烃（VOCs）有组织排放量为0.</w:t>
            </w:r>
            <w:r>
              <w:rPr>
                <w:rFonts w:hint="eastAsia" w:cs="Times New Roman"/>
                <w:color w:val="auto"/>
                <w:sz w:val="24"/>
                <w:szCs w:val="24"/>
                <w:highlight w:val="none"/>
                <w:lang w:val="en-US" w:eastAsia="zh-CN"/>
              </w:rPr>
              <w:t>2151</w:t>
            </w:r>
            <w:r>
              <w:rPr>
                <w:rFonts w:hint="eastAsia"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排放浓度为</w:t>
            </w:r>
            <w:r>
              <w:rPr>
                <w:rFonts w:hint="eastAsia" w:cs="Times New Roman"/>
                <w:color w:val="auto"/>
                <w:sz w:val="24"/>
                <w:szCs w:val="24"/>
                <w:highlight w:val="none"/>
                <w:lang w:val="en-US" w:eastAsia="zh-CN"/>
              </w:rPr>
              <w:t>3.735</w:t>
            </w:r>
            <w:r>
              <w:rPr>
                <w:rFonts w:hint="eastAsia"/>
                <w:color w:val="auto"/>
                <w:sz w:val="24"/>
                <w:szCs w:val="24"/>
                <w:highlight w:val="no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r>
              <w:rPr>
                <w:rFonts w:hint="eastAsia" w:eastAsia="宋体" w:cs="Times New Roman"/>
                <w:color w:val="auto"/>
                <w:sz w:val="24"/>
                <w:szCs w:val="24"/>
                <w:highlight w:val="none"/>
                <w:lang w:val="en-US" w:eastAsia="zh-CN"/>
              </w:rPr>
              <w:t>排放速率为0.</w:t>
            </w:r>
            <w:r>
              <w:rPr>
                <w:rFonts w:hint="eastAsia" w:cs="Times New Roman"/>
                <w:color w:val="auto"/>
                <w:sz w:val="24"/>
                <w:szCs w:val="24"/>
                <w:highlight w:val="none"/>
                <w:lang w:val="en-US" w:eastAsia="zh-CN"/>
              </w:rPr>
              <w:t>0299</w:t>
            </w:r>
            <w:r>
              <w:rPr>
                <w:rFonts w:hint="eastAsia" w:eastAsia="宋体" w:cs="Times New Roman"/>
                <w:color w:val="auto"/>
                <w:sz w:val="24"/>
                <w:szCs w:val="24"/>
                <w:highlight w:val="none"/>
                <w:lang w:val="en-US" w:eastAsia="zh-CN"/>
              </w:rPr>
              <w:t>kg/h</w:t>
            </w:r>
            <w:r>
              <w:rPr>
                <w:rFonts w:hint="eastAsia"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无组织排放量为0.</w:t>
            </w:r>
            <w:r>
              <w:rPr>
                <w:rFonts w:hint="eastAsia" w:cs="Times New Roman"/>
                <w:color w:val="auto"/>
                <w:sz w:val="24"/>
                <w:szCs w:val="24"/>
                <w:highlight w:val="none"/>
                <w:lang w:val="en-US" w:eastAsia="zh-CN"/>
              </w:rPr>
              <w:t>2151</w:t>
            </w:r>
            <w:r>
              <w:rPr>
                <w:rFonts w:hint="eastAsia"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；苯乙烯</w:t>
            </w:r>
            <w:r>
              <w:rPr>
                <w:rFonts w:hint="eastAsia" w:eastAsia="宋体" w:cs="Times New Roman"/>
                <w:color w:val="auto"/>
                <w:sz w:val="24"/>
                <w:szCs w:val="24"/>
                <w:highlight w:val="none"/>
                <w:lang w:val="en-US" w:eastAsia="zh-CN"/>
              </w:rPr>
              <w:t>有组织排放量为0.</w:t>
            </w:r>
            <w:r>
              <w:rPr>
                <w:rFonts w:hint="eastAsia" w:cs="Times New Roman"/>
                <w:color w:val="auto"/>
                <w:sz w:val="24"/>
                <w:szCs w:val="24"/>
                <w:highlight w:val="none"/>
                <w:lang w:val="en-US" w:eastAsia="zh-CN"/>
              </w:rPr>
              <w:t>001</w:t>
            </w:r>
            <w:r>
              <w:rPr>
                <w:rFonts w:hint="eastAsia"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排放浓度为</w:t>
            </w:r>
            <w:r>
              <w:rPr>
                <w:rFonts w:hint="eastAsia" w:cs="Times New Roman"/>
                <w:color w:val="auto"/>
                <w:sz w:val="24"/>
                <w:szCs w:val="24"/>
                <w:highlight w:val="none"/>
                <w:lang w:val="en-US" w:eastAsia="zh-CN"/>
              </w:rPr>
              <w:t>0.0179</w:t>
            </w:r>
            <w:r>
              <w:rPr>
                <w:rFonts w:hint="eastAsia" w:ascii="Times New Roman" w:hAnsi="Times New Roman" w:cs="Times New Roman"/>
                <w:color w:val="auto"/>
                <w:sz w:val="24"/>
                <w:szCs w:val="24"/>
                <w:highlight w:val="none"/>
                <w:lang w:val="en-US" w:eastAsia="zh-CN"/>
              </w:rPr>
              <w:t>mg/m</w:t>
            </w:r>
            <w:r>
              <w:rPr>
                <w:rFonts w:hint="eastAsia" w:ascii="Times New Roman" w:hAnsi="Times New Roman" w:cs="Times New Roman"/>
                <w:color w:val="auto"/>
                <w:sz w:val="24"/>
                <w:szCs w:val="24"/>
                <w:highlight w:val="none"/>
                <w:vertAlign w:val="superscript"/>
                <w:lang w:val="en-US" w:eastAsia="zh-CN"/>
              </w:rPr>
              <w:t>3</w:t>
            </w:r>
            <w:r>
              <w:rPr>
                <w:rFonts w:hint="eastAsia"/>
                <w:color w:val="auto"/>
                <w:sz w:val="24"/>
                <w:szCs w:val="24"/>
                <w:highlight w:val="none"/>
                <w:lang w:val="en-US" w:eastAsia="zh-CN"/>
              </w:rPr>
              <w:t>、</w:t>
            </w:r>
            <w:r>
              <w:rPr>
                <w:rFonts w:hint="eastAsia" w:eastAsia="宋体" w:cs="Times New Roman"/>
                <w:color w:val="auto"/>
                <w:sz w:val="24"/>
                <w:szCs w:val="24"/>
                <w:highlight w:val="none"/>
                <w:lang w:val="en-US" w:eastAsia="zh-CN"/>
              </w:rPr>
              <w:t>排放速率为</w:t>
            </w:r>
            <w:r>
              <w:rPr>
                <w:rFonts w:hint="eastAsia" w:ascii="Times New Roman" w:hAnsi="Times New Roman" w:cs="Times New Roman"/>
                <w:color w:val="auto"/>
                <w:sz w:val="24"/>
                <w:szCs w:val="24"/>
                <w:highlight w:val="none"/>
                <w:lang w:val="en-US" w:eastAsia="zh-CN"/>
              </w:rPr>
              <w:t>0.0</w:t>
            </w:r>
            <w:r>
              <w:rPr>
                <w:rFonts w:hint="eastAsia" w:cs="Times New Roman"/>
                <w:color w:val="auto"/>
                <w:sz w:val="24"/>
                <w:szCs w:val="24"/>
                <w:highlight w:val="none"/>
                <w:lang w:val="en-US" w:eastAsia="zh-CN"/>
              </w:rPr>
              <w:t>001</w:t>
            </w:r>
            <w:r>
              <w:rPr>
                <w:rFonts w:hint="eastAsia" w:ascii="Times New Roman" w:hAnsi="Times New Roman" w:cs="Times New Roman"/>
                <w:color w:val="auto"/>
                <w:sz w:val="24"/>
                <w:szCs w:val="24"/>
                <w:highlight w:val="none"/>
                <w:lang w:val="en-US" w:eastAsia="zh-CN"/>
              </w:rPr>
              <w:t>kg/h</w:t>
            </w:r>
            <w:r>
              <w:rPr>
                <w:rFonts w:hint="eastAsia"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无组织排放量为</w:t>
            </w:r>
            <w:r>
              <w:rPr>
                <w:rFonts w:hint="eastAsia"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001</w:t>
            </w:r>
            <w:r>
              <w:rPr>
                <w:rFonts w:hint="eastAsia" w:ascii="Times New Roman" w:hAnsi="Times New Roman" w:cs="Times New Roman"/>
                <w:color w:val="auto"/>
                <w:sz w:val="24"/>
                <w:szCs w:val="24"/>
                <w:highlight w:val="none"/>
                <w:lang w:val="en-US" w:eastAsia="zh-CN"/>
              </w:rPr>
              <w:t>t/a</w:t>
            </w:r>
            <w:r>
              <w:rPr>
                <w:rFonts w:hint="eastAsia" w:cs="Times New Roman"/>
                <w:color w:val="auto"/>
                <w:sz w:val="24"/>
                <w:szCs w:val="24"/>
                <w:highlight w:val="none"/>
                <w:lang w:val="en-US" w:eastAsia="zh-CN"/>
              </w:rPr>
              <w:t>；丙烯腈</w:t>
            </w:r>
            <w:r>
              <w:rPr>
                <w:rFonts w:hint="eastAsia" w:eastAsia="宋体" w:cs="Times New Roman"/>
                <w:color w:val="auto"/>
                <w:sz w:val="24"/>
                <w:szCs w:val="24"/>
                <w:highlight w:val="none"/>
                <w:lang w:val="en-US" w:eastAsia="zh-CN"/>
              </w:rPr>
              <w:t>有组织排放量为0.</w:t>
            </w:r>
            <w:r>
              <w:rPr>
                <w:rFonts w:hint="eastAsia" w:cs="Times New Roman"/>
                <w:color w:val="auto"/>
                <w:sz w:val="24"/>
                <w:szCs w:val="24"/>
                <w:highlight w:val="none"/>
                <w:lang w:val="en-US" w:eastAsia="zh-CN"/>
              </w:rPr>
              <w:t>001</w:t>
            </w:r>
            <w:r>
              <w:rPr>
                <w:rFonts w:hint="eastAsia"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排放浓度为</w:t>
            </w:r>
            <w:r>
              <w:rPr>
                <w:rFonts w:hint="eastAsia" w:cs="Times New Roman"/>
                <w:color w:val="auto"/>
                <w:sz w:val="24"/>
                <w:szCs w:val="24"/>
                <w:highlight w:val="none"/>
                <w:lang w:val="en-US" w:eastAsia="zh-CN"/>
              </w:rPr>
              <w:t>0.0179</w:t>
            </w:r>
            <w:r>
              <w:rPr>
                <w:rFonts w:hint="eastAsia" w:ascii="Times New Roman" w:hAnsi="Times New Roman" w:cs="Times New Roman"/>
                <w:color w:val="auto"/>
                <w:sz w:val="24"/>
                <w:szCs w:val="24"/>
                <w:highlight w:val="none"/>
                <w:lang w:val="en-US" w:eastAsia="zh-CN"/>
              </w:rPr>
              <w:t>mg/m</w:t>
            </w:r>
            <w:r>
              <w:rPr>
                <w:rFonts w:hint="eastAsia" w:ascii="Times New Roman" w:hAnsi="Times New Roman" w:cs="Times New Roman"/>
                <w:color w:val="auto"/>
                <w:sz w:val="24"/>
                <w:szCs w:val="24"/>
                <w:highlight w:val="none"/>
                <w:vertAlign w:val="superscript"/>
                <w:lang w:val="en-US" w:eastAsia="zh-CN"/>
              </w:rPr>
              <w:t>3</w:t>
            </w:r>
            <w:r>
              <w:rPr>
                <w:rFonts w:hint="eastAsia"/>
                <w:color w:val="auto"/>
                <w:sz w:val="24"/>
                <w:szCs w:val="24"/>
                <w:highlight w:val="none"/>
                <w:lang w:val="en-US" w:eastAsia="zh-CN"/>
              </w:rPr>
              <w:t>、</w:t>
            </w:r>
            <w:r>
              <w:rPr>
                <w:rFonts w:hint="eastAsia" w:eastAsia="宋体" w:cs="Times New Roman"/>
                <w:color w:val="auto"/>
                <w:sz w:val="24"/>
                <w:szCs w:val="24"/>
                <w:highlight w:val="none"/>
                <w:lang w:val="en-US" w:eastAsia="zh-CN"/>
              </w:rPr>
              <w:t>排放速率为</w:t>
            </w:r>
            <w:r>
              <w:rPr>
                <w:rFonts w:hint="eastAsia" w:ascii="Times New Roman" w:hAnsi="Times New Roman" w:cs="Times New Roman"/>
                <w:color w:val="auto"/>
                <w:sz w:val="24"/>
                <w:szCs w:val="24"/>
                <w:highlight w:val="none"/>
                <w:lang w:val="en-US" w:eastAsia="zh-CN"/>
              </w:rPr>
              <w:t>0.0</w:t>
            </w:r>
            <w:r>
              <w:rPr>
                <w:rFonts w:hint="eastAsia" w:cs="Times New Roman"/>
                <w:color w:val="auto"/>
                <w:sz w:val="24"/>
                <w:szCs w:val="24"/>
                <w:highlight w:val="none"/>
                <w:lang w:val="en-US" w:eastAsia="zh-CN"/>
              </w:rPr>
              <w:t>001</w:t>
            </w:r>
            <w:r>
              <w:rPr>
                <w:rFonts w:hint="eastAsia" w:ascii="Times New Roman" w:hAnsi="Times New Roman" w:cs="Times New Roman"/>
                <w:color w:val="auto"/>
                <w:sz w:val="24"/>
                <w:szCs w:val="24"/>
                <w:highlight w:val="none"/>
                <w:lang w:val="en-US" w:eastAsia="zh-CN"/>
              </w:rPr>
              <w:t>kg/h</w:t>
            </w:r>
            <w:r>
              <w:rPr>
                <w:rFonts w:hint="eastAsia"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无组织排放量为</w:t>
            </w:r>
            <w:r>
              <w:rPr>
                <w:rFonts w:hint="eastAsia"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001</w:t>
            </w:r>
            <w:r>
              <w:rPr>
                <w:rFonts w:hint="eastAsia" w:ascii="Times New Roman" w:hAnsi="Times New Roman" w:cs="Times New Roman"/>
                <w:color w:val="auto"/>
                <w:sz w:val="24"/>
                <w:szCs w:val="24"/>
                <w:highlight w:val="none"/>
                <w:lang w:val="en-US" w:eastAsia="zh-CN"/>
              </w:rPr>
              <w:t>t/a</w:t>
            </w:r>
            <w:r>
              <w:rPr>
                <w:rFonts w:hint="eastAsia" w:eastAsia="宋体" w:cs="Times New Roman"/>
                <w:color w:val="auto"/>
                <w:sz w:val="24"/>
                <w:szCs w:val="24"/>
                <w:highlight w:val="none"/>
                <w:lang w:val="en-US" w:eastAsia="zh-CN"/>
              </w:rPr>
              <w:t>。</w:t>
            </w:r>
          </w:p>
          <w:p w14:paraId="62BD7B1B">
            <w:pPr>
              <w:pStyle w:val="49"/>
              <w:ind w:firstLine="480"/>
              <w:jc w:val="both"/>
              <w:rPr>
                <w:rFonts w:hint="default" w:cs="Times New Roman"/>
                <w:bCs/>
                <w:color w:val="auto"/>
                <w:kern w:val="2"/>
                <w:sz w:val="24"/>
                <w:szCs w:val="24"/>
                <w:lang w:val="en-US" w:eastAsia="zh-CN" w:bidi="ar-SA"/>
              </w:rPr>
            </w:pPr>
            <w:r>
              <w:rPr>
                <w:rFonts w:hint="eastAsia" w:cs="Times New Roman"/>
                <w:bCs/>
                <w:color w:val="auto"/>
                <w:kern w:val="2"/>
                <w:sz w:val="24"/>
                <w:szCs w:val="24"/>
                <w:lang w:val="en-US" w:eastAsia="zh-CN" w:bidi="ar-SA"/>
              </w:rPr>
              <w:t>另外，原材料ABS在注塑过程中会产生极少量1,2-丁二烯、甲苯、乙苯等气体产生，注塑废气经集气罩收集后通过二级活性炭处理，由15m高排气DA001排放，造成的环境影响可以忽略不计，本环评仅做定性分析。</w:t>
            </w:r>
          </w:p>
          <w:p w14:paraId="1E010098">
            <w:pPr>
              <w:numPr>
                <w:ilvl w:val="0"/>
                <w:numId w:val="0"/>
              </w:numPr>
              <w:adjustRightInd w:val="0"/>
              <w:snapToGrid w:val="0"/>
              <w:spacing w:line="348" w:lineRule="auto"/>
              <w:ind w:leftChars="200"/>
              <w:rPr>
                <w:rFonts w:hint="eastAsia" w:cs="Times New Roman"/>
                <w:color w:val="262626"/>
                <w:sz w:val="24"/>
                <w:lang w:val="en-US" w:eastAsia="zh-CN"/>
              </w:rPr>
            </w:pPr>
            <w:r>
              <w:rPr>
                <w:rFonts w:hint="eastAsia" w:cs="Times New Roman"/>
                <w:color w:val="262626"/>
                <w:sz w:val="24"/>
                <w:lang w:val="en-US" w:eastAsia="zh-CN"/>
              </w:rPr>
              <w:t>（2）臭气（异味气体）</w:t>
            </w:r>
          </w:p>
          <w:p w14:paraId="2CD89FE4">
            <w:pPr>
              <w:spacing w:line="360" w:lineRule="auto"/>
              <w:ind w:firstLine="480" w:firstLineChars="200"/>
              <w:rPr>
                <w:rFonts w:hint="eastAsia" w:eastAsia="宋体"/>
                <w:bCs/>
                <w:color w:val="262626"/>
                <w:sz w:val="24"/>
                <w:lang w:val="en-US" w:eastAsia="zh-CN"/>
              </w:rPr>
            </w:pPr>
            <w:r>
              <w:rPr>
                <w:color w:val="262626"/>
                <w:kern w:val="0"/>
                <w:sz w:val="24"/>
                <w:szCs w:val="20"/>
              </w:rPr>
              <w:t>本项目</w:t>
            </w:r>
            <w:r>
              <w:rPr>
                <w:rFonts w:hint="eastAsia"/>
                <w:color w:val="262626"/>
                <w:kern w:val="0"/>
                <w:sz w:val="24"/>
                <w:szCs w:val="20"/>
                <w:lang w:val="en-US" w:eastAsia="zh-CN"/>
              </w:rPr>
              <w:t>塑料颗粒</w:t>
            </w:r>
            <w:r>
              <w:rPr>
                <w:color w:val="262626"/>
                <w:kern w:val="0"/>
                <w:sz w:val="24"/>
                <w:szCs w:val="20"/>
              </w:rPr>
              <w:t>在</w:t>
            </w:r>
            <w:r>
              <w:rPr>
                <w:rFonts w:hint="eastAsia"/>
                <w:color w:val="262626"/>
                <w:kern w:val="0"/>
                <w:sz w:val="24"/>
                <w:szCs w:val="20"/>
              </w:rPr>
              <w:t>注塑加热</w:t>
            </w:r>
            <w:r>
              <w:rPr>
                <w:color w:val="262626"/>
                <w:kern w:val="0"/>
                <w:sz w:val="24"/>
                <w:szCs w:val="20"/>
              </w:rPr>
              <w:t>过程会产生少量的臭气，主要为塑料颗粒在高温加热工序，发生反应，挥发而成。项目原料受热情况下，原料中残存未聚合的反应单体以及从聚合物中分解出的单体可挥发至空气中，其组分较复杂，因此本项目用臭气浓度指标来衡量项</w:t>
            </w:r>
            <w:r>
              <w:rPr>
                <w:bCs/>
                <w:color w:val="262626"/>
                <w:sz w:val="24"/>
              </w:rPr>
              <w:t>目生产过</w:t>
            </w:r>
            <w:r>
              <w:rPr>
                <w:rFonts w:hint="eastAsia"/>
                <w:bCs/>
                <w:color w:val="262626"/>
                <w:sz w:val="24"/>
                <w:lang w:eastAsia="zh-CN"/>
              </w:rPr>
              <w:t>程中</w:t>
            </w:r>
            <w:r>
              <w:rPr>
                <w:bCs/>
                <w:color w:val="262626"/>
                <w:sz w:val="24"/>
              </w:rPr>
              <w:t>产生的恶臭污染程度，本项目臭气经收集后</w:t>
            </w:r>
            <w:r>
              <w:rPr>
                <w:rFonts w:hint="eastAsia"/>
                <w:bCs/>
                <w:color w:val="262626"/>
                <w:sz w:val="24"/>
                <w:lang w:eastAsia="zh-CN"/>
              </w:rPr>
              <w:t>通过</w:t>
            </w:r>
            <w:r>
              <w:rPr>
                <w:bCs/>
                <w:color w:val="262626"/>
                <w:sz w:val="24"/>
              </w:rPr>
              <w:t>活性炭吸附治理后</w:t>
            </w:r>
            <w:r>
              <w:rPr>
                <w:rFonts w:hint="eastAsia"/>
                <w:bCs/>
                <w:color w:val="262626"/>
                <w:sz w:val="24"/>
                <w:lang w:val="en-US" w:eastAsia="zh-CN"/>
              </w:rPr>
              <w:t>高空排放</w:t>
            </w:r>
            <w:r>
              <w:rPr>
                <w:bCs/>
                <w:color w:val="262626"/>
                <w:sz w:val="24"/>
              </w:rPr>
              <w:t>，能够减轻项目</w:t>
            </w:r>
            <w:r>
              <w:rPr>
                <w:rFonts w:hint="eastAsia"/>
                <w:bCs/>
                <w:color w:val="262626"/>
                <w:sz w:val="24"/>
              </w:rPr>
              <w:t>原料</w:t>
            </w:r>
            <w:r>
              <w:rPr>
                <w:bCs/>
                <w:color w:val="262626"/>
                <w:sz w:val="24"/>
              </w:rPr>
              <w:t>加热</w:t>
            </w:r>
            <w:r>
              <w:rPr>
                <w:rFonts w:hint="eastAsia"/>
                <w:bCs/>
                <w:color w:val="262626"/>
                <w:sz w:val="24"/>
              </w:rPr>
              <w:t>挤出</w:t>
            </w:r>
            <w:r>
              <w:rPr>
                <w:bCs/>
                <w:color w:val="262626"/>
                <w:sz w:val="24"/>
              </w:rPr>
              <w:t>过程中</w:t>
            </w:r>
            <w:r>
              <w:rPr>
                <w:rFonts w:hint="eastAsia"/>
                <w:bCs/>
                <w:color w:val="262626"/>
                <w:sz w:val="24"/>
              </w:rPr>
              <w:t>产生</w:t>
            </w:r>
            <w:r>
              <w:rPr>
                <w:bCs/>
                <w:color w:val="262626"/>
                <w:sz w:val="24"/>
              </w:rPr>
              <w:t>的异味，</w:t>
            </w:r>
            <w:r>
              <w:rPr>
                <w:rFonts w:hint="eastAsia" w:ascii="Times New Roman" w:hAnsi="Times New Roman" w:eastAsia="宋体" w:cs="Times New Roman"/>
                <w:color w:val="262626"/>
                <w:kern w:val="0"/>
                <w:sz w:val="24"/>
                <w:szCs w:val="20"/>
              </w:rPr>
              <w:t>项目周边以工业企业为主，项目周边最近的环境敏感点为</w:t>
            </w:r>
            <w:r>
              <w:rPr>
                <w:rFonts w:hint="eastAsia" w:eastAsia="宋体" w:cs="Times New Roman"/>
                <w:color w:val="262626"/>
                <w:kern w:val="0"/>
                <w:sz w:val="24"/>
                <w:szCs w:val="20"/>
                <w:lang w:val="en-US" w:eastAsia="zh-CN"/>
              </w:rPr>
              <w:t>项目西南侧380</w:t>
            </w:r>
            <w:r>
              <w:rPr>
                <w:rFonts w:hint="eastAsia" w:ascii="Times New Roman" w:hAnsi="Times New Roman" w:eastAsia="宋体" w:cs="Times New Roman"/>
                <w:color w:val="262626"/>
                <w:kern w:val="0"/>
                <w:sz w:val="24"/>
                <w:szCs w:val="20"/>
              </w:rPr>
              <w:t>m</w:t>
            </w:r>
            <w:r>
              <w:rPr>
                <w:rFonts w:hint="eastAsia" w:ascii="Times New Roman" w:hAnsi="Times New Roman" w:eastAsia="宋体" w:cs="Times New Roman"/>
                <w:color w:val="262626"/>
                <w:kern w:val="0"/>
                <w:sz w:val="24"/>
                <w:szCs w:val="20"/>
                <w:lang w:val="en-US" w:eastAsia="zh-CN"/>
              </w:rPr>
              <w:t>的下田村</w:t>
            </w:r>
            <w:r>
              <w:rPr>
                <w:rFonts w:hint="eastAsia" w:ascii="Times New Roman" w:hAnsi="Times New Roman" w:eastAsia="宋体" w:cs="Times New Roman"/>
                <w:color w:val="262626"/>
                <w:kern w:val="0"/>
                <w:sz w:val="24"/>
                <w:szCs w:val="20"/>
              </w:rPr>
              <w:t>，有一定距离，项目产生的臭气经收集治理</w:t>
            </w:r>
            <w:r>
              <w:rPr>
                <w:rFonts w:hint="eastAsia" w:eastAsia="宋体" w:cs="Times New Roman"/>
                <w:color w:val="262626"/>
                <w:kern w:val="0"/>
                <w:sz w:val="24"/>
                <w:szCs w:val="20"/>
                <w:lang w:eastAsia="zh-CN"/>
              </w:rPr>
              <w:t>（</w:t>
            </w:r>
            <w:r>
              <w:rPr>
                <w:rFonts w:hint="eastAsia" w:eastAsia="宋体" w:cs="Times New Roman"/>
                <w:color w:val="262626"/>
                <w:kern w:val="0"/>
                <w:sz w:val="24"/>
                <w:szCs w:val="20"/>
                <w:lang w:val="en-US" w:eastAsia="zh-CN"/>
              </w:rPr>
              <w:t>活性炭吸附</w:t>
            </w:r>
            <w:r>
              <w:rPr>
                <w:rFonts w:hint="eastAsia" w:eastAsia="宋体" w:cs="Times New Roman"/>
                <w:color w:val="262626"/>
                <w:kern w:val="0"/>
                <w:sz w:val="24"/>
                <w:szCs w:val="20"/>
                <w:lang w:eastAsia="zh-CN"/>
              </w:rPr>
              <w:t>）</w:t>
            </w:r>
            <w:r>
              <w:rPr>
                <w:rFonts w:hint="eastAsia" w:ascii="Times New Roman" w:hAnsi="Times New Roman" w:eastAsia="宋体" w:cs="Times New Roman"/>
                <w:color w:val="262626"/>
                <w:kern w:val="0"/>
                <w:sz w:val="24"/>
                <w:szCs w:val="20"/>
              </w:rPr>
              <w:t>后，对周边环境不会造成显著影响，因此，</w:t>
            </w:r>
            <w:r>
              <w:rPr>
                <w:rFonts w:ascii="Times New Roman" w:hAnsi="Times New Roman" w:eastAsia="宋体" w:cs="Times New Roman"/>
                <w:color w:val="262626"/>
                <w:kern w:val="0"/>
                <w:sz w:val="24"/>
                <w:szCs w:val="20"/>
              </w:rPr>
              <w:t>本评价</w:t>
            </w:r>
            <w:r>
              <w:rPr>
                <w:rFonts w:hint="eastAsia" w:cs="Times New Roman"/>
                <w:color w:val="262626"/>
                <w:kern w:val="0"/>
                <w:sz w:val="24"/>
                <w:szCs w:val="20"/>
                <w:lang w:eastAsia="zh-CN"/>
              </w:rPr>
              <w:t>仅</w:t>
            </w:r>
            <w:r>
              <w:rPr>
                <w:rFonts w:ascii="Times New Roman" w:hAnsi="Times New Roman" w:eastAsia="宋体" w:cs="Times New Roman"/>
                <w:color w:val="262626"/>
                <w:kern w:val="0"/>
                <w:sz w:val="24"/>
                <w:szCs w:val="20"/>
              </w:rPr>
              <w:t>做定性分析。</w:t>
            </w:r>
          </w:p>
          <w:p w14:paraId="2FD5FEEB">
            <w:pPr>
              <w:numPr>
                <w:ilvl w:val="0"/>
                <w:numId w:val="0"/>
              </w:numPr>
              <w:adjustRightInd w:val="0"/>
              <w:snapToGrid w:val="0"/>
              <w:spacing w:line="348" w:lineRule="auto"/>
              <w:ind w:leftChars="200"/>
              <w:rPr>
                <w:rFonts w:hint="default" w:cs="Times New Roman"/>
                <w:color w:val="262626"/>
                <w:sz w:val="24"/>
                <w:lang w:val="en-US" w:eastAsia="zh-CN"/>
              </w:rPr>
            </w:pPr>
            <w:r>
              <w:rPr>
                <w:rFonts w:hint="eastAsia" w:cs="Times New Roman"/>
                <w:color w:val="262626"/>
                <w:sz w:val="24"/>
                <w:lang w:val="en-US" w:eastAsia="zh-CN"/>
              </w:rPr>
              <w:t>（3）破碎废气（颗粒物）</w:t>
            </w:r>
          </w:p>
          <w:p w14:paraId="329BD8C4">
            <w:pPr>
              <w:spacing w:line="360" w:lineRule="auto"/>
              <w:ind w:firstLine="480" w:firstLineChars="200"/>
              <w:rPr>
                <w:rFonts w:hint="default" w:cs="Times New Roman"/>
                <w:color w:val="262626"/>
                <w:sz w:val="24"/>
                <w:lang w:val="en-US" w:eastAsia="zh-CN"/>
              </w:rPr>
            </w:pPr>
            <w:r>
              <w:rPr>
                <w:rFonts w:hint="eastAsia"/>
                <w:color w:val="000000"/>
                <w:sz w:val="24"/>
              </w:rPr>
              <w:t>项目在</w:t>
            </w:r>
            <w:r>
              <w:rPr>
                <w:rFonts w:hint="eastAsia"/>
                <w:color w:val="000000"/>
                <w:sz w:val="24"/>
                <w:lang w:val="en-US" w:eastAsia="zh-CN"/>
              </w:rPr>
              <w:t>汽车塑料制品生产</w:t>
            </w:r>
            <w:r>
              <w:rPr>
                <w:rFonts w:hint="eastAsia"/>
                <w:color w:val="000000"/>
                <w:sz w:val="24"/>
              </w:rPr>
              <w:t>过</w:t>
            </w:r>
            <w:r>
              <w:rPr>
                <w:rFonts w:hint="eastAsia"/>
                <w:color w:val="000000"/>
                <w:sz w:val="24"/>
                <w:lang w:eastAsia="zh-CN"/>
              </w:rPr>
              <w:t>程中</w:t>
            </w:r>
            <w:r>
              <w:rPr>
                <w:rFonts w:hint="eastAsia"/>
                <w:color w:val="000000"/>
                <w:sz w:val="24"/>
              </w:rPr>
              <w:t>会产生少许边角料</w:t>
            </w:r>
            <w:r>
              <w:rPr>
                <w:rFonts w:hint="eastAsia"/>
                <w:color w:val="000000"/>
                <w:sz w:val="24"/>
                <w:lang w:val="en-US" w:eastAsia="zh-CN"/>
              </w:rPr>
              <w:t>及次品</w:t>
            </w:r>
            <w:r>
              <w:rPr>
                <w:rFonts w:hint="eastAsia"/>
                <w:color w:val="000000"/>
                <w:sz w:val="24"/>
              </w:rPr>
              <w:t>，</w:t>
            </w:r>
            <w:r>
              <w:rPr>
                <w:color w:val="000000"/>
                <w:sz w:val="24"/>
              </w:rPr>
              <w:t>参考《排放源统计调查产排污核算方法和系数手册》中《292塑料制品行业系数手册》，一般工业固废产生量为2.5</w:t>
            </w:r>
            <w:r>
              <w:rPr>
                <w:rFonts w:hint="eastAsia"/>
                <w:color w:val="000000"/>
                <w:sz w:val="24"/>
                <w:lang w:val="en-US" w:eastAsia="zh-CN"/>
              </w:rPr>
              <w:t>kg</w:t>
            </w:r>
            <w:r>
              <w:rPr>
                <w:color w:val="000000"/>
                <w:sz w:val="24"/>
              </w:rPr>
              <w:t>/t-产品，</w:t>
            </w:r>
            <w:r>
              <w:rPr>
                <w:rFonts w:hint="eastAsia"/>
                <w:color w:val="000000"/>
                <w:sz w:val="24"/>
              </w:rPr>
              <w:t>则边角料</w:t>
            </w:r>
            <w:r>
              <w:rPr>
                <w:rFonts w:hint="eastAsia"/>
                <w:color w:val="000000"/>
                <w:sz w:val="24"/>
                <w:lang w:val="en-US" w:eastAsia="zh-CN"/>
              </w:rPr>
              <w:t>及次品的</w:t>
            </w:r>
            <w:r>
              <w:rPr>
                <w:rFonts w:hint="eastAsia"/>
                <w:color w:val="000000"/>
                <w:sz w:val="24"/>
              </w:rPr>
              <w:t>产生量为</w:t>
            </w:r>
            <w:r>
              <w:rPr>
                <w:rFonts w:hint="eastAsia"/>
                <w:color w:val="000000"/>
                <w:sz w:val="24"/>
                <w:lang w:val="en-US" w:eastAsia="zh-CN"/>
              </w:rPr>
              <w:t>0.996</w:t>
            </w:r>
            <w:r>
              <w:rPr>
                <w:color w:val="000000"/>
                <w:sz w:val="24"/>
              </w:rPr>
              <w:t>t/a</w:t>
            </w:r>
            <w:r>
              <w:rPr>
                <w:rFonts w:hint="eastAsia"/>
                <w:color w:val="262626"/>
                <w:kern w:val="0"/>
                <w:sz w:val="24"/>
                <w:szCs w:val="20"/>
              </w:rPr>
              <w:t>，破碎过程会产生粉尘，该过程在破碎机内部进行</w:t>
            </w:r>
            <w:r>
              <w:rPr>
                <w:rFonts w:hint="eastAsia"/>
                <w:color w:val="262626"/>
                <w:kern w:val="0"/>
                <w:sz w:val="24"/>
                <w:szCs w:val="20"/>
                <w:lang w:eastAsia="zh-CN"/>
              </w:rPr>
              <w:t>且</w:t>
            </w:r>
            <w:r>
              <w:rPr>
                <w:rFonts w:hint="eastAsia"/>
                <w:color w:val="262626"/>
                <w:kern w:val="0"/>
                <w:sz w:val="24"/>
                <w:szCs w:val="20"/>
              </w:rPr>
              <w:t>入料口设有挡板，可一定程度减少粉尘四散。参考《排放源统计调查产排污核算方法和系数手册》42 废弃资源综合利用行业系数手册-4220 非金属废料和</w:t>
            </w:r>
            <w:r>
              <w:rPr>
                <w:rFonts w:hint="eastAsia"/>
                <w:color w:val="auto"/>
                <w:kern w:val="0"/>
                <w:sz w:val="24"/>
                <w:szCs w:val="20"/>
              </w:rPr>
              <w:t>碎屑加工处理行业系数表，废PS/ABS干法破碎颗粒物产生系数为425</w:t>
            </w:r>
            <w:r>
              <w:rPr>
                <w:rFonts w:hint="eastAsia"/>
                <w:color w:val="auto"/>
                <w:kern w:val="0"/>
                <w:sz w:val="24"/>
                <w:szCs w:val="20"/>
                <w:lang w:val="en-US" w:eastAsia="zh-CN"/>
              </w:rPr>
              <w:t>g</w:t>
            </w:r>
            <w:r>
              <w:rPr>
                <w:rFonts w:hint="eastAsia"/>
                <w:color w:val="auto"/>
                <w:kern w:val="0"/>
                <w:sz w:val="24"/>
                <w:szCs w:val="20"/>
              </w:rPr>
              <w:t>/</w:t>
            </w:r>
            <w:r>
              <w:rPr>
                <w:rFonts w:hint="eastAsia"/>
                <w:color w:val="auto"/>
                <w:kern w:val="0"/>
                <w:sz w:val="24"/>
                <w:szCs w:val="20"/>
                <w:lang w:val="en-US" w:eastAsia="zh-CN"/>
              </w:rPr>
              <w:t>t</w:t>
            </w:r>
            <w:r>
              <w:rPr>
                <w:rFonts w:hint="eastAsia"/>
                <w:color w:val="auto"/>
                <w:kern w:val="0"/>
                <w:sz w:val="24"/>
                <w:szCs w:val="20"/>
              </w:rPr>
              <w:t>-原料，则破碎粉尘产生量</w:t>
            </w:r>
            <w:r>
              <w:rPr>
                <w:rFonts w:hint="eastAsia"/>
                <w:color w:val="auto"/>
                <w:kern w:val="0"/>
                <w:sz w:val="24"/>
                <w:szCs w:val="20"/>
                <w:lang w:val="en-US" w:eastAsia="zh-CN"/>
              </w:rPr>
              <w:t>0.4233</w:t>
            </w:r>
            <w:r>
              <w:rPr>
                <w:rFonts w:hint="eastAsia"/>
                <w:color w:val="auto"/>
                <w:kern w:val="0"/>
                <w:sz w:val="24"/>
                <w:szCs w:val="20"/>
              </w:rPr>
              <w:t>kg/a。破碎工序在密闭设备内进行，破碎过程</w:t>
            </w:r>
            <w:r>
              <w:rPr>
                <w:rFonts w:hint="eastAsia"/>
                <w:color w:val="auto"/>
                <w:kern w:val="0"/>
                <w:sz w:val="24"/>
                <w:szCs w:val="20"/>
                <w:lang w:val="en-US" w:eastAsia="zh-CN"/>
              </w:rPr>
              <w:t>中产生</w:t>
            </w:r>
            <w:r>
              <w:rPr>
                <w:rFonts w:hint="eastAsia"/>
                <w:color w:val="auto"/>
                <w:kern w:val="0"/>
                <w:sz w:val="24"/>
                <w:szCs w:val="20"/>
              </w:rPr>
              <w:t>颗粒物</w:t>
            </w:r>
            <w:r>
              <w:rPr>
                <w:rFonts w:hint="eastAsia"/>
                <w:color w:val="auto"/>
                <w:kern w:val="0"/>
                <w:sz w:val="24"/>
                <w:szCs w:val="20"/>
                <w:lang w:val="en-US" w:eastAsia="zh-CN"/>
              </w:rPr>
              <w:t>经集气罩收集后通过布袋除尘器（TA002）处理后并入15m高排气筒（DA001）排放。集气罩收集效率为80%，布袋除尘器处理效率为95%，则本项目颗粒物有组织排放量为0.0169kg/a，排放浓度为0.0012mg/m</w:t>
            </w:r>
            <w:r>
              <w:rPr>
                <w:rFonts w:hint="eastAsia"/>
                <w:color w:val="auto"/>
                <w:kern w:val="0"/>
                <w:sz w:val="24"/>
                <w:szCs w:val="20"/>
                <w:vertAlign w:val="superscript"/>
                <w:lang w:val="en-US" w:eastAsia="zh-CN"/>
              </w:rPr>
              <w:t>3</w:t>
            </w:r>
            <w:r>
              <w:rPr>
                <w:rFonts w:hint="eastAsia"/>
                <w:color w:val="auto"/>
                <w:kern w:val="0"/>
                <w:sz w:val="24"/>
                <w:szCs w:val="20"/>
                <w:lang w:val="en-US" w:eastAsia="zh-CN"/>
              </w:rPr>
              <w:t>，按照破碎机每天运行6小时计算，排放速率为0.0094g/h。无组织排放量为0.0847kg/a。</w:t>
            </w:r>
          </w:p>
        </w:tc>
      </w:tr>
    </w:tbl>
    <w:p w14:paraId="269BD2AE">
      <w:pPr>
        <w:jc w:val="center"/>
        <w:rPr>
          <w:rFonts w:hint="default" w:ascii="Times New Roman" w:hAnsi="Times New Roman" w:eastAsia="宋体" w:cs="Times New Roman"/>
          <w:color w:val="auto"/>
          <w:kern w:val="0"/>
          <w:sz w:val="24"/>
          <w:szCs w:val="24"/>
          <w:lang w:val="en-US" w:eastAsia="zh-CN"/>
        </w:rPr>
        <w:sectPr>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18" w:charSpace="0"/>
        </w:sectPr>
      </w:pP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3338"/>
      </w:tblGrid>
      <w:tr w14:paraId="5E23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9" w:hRule="atLeast"/>
        </w:trPr>
        <w:tc>
          <w:tcPr>
            <w:tcW w:w="193" w:type="pct"/>
            <w:vAlign w:val="center"/>
          </w:tcPr>
          <w:p w14:paraId="0C02A4A1">
            <w:pPr>
              <w:jc w:val="center"/>
              <w:rPr>
                <w:rFonts w:hint="default" w:ascii="Times New Roman" w:hAnsi="Times New Roman" w:eastAsia="宋体" w:cs="Times New Roman"/>
                <w:color w:val="auto"/>
                <w:kern w:val="0"/>
                <w:sz w:val="24"/>
                <w:szCs w:val="24"/>
                <w:lang w:val="en-US" w:eastAsia="zh-CN"/>
              </w:rPr>
            </w:pPr>
          </w:p>
        </w:tc>
        <w:tc>
          <w:tcPr>
            <w:tcW w:w="4806" w:type="pct"/>
          </w:tcPr>
          <w:p w14:paraId="2CB78609">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99" w:name="_Toc27721"/>
            <w:r>
              <w:rPr>
                <w:rFonts w:hint="eastAsia"/>
                <w:b/>
                <w:color w:val="262626"/>
                <w:kern w:val="0"/>
                <w:sz w:val="24"/>
                <w:lang w:val="en-US" w:eastAsia="zh-CN"/>
              </w:rPr>
              <w:t>4.1.2 废气产排情况一览表</w:t>
            </w:r>
            <w:bookmarkEnd w:id="99"/>
          </w:p>
          <w:p w14:paraId="5BBB3EF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表4.1-3 项目废气产排情况一览表</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092"/>
              <w:gridCol w:w="888"/>
              <w:gridCol w:w="732"/>
              <w:gridCol w:w="804"/>
              <w:gridCol w:w="828"/>
              <w:gridCol w:w="804"/>
              <w:gridCol w:w="531"/>
              <w:gridCol w:w="1311"/>
              <w:gridCol w:w="810"/>
              <w:gridCol w:w="810"/>
              <w:gridCol w:w="795"/>
              <w:gridCol w:w="855"/>
              <w:gridCol w:w="435"/>
              <w:gridCol w:w="870"/>
              <w:gridCol w:w="900"/>
            </w:tblGrid>
            <w:tr w14:paraId="6DD90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47" w:type="pct"/>
                  <w:vMerge w:val="restart"/>
                  <w:tcBorders>
                    <w:tl2br w:val="nil"/>
                    <w:tr2bl w:val="nil"/>
                  </w:tcBorders>
                  <w:vAlign w:val="center"/>
                </w:tcPr>
                <w:p w14:paraId="521BBB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排放形式</w:t>
                  </w:r>
                </w:p>
              </w:tc>
              <w:tc>
                <w:tcPr>
                  <w:tcW w:w="416" w:type="pct"/>
                  <w:vMerge w:val="restart"/>
                  <w:tcBorders>
                    <w:tl2br w:val="nil"/>
                    <w:tr2bl w:val="nil"/>
                  </w:tcBorders>
                  <w:vAlign w:val="center"/>
                </w:tcPr>
                <w:p w14:paraId="3DFECB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产污工序</w:t>
                  </w:r>
                </w:p>
              </w:tc>
              <w:tc>
                <w:tcPr>
                  <w:tcW w:w="338" w:type="pct"/>
                  <w:vMerge w:val="restart"/>
                  <w:tcBorders>
                    <w:tl2br w:val="nil"/>
                    <w:tr2bl w:val="nil"/>
                  </w:tcBorders>
                  <w:vAlign w:val="center"/>
                </w:tcPr>
                <w:p w14:paraId="584CCA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污染物</w:t>
                  </w:r>
                </w:p>
              </w:tc>
              <w:tc>
                <w:tcPr>
                  <w:tcW w:w="279" w:type="pct"/>
                  <w:vMerge w:val="restart"/>
                  <w:tcBorders>
                    <w:tl2br w:val="nil"/>
                    <w:tr2bl w:val="nil"/>
                  </w:tcBorders>
                  <w:vAlign w:val="center"/>
                </w:tcPr>
                <w:p w14:paraId="605177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设计</w:t>
                  </w:r>
                  <w:r>
                    <w:rPr>
                      <w:rFonts w:hint="default" w:ascii="Times New Roman" w:hAnsi="Times New Roman" w:eastAsia="宋体" w:cs="Times New Roman"/>
                      <w:b w:val="0"/>
                      <w:bCs w:val="0"/>
                      <w:color w:val="auto"/>
                      <w:sz w:val="21"/>
                      <w:szCs w:val="21"/>
                      <w:u w:val="none"/>
                      <w:vertAlign w:val="baseline"/>
                      <w:lang w:val="en-US" w:eastAsia="zh-CN"/>
                    </w:rPr>
                    <w:t>风量</w:t>
                  </w:r>
                </w:p>
              </w:tc>
              <w:tc>
                <w:tcPr>
                  <w:tcW w:w="928" w:type="pct"/>
                  <w:gridSpan w:val="3"/>
                  <w:tcBorders>
                    <w:tl2br w:val="nil"/>
                    <w:tr2bl w:val="nil"/>
                  </w:tcBorders>
                  <w:vAlign w:val="center"/>
                </w:tcPr>
                <w:p w14:paraId="0E1EFA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产生情况</w:t>
                  </w:r>
                </w:p>
              </w:tc>
              <w:tc>
                <w:tcPr>
                  <w:tcW w:w="702" w:type="pct"/>
                  <w:gridSpan w:val="2"/>
                  <w:vMerge w:val="restart"/>
                  <w:tcBorders>
                    <w:tl2br w:val="nil"/>
                    <w:tr2bl w:val="nil"/>
                  </w:tcBorders>
                  <w:vAlign w:val="center"/>
                </w:tcPr>
                <w:p w14:paraId="7D3A0A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治理措施</w:t>
                  </w:r>
                </w:p>
              </w:tc>
              <w:tc>
                <w:tcPr>
                  <w:tcW w:w="920" w:type="pct"/>
                  <w:gridSpan w:val="3"/>
                  <w:tcBorders>
                    <w:tl2br w:val="nil"/>
                    <w:tr2bl w:val="nil"/>
                  </w:tcBorders>
                  <w:vAlign w:val="center"/>
                </w:tcPr>
                <w:p w14:paraId="3B6715C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排放情况</w:t>
                  </w:r>
                </w:p>
              </w:tc>
              <w:tc>
                <w:tcPr>
                  <w:tcW w:w="1166" w:type="pct"/>
                  <w:gridSpan w:val="4"/>
                  <w:tcBorders>
                    <w:tl2br w:val="nil"/>
                    <w:tr2bl w:val="nil"/>
                  </w:tcBorders>
                  <w:vAlign w:val="center"/>
                </w:tcPr>
                <w:p w14:paraId="2123CD2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排气口基本情况</w:t>
                  </w:r>
                </w:p>
              </w:tc>
            </w:tr>
            <w:tr w14:paraId="43E33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247" w:type="pct"/>
                  <w:vMerge w:val="continue"/>
                  <w:tcBorders>
                    <w:tl2br w:val="nil"/>
                    <w:tr2bl w:val="nil"/>
                  </w:tcBorders>
                  <w:vAlign w:val="center"/>
                </w:tcPr>
                <w:p w14:paraId="2AF368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416" w:type="pct"/>
                  <w:vMerge w:val="continue"/>
                  <w:tcBorders>
                    <w:tl2br w:val="nil"/>
                    <w:tr2bl w:val="nil"/>
                  </w:tcBorders>
                  <w:vAlign w:val="center"/>
                </w:tcPr>
                <w:p w14:paraId="50B6A4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338" w:type="pct"/>
                  <w:vMerge w:val="continue"/>
                  <w:tcBorders>
                    <w:tl2br w:val="nil"/>
                    <w:tr2bl w:val="nil"/>
                  </w:tcBorders>
                  <w:vAlign w:val="center"/>
                </w:tcPr>
                <w:p w14:paraId="61BEAA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279" w:type="pct"/>
                  <w:vMerge w:val="continue"/>
                  <w:tcBorders>
                    <w:tl2br w:val="nil"/>
                    <w:tr2bl w:val="nil"/>
                  </w:tcBorders>
                  <w:vAlign w:val="center"/>
                </w:tcPr>
                <w:p w14:paraId="37D663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306" w:type="pct"/>
                  <w:tcBorders>
                    <w:tl2br w:val="nil"/>
                    <w:tr2bl w:val="nil"/>
                  </w:tcBorders>
                  <w:vAlign w:val="center"/>
                </w:tcPr>
                <w:p w14:paraId="14DCF4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产生量</w:t>
                  </w:r>
                </w:p>
              </w:tc>
              <w:tc>
                <w:tcPr>
                  <w:tcW w:w="315" w:type="pct"/>
                  <w:tcBorders>
                    <w:tl2br w:val="nil"/>
                    <w:tr2bl w:val="nil"/>
                  </w:tcBorders>
                  <w:vAlign w:val="center"/>
                </w:tcPr>
                <w:p w14:paraId="116979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产生速率</w:t>
                  </w:r>
                </w:p>
              </w:tc>
              <w:tc>
                <w:tcPr>
                  <w:tcW w:w="306" w:type="pct"/>
                  <w:tcBorders>
                    <w:tl2br w:val="nil"/>
                    <w:tr2bl w:val="nil"/>
                  </w:tcBorders>
                  <w:vAlign w:val="center"/>
                </w:tcPr>
                <w:p w14:paraId="7D4738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产生浓度</w:t>
                  </w:r>
                </w:p>
              </w:tc>
              <w:tc>
                <w:tcPr>
                  <w:tcW w:w="702" w:type="pct"/>
                  <w:gridSpan w:val="2"/>
                  <w:vMerge w:val="continue"/>
                  <w:tcBorders>
                    <w:tl2br w:val="nil"/>
                    <w:tr2bl w:val="nil"/>
                  </w:tcBorders>
                  <w:vAlign w:val="center"/>
                </w:tcPr>
                <w:p w14:paraId="0EE72E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308" w:type="pct"/>
                  <w:tcBorders>
                    <w:tl2br w:val="nil"/>
                    <w:tr2bl w:val="nil"/>
                  </w:tcBorders>
                  <w:vAlign w:val="center"/>
                </w:tcPr>
                <w:p w14:paraId="4F13232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排放量</w:t>
                  </w:r>
                </w:p>
              </w:tc>
              <w:tc>
                <w:tcPr>
                  <w:tcW w:w="308" w:type="pct"/>
                  <w:tcBorders>
                    <w:tl2br w:val="nil"/>
                    <w:tr2bl w:val="nil"/>
                  </w:tcBorders>
                  <w:vAlign w:val="center"/>
                </w:tcPr>
                <w:p w14:paraId="0C53C51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排放速率</w:t>
                  </w:r>
                </w:p>
              </w:tc>
              <w:tc>
                <w:tcPr>
                  <w:tcW w:w="303" w:type="pct"/>
                  <w:tcBorders>
                    <w:tl2br w:val="nil"/>
                    <w:tr2bl w:val="nil"/>
                  </w:tcBorders>
                  <w:vAlign w:val="center"/>
                </w:tcPr>
                <w:p w14:paraId="0DD3666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排放浓度</w:t>
                  </w:r>
                </w:p>
              </w:tc>
              <w:tc>
                <w:tcPr>
                  <w:tcW w:w="325" w:type="pct"/>
                  <w:tcBorders>
                    <w:tl2br w:val="nil"/>
                    <w:tr2bl w:val="nil"/>
                  </w:tcBorders>
                  <w:vAlign w:val="center"/>
                </w:tcPr>
                <w:p w14:paraId="1EB886B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排气筒编号</w:t>
                  </w:r>
                </w:p>
              </w:tc>
              <w:tc>
                <w:tcPr>
                  <w:tcW w:w="165" w:type="pct"/>
                  <w:tcBorders>
                    <w:tl2br w:val="nil"/>
                    <w:tr2bl w:val="nil"/>
                  </w:tcBorders>
                  <w:vAlign w:val="center"/>
                </w:tcPr>
                <w:p w14:paraId="37F2E98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类型</w:t>
                  </w:r>
                </w:p>
              </w:tc>
              <w:tc>
                <w:tcPr>
                  <w:tcW w:w="331" w:type="pct"/>
                  <w:tcBorders>
                    <w:tl2br w:val="nil"/>
                    <w:tr2bl w:val="nil"/>
                  </w:tcBorders>
                  <w:vAlign w:val="center"/>
                </w:tcPr>
                <w:p w14:paraId="073C9FD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排气筒高度</w:t>
                  </w:r>
                </w:p>
              </w:tc>
              <w:tc>
                <w:tcPr>
                  <w:tcW w:w="343" w:type="pct"/>
                  <w:tcBorders>
                    <w:tl2br w:val="nil"/>
                    <w:tr2bl w:val="nil"/>
                  </w:tcBorders>
                  <w:vAlign w:val="center"/>
                </w:tcPr>
                <w:p w14:paraId="70260D1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排气筒温度</w:t>
                  </w:r>
                </w:p>
              </w:tc>
            </w:tr>
            <w:tr w14:paraId="66352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247" w:type="pct"/>
                  <w:vMerge w:val="restart"/>
                  <w:tcBorders>
                    <w:tl2br w:val="nil"/>
                    <w:tr2bl w:val="nil"/>
                  </w:tcBorders>
                  <w:vAlign w:val="center"/>
                </w:tcPr>
                <w:p w14:paraId="460923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有组织</w:t>
                  </w:r>
                </w:p>
              </w:tc>
              <w:tc>
                <w:tcPr>
                  <w:tcW w:w="416" w:type="pct"/>
                  <w:vMerge w:val="restart"/>
                  <w:tcBorders>
                    <w:tl2br w:val="nil"/>
                    <w:tr2bl w:val="nil"/>
                  </w:tcBorders>
                  <w:vAlign w:val="center"/>
                </w:tcPr>
                <w:p w14:paraId="355FD8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注塑、脱模</w:t>
                  </w:r>
                </w:p>
              </w:tc>
              <w:tc>
                <w:tcPr>
                  <w:tcW w:w="338" w:type="pct"/>
                  <w:tcBorders>
                    <w:tl2br w:val="nil"/>
                    <w:tr2bl w:val="nil"/>
                  </w:tcBorders>
                  <w:vAlign w:val="center"/>
                </w:tcPr>
                <w:p w14:paraId="28B0D1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非甲烷总烃</w:t>
                  </w:r>
                </w:p>
              </w:tc>
              <w:tc>
                <w:tcPr>
                  <w:tcW w:w="279" w:type="pct"/>
                  <w:vMerge w:val="restart"/>
                  <w:tcBorders>
                    <w:tl2br w:val="nil"/>
                    <w:tr2bl w:val="nil"/>
                  </w:tcBorders>
                  <w:vAlign w:val="center"/>
                </w:tcPr>
                <w:p w14:paraId="71ED6D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8000</w:t>
                  </w:r>
                  <w:r>
                    <w:rPr>
                      <w:rFonts w:hint="default" w:ascii="Times New Roman" w:hAnsi="Times New Roman" w:eastAsia="宋体" w:cs="Times New Roman"/>
                      <w:b w:val="0"/>
                      <w:bCs w:val="0"/>
                      <w:color w:val="auto"/>
                      <w:sz w:val="21"/>
                      <w:szCs w:val="21"/>
                      <w:u w:val="none"/>
                      <w:vertAlign w:val="baseline"/>
                      <w:lang w:val="en-US" w:eastAsia="zh-CN"/>
                    </w:rPr>
                    <w:t>m</w:t>
                  </w:r>
                  <w:r>
                    <w:rPr>
                      <w:rFonts w:hint="default" w:ascii="Times New Roman" w:hAnsi="Times New Roman" w:eastAsia="宋体" w:cs="Times New Roman"/>
                      <w:b w:val="0"/>
                      <w:bCs w:val="0"/>
                      <w:color w:val="auto"/>
                      <w:sz w:val="21"/>
                      <w:szCs w:val="21"/>
                      <w:u w:val="none"/>
                      <w:vertAlign w:val="superscript"/>
                      <w:lang w:val="en-US" w:eastAsia="zh-CN"/>
                    </w:rPr>
                    <w:t>3</w:t>
                  </w:r>
                  <w:r>
                    <w:rPr>
                      <w:rFonts w:hint="default" w:ascii="Times New Roman" w:hAnsi="Times New Roman" w:eastAsia="宋体" w:cs="Times New Roman"/>
                      <w:b w:val="0"/>
                      <w:bCs w:val="0"/>
                      <w:color w:val="auto"/>
                      <w:sz w:val="21"/>
                      <w:szCs w:val="21"/>
                      <w:u w:val="none"/>
                      <w:vertAlign w:val="baseline"/>
                      <w:lang w:val="en-US" w:eastAsia="zh-CN"/>
                    </w:rPr>
                    <w:t>/h</w:t>
                  </w:r>
                </w:p>
              </w:tc>
              <w:tc>
                <w:tcPr>
                  <w:tcW w:w="306" w:type="pct"/>
                  <w:tcBorders>
                    <w:tl2br w:val="nil"/>
                    <w:tr2bl w:val="nil"/>
                  </w:tcBorders>
                  <w:vAlign w:val="center"/>
                </w:tcPr>
                <w:p w14:paraId="10135A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0.8605</w:t>
                  </w:r>
                  <w:r>
                    <w:rPr>
                      <w:rFonts w:hint="default" w:ascii="Times New Roman" w:hAnsi="Times New Roman" w:eastAsia="宋体" w:cs="Times New Roman"/>
                      <w:b w:val="0"/>
                      <w:bCs w:val="0"/>
                      <w:color w:val="auto"/>
                      <w:sz w:val="21"/>
                      <w:szCs w:val="21"/>
                      <w:u w:val="none"/>
                      <w:vertAlign w:val="baseline"/>
                      <w:lang w:val="en-US" w:eastAsia="zh-CN"/>
                    </w:rPr>
                    <w:t>t/a</w:t>
                  </w:r>
                </w:p>
              </w:tc>
              <w:tc>
                <w:tcPr>
                  <w:tcW w:w="315" w:type="pct"/>
                  <w:tcBorders>
                    <w:tl2br w:val="nil"/>
                    <w:tr2bl w:val="nil"/>
                  </w:tcBorders>
                  <w:vAlign w:val="center"/>
                </w:tcPr>
                <w:p w14:paraId="6062C73E">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w:t>
                  </w:r>
                  <w:r>
                    <w:rPr>
                      <w:rFonts w:hint="eastAsia" w:cs="Times New Roman"/>
                      <w:b w:val="0"/>
                      <w:bCs w:val="0"/>
                      <w:color w:val="auto"/>
                      <w:sz w:val="21"/>
                      <w:szCs w:val="21"/>
                      <w:u w:val="none"/>
                      <w:vertAlign w:val="baseline"/>
                      <w:lang w:val="en-US" w:eastAsia="zh-CN"/>
                    </w:rPr>
                    <w:t>1195</w:t>
                  </w:r>
                  <w:r>
                    <w:rPr>
                      <w:rFonts w:hint="default" w:ascii="Times New Roman" w:hAnsi="Times New Roman" w:eastAsia="宋体" w:cs="Times New Roman"/>
                      <w:b w:val="0"/>
                      <w:bCs w:val="0"/>
                      <w:color w:val="auto"/>
                      <w:sz w:val="21"/>
                      <w:szCs w:val="21"/>
                      <w:u w:val="none"/>
                      <w:vertAlign w:val="baseline"/>
                      <w:lang w:val="en-US" w:eastAsia="zh-CN"/>
                    </w:rPr>
                    <w:t>kg/h</w:t>
                  </w:r>
                </w:p>
              </w:tc>
              <w:tc>
                <w:tcPr>
                  <w:tcW w:w="306" w:type="pct"/>
                  <w:tcBorders>
                    <w:tl2br w:val="nil"/>
                    <w:tr2bl w:val="nil"/>
                  </w:tcBorders>
                  <w:vAlign w:val="center"/>
                </w:tcPr>
                <w:p w14:paraId="3425A6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14.94</w:t>
                  </w:r>
                </w:p>
                <w:p w14:paraId="4D504F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mg/m</w:t>
                  </w:r>
                  <w:r>
                    <w:rPr>
                      <w:rFonts w:hint="default" w:ascii="Times New Roman" w:hAnsi="Times New Roman" w:eastAsia="宋体" w:cs="Times New Roman"/>
                      <w:b w:val="0"/>
                      <w:bCs w:val="0"/>
                      <w:color w:val="auto"/>
                      <w:sz w:val="21"/>
                      <w:szCs w:val="21"/>
                      <w:u w:val="none"/>
                      <w:vertAlign w:val="superscript"/>
                      <w:lang w:val="en-US" w:eastAsia="zh-CN"/>
                    </w:rPr>
                    <w:t>3</w:t>
                  </w:r>
                </w:p>
              </w:tc>
              <w:tc>
                <w:tcPr>
                  <w:tcW w:w="702" w:type="pct"/>
                  <w:gridSpan w:val="2"/>
                  <w:vMerge w:val="restart"/>
                  <w:tcBorders>
                    <w:tl2br w:val="nil"/>
                    <w:tr2bl w:val="nil"/>
                  </w:tcBorders>
                  <w:vAlign w:val="center"/>
                </w:tcPr>
                <w:p w14:paraId="5DFA62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集气罩</w:t>
                  </w:r>
                  <w:r>
                    <w:rPr>
                      <w:rFonts w:hint="eastAsia" w:cs="Times New Roman"/>
                      <w:color w:val="auto"/>
                      <w:sz w:val="21"/>
                      <w:szCs w:val="21"/>
                      <w:highlight w:val="none"/>
                      <w:vertAlign w:val="baseline"/>
                      <w:lang w:val="en-US" w:eastAsia="zh-CN"/>
                    </w:rPr>
                    <w:t>+二级</w:t>
                  </w:r>
                  <w:r>
                    <w:rPr>
                      <w:rFonts w:hint="eastAsia" w:ascii="Times New Roman" w:hAnsi="Times New Roman" w:eastAsia="宋体" w:cs="Times New Roman"/>
                      <w:color w:val="auto"/>
                      <w:sz w:val="21"/>
                      <w:szCs w:val="21"/>
                      <w:highlight w:val="none"/>
                      <w:vertAlign w:val="baseline"/>
                      <w:lang w:val="en-US" w:eastAsia="zh-CN"/>
                    </w:rPr>
                    <w:t>活性炭吸附装置</w:t>
                  </w:r>
                  <w:r>
                    <w:rPr>
                      <w:rFonts w:hint="eastAsia" w:cs="Times New Roman"/>
                      <w:color w:val="auto"/>
                      <w:sz w:val="21"/>
                      <w:szCs w:val="21"/>
                      <w:highlight w:val="none"/>
                      <w:vertAlign w:val="baseline"/>
                      <w:lang w:val="en-US" w:eastAsia="zh-CN"/>
                    </w:rPr>
                    <w:t>（TA001）</w:t>
                  </w:r>
                  <w:r>
                    <w:rPr>
                      <w:rFonts w:hint="eastAsia" w:cs="Times New Roman"/>
                      <w:b w:val="0"/>
                      <w:bCs w:val="0"/>
                      <w:color w:val="auto"/>
                      <w:sz w:val="21"/>
                      <w:szCs w:val="21"/>
                      <w:highlight w:val="none"/>
                      <w:u w:val="none"/>
                      <w:vertAlign w:val="baseline"/>
                      <w:lang w:val="en-US" w:eastAsia="zh-CN"/>
                    </w:rPr>
                    <w:t>+15m排气筒（DA001）</w:t>
                  </w:r>
                </w:p>
              </w:tc>
              <w:tc>
                <w:tcPr>
                  <w:tcW w:w="308" w:type="pct"/>
                  <w:tcBorders>
                    <w:tl2br w:val="nil"/>
                    <w:tr2bl w:val="nil"/>
                  </w:tcBorders>
                  <w:vAlign w:val="center"/>
                </w:tcPr>
                <w:p w14:paraId="7FC5BC8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0.2</w:t>
                  </w:r>
                  <w:r>
                    <w:rPr>
                      <w:rFonts w:hint="eastAsia" w:cs="Times New Roman"/>
                      <w:color w:val="auto"/>
                      <w:sz w:val="21"/>
                      <w:szCs w:val="21"/>
                      <w:highlight w:val="none"/>
                      <w:vertAlign w:val="baseline"/>
                      <w:lang w:val="en-US" w:eastAsia="zh-CN"/>
                    </w:rPr>
                    <w:t>151</w:t>
                  </w:r>
                </w:p>
                <w:p w14:paraId="08568E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b w:val="0"/>
                      <w:bCs w:val="0"/>
                      <w:color w:val="auto"/>
                      <w:sz w:val="21"/>
                      <w:szCs w:val="21"/>
                      <w:u w:val="none"/>
                      <w:vertAlign w:val="baseline"/>
                      <w:lang w:val="en-US" w:eastAsia="zh-CN"/>
                    </w:rPr>
                    <w:t>t/a</w:t>
                  </w:r>
                </w:p>
              </w:tc>
              <w:tc>
                <w:tcPr>
                  <w:tcW w:w="308" w:type="pct"/>
                  <w:tcBorders>
                    <w:tl2br w:val="nil"/>
                    <w:tr2bl w:val="nil"/>
                  </w:tcBorders>
                  <w:vAlign w:val="center"/>
                </w:tcPr>
                <w:p w14:paraId="7E61A5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0.0</w:t>
                  </w:r>
                  <w:r>
                    <w:rPr>
                      <w:rFonts w:hint="eastAsia" w:cs="Times New Roman"/>
                      <w:color w:val="auto"/>
                      <w:sz w:val="21"/>
                      <w:szCs w:val="21"/>
                      <w:highlight w:val="none"/>
                      <w:vertAlign w:val="baseline"/>
                      <w:lang w:val="en-US" w:eastAsia="zh-CN"/>
                    </w:rPr>
                    <w:t>299</w:t>
                  </w:r>
                  <w:r>
                    <w:rPr>
                      <w:rFonts w:hint="eastAsia" w:eastAsia="宋体" w:cs="Times New Roman"/>
                      <w:b w:val="0"/>
                      <w:bCs w:val="0"/>
                      <w:color w:val="auto"/>
                      <w:sz w:val="21"/>
                      <w:szCs w:val="21"/>
                      <w:u w:val="none"/>
                      <w:vertAlign w:val="baseline"/>
                      <w:lang w:val="en-US" w:eastAsia="zh-CN"/>
                    </w:rPr>
                    <w:t>kg/h</w:t>
                  </w:r>
                </w:p>
              </w:tc>
              <w:tc>
                <w:tcPr>
                  <w:tcW w:w="303" w:type="pct"/>
                  <w:tcBorders>
                    <w:tl2br w:val="nil"/>
                    <w:tr2bl w:val="nil"/>
                  </w:tcBorders>
                  <w:vAlign w:val="center"/>
                </w:tcPr>
                <w:p w14:paraId="4462B8E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3.74</w:t>
                  </w:r>
                </w:p>
                <w:p w14:paraId="6C266D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b w:val="0"/>
                      <w:bCs w:val="0"/>
                      <w:color w:val="auto"/>
                      <w:sz w:val="21"/>
                      <w:szCs w:val="21"/>
                      <w:u w:val="none"/>
                      <w:vertAlign w:val="baseline"/>
                      <w:lang w:val="en-US" w:eastAsia="zh-CN"/>
                    </w:rPr>
                    <w:t>mg/m</w:t>
                  </w:r>
                  <w:r>
                    <w:rPr>
                      <w:rFonts w:hint="eastAsia" w:eastAsia="宋体" w:cs="Times New Roman"/>
                      <w:b w:val="0"/>
                      <w:bCs w:val="0"/>
                      <w:color w:val="auto"/>
                      <w:sz w:val="21"/>
                      <w:szCs w:val="21"/>
                      <w:u w:val="none"/>
                      <w:vertAlign w:val="superscript"/>
                      <w:lang w:val="en-US" w:eastAsia="zh-CN"/>
                    </w:rPr>
                    <w:t>3</w:t>
                  </w:r>
                </w:p>
              </w:tc>
              <w:tc>
                <w:tcPr>
                  <w:tcW w:w="325" w:type="pct"/>
                  <w:vMerge w:val="restart"/>
                  <w:tcBorders>
                    <w:tl2br w:val="nil"/>
                    <w:tr2bl w:val="nil"/>
                  </w:tcBorders>
                  <w:vAlign w:val="center"/>
                </w:tcPr>
                <w:p w14:paraId="0D9F5F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DA001</w:t>
                  </w:r>
                </w:p>
              </w:tc>
              <w:tc>
                <w:tcPr>
                  <w:tcW w:w="165" w:type="pct"/>
                  <w:vMerge w:val="restart"/>
                  <w:tcBorders>
                    <w:tl2br w:val="nil"/>
                    <w:tr2bl w:val="nil"/>
                  </w:tcBorders>
                  <w:vAlign w:val="center"/>
                </w:tcPr>
                <w:p w14:paraId="5268D7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一般排放口</w:t>
                  </w:r>
                </w:p>
              </w:tc>
              <w:tc>
                <w:tcPr>
                  <w:tcW w:w="331" w:type="pct"/>
                  <w:vMerge w:val="restart"/>
                  <w:tcBorders>
                    <w:tl2br w:val="nil"/>
                    <w:tr2bl w:val="nil"/>
                  </w:tcBorders>
                  <w:vAlign w:val="center"/>
                </w:tcPr>
                <w:p w14:paraId="7CA5FB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15m</w:t>
                  </w:r>
                </w:p>
              </w:tc>
              <w:tc>
                <w:tcPr>
                  <w:tcW w:w="343" w:type="pct"/>
                  <w:vMerge w:val="restart"/>
                  <w:tcBorders>
                    <w:tl2br w:val="nil"/>
                    <w:tr2bl w:val="nil"/>
                  </w:tcBorders>
                  <w:vAlign w:val="center"/>
                </w:tcPr>
                <w:p w14:paraId="1918BD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24℃</w:t>
                  </w:r>
                </w:p>
              </w:tc>
            </w:tr>
            <w:tr w14:paraId="7F130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247" w:type="pct"/>
                  <w:vMerge w:val="continue"/>
                  <w:tcBorders>
                    <w:tl2br w:val="nil"/>
                    <w:tr2bl w:val="nil"/>
                  </w:tcBorders>
                  <w:vAlign w:val="center"/>
                </w:tcPr>
                <w:p w14:paraId="6CEF681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416" w:type="pct"/>
                  <w:vMerge w:val="continue"/>
                  <w:tcBorders>
                    <w:tl2br w:val="nil"/>
                    <w:tr2bl w:val="nil"/>
                  </w:tcBorders>
                  <w:vAlign w:val="center"/>
                </w:tcPr>
                <w:p w14:paraId="49F5B77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338" w:type="pct"/>
                  <w:tcBorders>
                    <w:tl2br w:val="nil"/>
                    <w:tr2bl w:val="nil"/>
                  </w:tcBorders>
                  <w:vAlign w:val="center"/>
                </w:tcPr>
                <w:p w14:paraId="69A690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苯乙烯</w:t>
                  </w:r>
                </w:p>
              </w:tc>
              <w:tc>
                <w:tcPr>
                  <w:tcW w:w="279" w:type="pct"/>
                  <w:vMerge w:val="continue"/>
                  <w:tcBorders>
                    <w:tl2br w:val="nil"/>
                    <w:tr2bl w:val="nil"/>
                  </w:tcBorders>
                  <w:vAlign w:val="center"/>
                </w:tcPr>
                <w:p w14:paraId="46A3B95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vertAlign w:val="baseline"/>
                      <w:lang w:val="en-US" w:eastAsia="zh-CN"/>
                    </w:rPr>
                  </w:pPr>
                </w:p>
              </w:tc>
              <w:tc>
                <w:tcPr>
                  <w:tcW w:w="306" w:type="pct"/>
                  <w:tcBorders>
                    <w:tl2br w:val="nil"/>
                    <w:tr2bl w:val="nil"/>
                  </w:tcBorders>
                  <w:vAlign w:val="center"/>
                </w:tcPr>
                <w:p w14:paraId="69AAA7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0.0041</w:t>
                  </w:r>
                  <w:r>
                    <w:rPr>
                      <w:rFonts w:hint="eastAsia" w:eastAsia="宋体" w:cs="Times New Roman"/>
                      <w:b w:val="0"/>
                      <w:bCs w:val="0"/>
                      <w:color w:val="auto"/>
                      <w:sz w:val="21"/>
                      <w:szCs w:val="21"/>
                      <w:u w:val="none"/>
                      <w:vertAlign w:val="baseline"/>
                      <w:lang w:val="en-US" w:eastAsia="zh-CN"/>
                    </w:rPr>
                    <w:t>t/a</w:t>
                  </w:r>
                </w:p>
              </w:tc>
              <w:tc>
                <w:tcPr>
                  <w:tcW w:w="315" w:type="pct"/>
                  <w:tcBorders>
                    <w:tl2br w:val="nil"/>
                    <w:tr2bl w:val="nil"/>
                  </w:tcBorders>
                  <w:vAlign w:val="center"/>
                </w:tcPr>
                <w:p w14:paraId="4758CC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0.0006</w:t>
                  </w:r>
                  <w:r>
                    <w:rPr>
                      <w:rFonts w:hint="eastAsia" w:eastAsia="宋体" w:cs="Times New Roman"/>
                      <w:b w:val="0"/>
                      <w:bCs w:val="0"/>
                      <w:color w:val="auto"/>
                      <w:sz w:val="21"/>
                      <w:szCs w:val="21"/>
                      <w:u w:val="none"/>
                      <w:vertAlign w:val="baseline"/>
                      <w:lang w:val="en-US" w:eastAsia="zh-CN"/>
                    </w:rPr>
                    <w:t>kg/h</w:t>
                  </w:r>
                </w:p>
              </w:tc>
              <w:tc>
                <w:tcPr>
                  <w:tcW w:w="306" w:type="pct"/>
                  <w:tcBorders>
                    <w:tl2br w:val="nil"/>
                    <w:tr2bl w:val="nil"/>
                  </w:tcBorders>
                  <w:vAlign w:val="center"/>
                </w:tcPr>
                <w:p w14:paraId="18AF73EB">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0.07</w:t>
                  </w:r>
                </w:p>
                <w:p w14:paraId="701FB1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u w:val="none"/>
                      <w:vertAlign w:val="baseline"/>
                      <w:lang w:val="en-US" w:eastAsia="zh-CN"/>
                    </w:rPr>
                    <w:t>mg/m</w:t>
                  </w:r>
                  <w:r>
                    <w:rPr>
                      <w:rFonts w:hint="eastAsia" w:eastAsia="宋体" w:cs="Times New Roman"/>
                      <w:b w:val="0"/>
                      <w:bCs w:val="0"/>
                      <w:color w:val="auto"/>
                      <w:sz w:val="21"/>
                      <w:szCs w:val="21"/>
                      <w:u w:val="none"/>
                      <w:vertAlign w:val="superscript"/>
                      <w:lang w:val="en-US" w:eastAsia="zh-CN"/>
                    </w:rPr>
                    <w:t>3</w:t>
                  </w:r>
                </w:p>
              </w:tc>
              <w:tc>
                <w:tcPr>
                  <w:tcW w:w="702" w:type="pct"/>
                  <w:gridSpan w:val="2"/>
                  <w:vMerge w:val="continue"/>
                  <w:tcBorders>
                    <w:tl2br w:val="nil"/>
                    <w:tr2bl w:val="nil"/>
                  </w:tcBorders>
                  <w:vAlign w:val="center"/>
                </w:tcPr>
                <w:p w14:paraId="73AF233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308" w:type="pct"/>
                  <w:tcBorders>
                    <w:tl2br w:val="nil"/>
                    <w:tr2bl w:val="nil"/>
                  </w:tcBorders>
                  <w:vAlign w:val="center"/>
                </w:tcPr>
                <w:p w14:paraId="467F83DB">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0.001</w:t>
                  </w:r>
                </w:p>
                <w:p w14:paraId="223FE8A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u w:val="none"/>
                      <w:vertAlign w:val="baseline"/>
                      <w:lang w:val="en-US" w:eastAsia="zh-CN"/>
                    </w:rPr>
                    <w:t>t/a</w:t>
                  </w:r>
                </w:p>
              </w:tc>
              <w:tc>
                <w:tcPr>
                  <w:tcW w:w="308" w:type="pct"/>
                  <w:tcBorders>
                    <w:tl2br w:val="nil"/>
                    <w:tr2bl w:val="nil"/>
                  </w:tcBorders>
                  <w:vAlign w:val="center"/>
                </w:tcPr>
                <w:p w14:paraId="0A79956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0.0001</w:t>
                  </w:r>
                  <w:r>
                    <w:rPr>
                      <w:rFonts w:hint="eastAsia" w:eastAsia="宋体" w:cs="Times New Roman"/>
                      <w:b w:val="0"/>
                      <w:bCs w:val="0"/>
                      <w:color w:val="auto"/>
                      <w:sz w:val="21"/>
                      <w:szCs w:val="21"/>
                      <w:u w:val="none"/>
                      <w:vertAlign w:val="baseline"/>
                      <w:lang w:val="en-US" w:eastAsia="zh-CN"/>
                    </w:rPr>
                    <w:t>kg/h</w:t>
                  </w:r>
                </w:p>
              </w:tc>
              <w:tc>
                <w:tcPr>
                  <w:tcW w:w="303" w:type="pct"/>
                  <w:tcBorders>
                    <w:tl2br w:val="nil"/>
                    <w:tr2bl w:val="nil"/>
                  </w:tcBorders>
                  <w:vAlign w:val="center"/>
                </w:tcPr>
                <w:p w14:paraId="34560E96">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0.0179</w:t>
                  </w:r>
                </w:p>
                <w:p w14:paraId="1987FE3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u w:val="none"/>
                      <w:vertAlign w:val="baseline"/>
                      <w:lang w:val="en-US" w:eastAsia="zh-CN"/>
                    </w:rPr>
                    <w:t>mg/m</w:t>
                  </w:r>
                  <w:r>
                    <w:rPr>
                      <w:rFonts w:hint="eastAsia" w:eastAsia="宋体" w:cs="Times New Roman"/>
                      <w:b w:val="0"/>
                      <w:bCs w:val="0"/>
                      <w:color w:val="auto"/>
                      <w:sz w:val="21"/>
                      <w:szCs w:val="21"/>
                      <w:u w:val="none"/>
                      <w:vertAlign w:val="superscript"/>
                      <w:lang w:val="en-US" w:eastAsia="zh-CN"/>
                    </w:rPr>
                    <w:t>3</w:t>
                  </w:r>
                </w:p>
              </w:tc>
              <w:tc>
                <w:tcPr>
                  <w:tcW w:w="325" w:type="pct"/>
                  <w:vMerge w:val="continue"/>
                  <w:tcBorders>
                    <w:tl2br w:val="nil"/>
                    <w:tr2bl w:val="nil"/>
                  </w:tcBorders>
                  <w:vAlign w:val="center"/>
                </w:tcPr>
                <w:p w14:paraId="4419240C">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vertAlign w:val="baseline"/>
                      <w:lang w:val="en-US" w:eastAsia="zh-CN"/>
                    </w:rPr>
                  </w:pPr>
                </w:p>
              </w:tc>
              <w:tc>
                <w:tcPr>
                  <w:tcW w:w="165" w:type="pct"/>
                  <w:vMerge w:val="continue"/>
                  <w:tcBorders>
                    <w:tl2br w:val="nil"/>
                    <w:tr2bl w:val="nil"/>
                  </w:tcBorders>
                  <w:vAlign w:val="center"/>
                </w:tcPr>
                <w:p w14:paraId="574A7C10">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vertAlign w:val="baseline"/>
                      <w:lang w:val="en-US" w:eastAsia="zh-CN"/>
                    </w:rPr>
                  </w:pPr>
                </w:p>
              </w:tc>
              <w:tc>
                <w:tcPr>
                  <w:tcW w:w="331" w:type="pct"/>
                  <w:vMerge w:val="continue"/>
                  <w:tcBorders>
                    <w:tl2br w:val="nil"/>
                    <w:tr2bl w:val="nil"/>
                  </w:tcBorders>
                  <w:vAlign w:val="center"/>
                </w:tcPr>
                <w:p w14:paraId="3D535A6A">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vertAlign w:val="baseline"/>
                      <w:lang w:val="en-US" w:eastAsia="zh-CN"/>
                    </w:rPr>
                  </w:pPr>
                </w:p>
              </w:tc>
              <w:tc>
                <w:tcPr>
                  <w:tcW w:w="343" w:type="pct"/>
                  <w:vMerge w:val="continue"/>
                  <w:tcBorders>
                    <w:tl2br w:val="nil"/>
                    <w:tr2bl w:val="nil"/>
                  </w:tcBorders>
                  <w:vAlign w:val="center"/>
                </w:tcPr>
                <w:p w14:paraId="1B4963A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vertAlign w:val="baseline"/>
                      <w:lang w:val="en-US" w:eastAsia="zh-CN"/>
                    </w:rPr>
                  </w:pPr>
                </w:p>
              </w:tc>
            </w:tr>
            <w:tr w14:paraId="63DA7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vMerge w:val="continue"/>
                  <w:tcBorders>
                    <w:tl2br w:val="nil"/>
                    <w:tr2bl w:val="nil"/>
                  </w:tcBorders>
                  <w:vAlign w:val="center"/>
                </w:tcPr>
                <w:p w14:paraId="687D57E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416" w:type="pct"/>
                  <w:vMerge w:val="continue"/>
                  <w:tcBorders>
                    <w:tl2br w:val="nil"/>
                    <w:tr2bl w:val="nil"/>
                  </w:tcBorders>
                  <w:vAlign w:val="center"/>
                </w:tcPr>
                <w:p w14:paraId="2CF0E93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338" w:type="pct"/>
                  <w:tcBorders>
                    <w:tl2br w:val="nil"/>
                    <w:tr2bl w:val="nil"/>
                  </w:tcBorders>
                  <w:vAlign w:val="center"/>
                </w:tcPr>
                <w:p w14:paraId="2389B6B1">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丙烯腈</w:t>
                  </w:r>
                </w:p>
              </w:tc>
              <w:tc>
                <w:tcPr>
                  <w:tcW w:w="279" w:type="pct"/>
                  <w:vMerge w:val="continue"/>
                  <w:tcBorders>
                    <w:tl2br w:val="nil"/>
                    <w:tr2bl w:val="nil"/>
                  </w:tcBorders>
                  <w:vAlign w:val="center"/>
                </w:tcPr>
                <w:p w14:paraId="6D25FD1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vertAlign w:val="baseline"/>
                      <w:lang w:val="en-US" w:eastAsia="zh-CN"/>
                    </w:rPr>
                  </w:pPr>
                </w:p>
              </w:tc>
              <w:tc>
                <w:tcPr>
                  <w:tcW w:w="306" w:type="pct"/>
                  <w:tcBorders>
                    <w:tl2br w:val="nil"/>
                    <w:tr2bl w:val="nil"/>
                  </w:tcBorders>
                  <w:shd w:val="clear" w:color="auto" w:fill="auto"/>
                  <w:vAlign w:val="center"/>
                </w:tcPr>
                <w:p w14:paraId="388A9A1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0.0041</w:t>
                  </w:r>
                  <w:r>
                    <w:rPr>
                      <w:rFonts w:hint="eastAsia" w:eastAsia="宋体" w:cs="Times New Roman"/>
                      <w:b w:val="0"/>
                      <w:bCs w:val="0"/>
                      <w:color w:val="auto"/>
                      <w:sz w:val="21"/>
                      <w:szCs w:val="21"/>
                      <w:u w:val="none"/>
                      <w:vertAlign w:val="baseline"/>
                      <w:lang w:val="en-US" w:eastAsia="zh-CN"/>
                    </w:rPr>
                    <w:t>t/a</w:t>
                  </w:r>
                </w:p>
              </w:tc>
              <w:tc>
                <w:tcPr>
                  <w:tcW w:w="315" w:type="pct"/>
                  <w:tcBorders>
                    <w:tl2br w:val="nil"/>
                    <w:tr2bl w:val="nil"/>
                  </w:tcBorders>
                  <w:shd w:val="clear" w:color="auto" w:fill="auto"/>
                  <w:vAlign w:val="center"/>
                </w:tcPr>
                <w:p w14:paraId="4894E6B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0.0006</w:t>
                  </w:r>
                  <w:r>
                    <w:rPr>
                      <w:rFonts w:hint="eastAsia" w:eastAsia="宋体" w:cs="Times New Roman"/>
                      <w:b w:val="0"/>
                      <w:bCs w:val="0"/>
                      <w:color w:val="auto"/>
                      <w:sz w:val="21"/>
                      <w:szCs w:val="21"/>
                      <w:u w:val="none"/>
                      <w:vertAlign w:val="baseline"/>
                      <w:lang w:val="en-US" w:eastAsia="zh-CN"/>
                    </w:rPr>
                    <w:t>kg/h</w:t>
                  </w:r>
                </w:p>
              </w:tc>
              <w:tc>
                <w:tcPr>
                  <w:tcW w:w="306" w:type="pct"/>
                  <w:tcBorders>
                    <w:tl2br w:val="nil"/>
                    <w:tr2bl w:val="nil"/>
                  </w:tcBorders>
                  <w:shd w:val="clear" w:color="auto" w:fill="auto"/>
                  <w:vAlign w:val="center"/>
                </w:tcPr>
                <w:p w14:paraId="202975C8">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0.07</w:t>
                  </w:r>
                </w:p>
                <w:p w14:paraId="170A68D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eastAsia="宋体" w:cs="Times New Roman"/>
                      <w:b w:val="0"/>
                      <w:bCs w:val="0"/>
                      <w:color w:val="auto"/>
                      <w:sz w:val="21"/>
                      <w:szCs w:val="21"/>
                      <w:u w:val="none"/>
                      <w:vertAlign w:val="baseline"/>
                      <w:lang w:val="en-US" w:eastAsia="zh-CN"/>
                    </w:rPr>
                    <w:t>mg/m</w:t>
                  </w:r>
                  <w:r>
                    <w:rPr>
                      <w:rFonts w:hint="eastAsia" w:eastAsia="宋体" w:cs="Times New Roman"/>
                      <w:b w:val="0"/>
                      <w:bCs w:val="0"/>
                      <w:color w:val="auto"/>
                      <w:sz w:val="21"/>
                      <w:szCs w:val="21"/>
                      <w:u w:val="none"/>
                      <w:vertAlign w:val="superscript"/>
                      <w:lang w:val="en-US" w:eastAsia="zh-CN"/>
                    </w:rPr>
                    <w:t>3</w:t>
                  </w:r>
                </w:p>
              </w:tc>
              <w:tc>
                <w:tcPr>
                  <w:tcW w:w="702" w:type="pct"/>
                  <w:gridSpan w:val="2"/>
                  <w:vMerge w:val="continue"/>
                  <w:tcBorders>
                    <w:tl2br w:val="nil"/>
                    <w:tr2bl w:val="nil"/>
                  </w:tcBorders>
                  <w:vAlign w:val="center"/>
                </w:tcPr>
                <w:p w14:paraId="6E6D299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308" w:type="pct"/>
                  <w:tcBorders>
                    <w:tl2br w:val="nil"/>
                    <w:tr2bl w:val="nil"/>
                  </w:tcBorders>
                  <w:shd w:val="clear" w:color="auto" w:fill="auto"/>
                  <w:vAlign w:val="center"/>
                </w:tcPr>
                <w:p w14:paraId="5F62793D">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0.001</w:t>
                  </w:r>
                </w:p>
                <w:p w14:paraId="28688A1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eastAsia="宋体" w:cs="Times New Roman"/>
                      <w:b w:val="0"/>
                      <w:bCs w:val="0"/>
                      <w:color w:val="auto"/>
                      <w:sz w:val="21"/>
                      <w:szCs w:val="21"/>
                      <w:u w:val="none"/>
                      <w:vertAlign w:val="baseline"/>
                      <w:lang w:val="en-US" w:eastAsia="zh-CN"/>
                    </w:rPr>
                    <w:t>t/a</w:t>
                  </w:r>
                </w:p>
              </w:tc>
              <w:tc>
                <w:tcPr>
                  <w:tcW w:w="308" w:type="pct"/>
                  <w:tcBorders>
                    <w:tl2br w:val="nil"/>
                    <w:tr2bl w:val="nil"/>
                  </w:tcBorders>
                  <w:shd w:val="clear" w:color="auto" w:fill="auto"/>
                  <w:vAlign w:val="center"/>
                </w:tcPr>
                <w:p w14:paraId="7010550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0.0001</w:t>
                  </w:r>
                  <w:r>
                    <w:rPr>
                      <w:rFonts w:hint="eastAsia" w:eastAsia="宋体" w:cs="Times New Roman"/>
                      <w:b w:val="0"/>
                      <w:bCs w:val="0"/>
                      <w:color w:val="auto"/>
                      <w:sz w:val="21"/>
                      <w:szCs w:val="21"/>
                      <w:u w:val="none"/>
                      <w:vertAlign w:val="baseline"/>
                      <w:lang w:val="en-US" w:eastAsia="zh-CN"/>
                    </w:rPr>
                    <w:t>kg/h</w:t>
                  </w:r>
                </w:p>
              </w:tc>
              <w:tc>
                <w:tcPr>
                  <w:tcW w:w="303" w:type="pct"/>
                  <w:tcBorders>
                    <w:tl2br w:val="nil"/>
                    <w:tr2bl w:val="nil"/>
                  </w:tcBorders>
                  <w:shd w:val="clear" w:color="auto" w:fill="auto"/>
                  <w:vAlign w:val="center"/>
                </w:tcPr>
                <w:p w14:paraId="775750C5">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0.0179</w:t>
                  </w:r>
                </w:p>
                <w:p w14:paraId="1CD016E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eastAsia="宋体" w:cs="Times New Roman"/>
                      <w:b w:val="0"/>
                      <w:bCs w:val="0"/>
                      <w:color w:val="auto"/>
                      <w:sz w:val="21"/>
                      <w:szCs w:val="21"/>
                      <w:u w:val="none"/>
                      <w:vertAlign w:val="baseline"/>
                      <w:lang w:val="en-US" w:eastAsia="zh-CN"/>
                    </w:rPr>
                    <w:t>mg/m</w:t>
                  </w:r>
                  <w:r>
                    <w:rPr>
                      <w:rFonts w:hint="eastAsia" w:eastAsia="宋体" w:cs="Times New Roman"/>
                      <w:b w:val="0"/>
                      <w:bCs w:val="0"/>
                      <w:color w:val="auto"/>
                      <w:sz w:val="21"/>
                      <w:szCs w:val="21"/>
                      <w:u w:val="none"/>
                      <w:vertAlign w:val="superscript"/>
                      <w:lang w:val="en-US" w:eastAsia="zh-CN"/>
                    </w:rPr>
                    <w:t>3</w:t>
                  </w:r>
                </w:p>
              </w:tc>
              <w:tc>
                <w:tcPr>
                  <w:tcW w:w="325" w:type="pct"/>
                  <w:vMerge w:val="continue"/>
                  <w:tcBorders>
                    <w:tl2br w:val="nil"/>
                    <w:tr2bl w:val="nil"/>
                  </w:tcBorders>
                  <w:vAlign w:val="center"/>
                </w:tcPr>
                <w:p w14:paraId="7D46439C">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vertAlign w:val="baseline"/>
                      <w:lang w:val="en-US" w:eastAsia="zh-CN"/>
                    </w:rPr>
                  </w:pPr>
                </w:p>
              </w:tc>
              <w:tc>
                <w:tcPr>
                  <w:tcW w:w="165" w:type="pct"/>
                  <w:vMerge w:val="continue"/>
                  <w:tcBorders>
                    <w:tl2br w:val="nil"/>
                    <w:tr2bl w:val="nil"/>
                  </w:tcBorders>
                  <w:vAlign w:val="center"/>
                </w:tcPr>
                <w:p w14:paraId="76960E05">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vertAlign w:val="baseline"/>
                      <w:lang w:val="en-US" w:eastAsia="zh-CN"/>
                    </w:rPr>
                  </w:pPr>
                </w:p>
              </w:tc>
              <w:tc>
                <w:tcPr>
                  <w:tcW w:w="331" w:type="pct"/>
                  <w:vMerge w:val="continue"/>
                  <w:tcBorders>
                    <w:tl2br w:val="nil"/>
                    <w:tr2bl w:val="nil"/>
                  </w:tcBorders>
                  <w:vAlign w:val="center"/>
                </w:tcPr>
                <w:p w14:paraId="7B6DA429">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vertAlign w:val="baseline"/>
                      <w:lang w:val="en-US" w:eastAsia="zh-CN"/>
                    </w:rPr>
                  </w:pPr>
                </w:p>
              </w:tc>
              <w:tc>
                <w:tcPr>
                  <w:tcW w:w="343" w:type="pct"/>
                  <w:vMerge w:val="continue"/>
                  <w:tcBorders>
                    <w:tl2br w:val="nil"/>
                    <w:tr2bl w:val="nil"/>
                  </w:tcBorders>
                  <w:vAlign w:val="center"/>
                </w:tcPr>
                <w:p w14:paraId="7F7676FA">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vertAlign w:val="baseline"/>
                      <w:lang w:val="en-US" w:eastAsia="zh-CN"/>
                    </w:rPr>
                  </w:pPr>
                </w:p>
              </w:tc>
            </w:tr>
            <w:tr w14:paraId="0040C9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Merge w:val="continue"/>
                  <w:tcBorders>
                    <w:tl2br w:val="nil"/>
                    <w:tr2bl w:val="nil"/>
                  </w:tcBorders>
                  <w:vAlign w:val="center"/>
                </w:tcPr>
                <w:p w14:paraId="54F2B3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416" w:type="pct"/>
                  <w:tcBorders>
                    <w:tl2br w:val="nil"/>
                    <w:tr2bl w:val="nil"/>
                  </w:tcBorders>
                  <w:vAlign w:val="center"/>
                </w:tcPr>
                <w:p w14:paraId="40EF1BF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green"/>
                      <w:u w:val="none"/>
                      <w:lang w:val="en-US" w:eastAsia="zh-CN"/>
                    </w:rPr>
                  </w:pPr>
                  <w:r>
                    <w:rPr>
                      <w:rFonts w:hint="eastAsia" w:cs="Times New Roman"/>
                      <w:b w:val="0"/>
                      <w:bCs w:val="0"/>
                      <w:color w:val="auto"/>
                      <w:sz w:val="21"/>
                      <w:szCs w:val="21"/>
                      <w:highlight w:val="none"/>
                      <w:u w:val="none"/>
                      <w:lang w:val="en-US" w:eastAsia="zh-CN"/>
                    </w:rPr>
                    <w:t>不合格产品破碎</w:t>
                  </w:r>
                </w:p>
              </w:tc>
              <w:tc>
                <w:tcPr>
                  <w:tcW w:w="338" w:type="pct"/>
                  <w:tcBorders>
                    <w:tl2br w:val="nil"/>
                    <w:tr2bl w:val="nil"/>
                  </w:tcBorders>
                  <w:vAlign w:val="center"/>
                </w:tcPr>
                <w:p w14:paraId="29BCF8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颗粒物</w:t>
                  </w:r>
                </w:p>
              </w:tc>
              <w:tc>
                <w:tcPr>
                  <w:tcW w:w="279" w:type="pct"/>
                  <w:tcBorders>
                    <w:tl2br w:val="nil"/>
                    <w:tr2bl w:val="nil"/>
                  </w:tcBorders>
                  <w:vAlign w:val="center"/>
                </w:tcPr>
                <w:p w14:paraId="2F6C6E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8000</w:t>
                  </w:r>
                  <w:r>
                    <w:rPr>
                      <w:rFonts w:hint="default" w:ascii="Times New Roman" w:hAnsi="Times New Roman" w:eastAsia="宋体" w:cs="Times New Roman"/>
                      <w:b w:val="0"/>
                      <w:bCs w:val="0"/>
                      <w:color w:val="auto"/>
                      <w:sz w:val="21"/>
                      <w:szCs w:val="21"/>
                      <w:highlight w:val="none"/>
                      <w:u w:val="none"/>
                      <w:vertAlign w:val="baseline"/>
                      <w:lang w:val="en-US" w:eastAsia="zh-CN"/>
                    </w:rPr>
                    <w:t>m</w:t>
                  </w:r>
                  <w:r>
                    <w:rPr>
                      <w:rFonts w:hint="default" w:ascii="Times New Roman" w:hAnsi="Times New Roman" w:eastAsia="宋体" w:cs="Times New Roman"/>
                      <w:b w:val="0"/>
                      <w:bCs w:val="0"/>
                      <w:color w:val="auto"/>
                      <w:sz w:val="21"/>
                      <w:szCs w:val="21"/>
                      <w:highlight w:val="none"/>
                      <w:u w:val="none"/>
                      <w:vertAlign w:val="superscript"/>
                      <w:lang w:val="en-US" w:eastAsia="zh-CN"/>
                    </w:rPr>
                    <w:t>3</w:t>
                  </w:r>
                  <w:r>
                    <w:rPr>
                      <w:rFonts w:hint="default" w:ascii="Times New Roman" w:hAnsi="Times New Roman" w:eastAsia="宋体" w:cs="Times New Roman"/>
                      <w:b w:val="0"/>
                      <w:bCs w:val="0"/>
                      <w:color w:val="auto"/>
                      <w:sz w:val="21"/>
                      <w:szCs w:val="21"/>
                      <w:highlight w:val="none"/>
                      <w:u w:val="none"/>
                      <w:vertAlign w:val="baseline"/>
                      <w:lang w:val="en-US" w:eastAsia="zh-CN"/>
                    </w:rPr>
                    <w:t>/h</w:t>
                  </w:r>
                </w:p>
              </w:tc>
              <w:tc>
                <w:tcPr>
                  <w:tcW w:w="306" w:type="pct"/>
                  <w:tcBorders>
                    <w:tl2br w:val="nil"/>
                    <w:tr2bl w:val="nil"/>
                  </w:tcBorders>
                  <w:vAlign w:val="center"/>
                </w:tcPr>
                <w:p w14:paraId="459F3F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0.</w:t>
                  </w:r>
                  <w:r>
                    <w:rPr>
                      <w:rFonts w:hint="eastAsia" w:cs="Times New Roman"/>
                      <w:b w:val="0"/>
                      <w:bCs w:val="0"/>
                      <w:color w:val="auto"/>
                      <w:sz w:val="21"/>
                      <w:szCs w:val="21"/>
                      <w:highlight w:val="none"/>
                      <w:u w:val="none"/>
                      <w:vertAlign w:val="baseline"/>
                      <w:lang w:val="en-US" w:eastAsia="zh-CN"/>
                    </w:rPr>
                    <w:t>3386kg/a</w:t>
                  </w:r>
                </w:p>
              </w:tc>
              <w:tc>
                <w:tcPr>
                  <w:tcW w:w="315" w:type="pct"/>
                  <w:tcBorders>
                    <w:tl2br w:val="nil"/>
                    <w:tr2bl w:val="nil"/>
                  </w:tcBorders>
                  <w:vAlign w:val="center"/>
                </w:tcPr>
                <w:p w14:paraId="497DF2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0.1881g/h</w:t>
                  </w:r>
                </w:p>
              </w:tc>
              <w:tc>
                <w:tcPr>
                  <w:tcW w:w="306" w:type="pct"/>
                  <w:tcBorders>
                    <w:tl2br w:val="nil"/>
                    <w:tr2bl w:val="nil"/>
                  </w:tcBorders>
                  <w:vAlign w:val="center"/>
                </w:tcPr>
                <w:p w14:paraId="1A424DA6">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0.02</w:t>
                  </w:r>
                </w:p>
                <w:p w14:paraId="3C5805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mg/m</w:t>
                  </w:r>
                  <w:r>
                    <w:rPr>
                      <w:rFonts w:hint="default" w:ascii="Times New Roman" w:hAnsi="Times New Roman" w:eastAsia="宋体" w:cs="Times New Roman"/>
                      <w:b w:val="0"/>
                      <w:bCs w:val="0"/>
                      <w:color w:val="auto"/>
                      <w:sz w:val="21"/>
                      <w:szCs w:val="21"/>
                      <w:highlight w:val="none"/>
                      <w:u w:val="none"/>
                      <w:vertAlign w:val="superscript"/>
                      <w:lang w:val="en-US" w:eastAsia="zh-CN"/>
                    </w:rPr>
                    <w:t>3</w:t>
                  </w:r>
                </w:p>
              </w:tc>
              <w:tc>
                <w:tcPr>
                  <w:tcW w:w="702" w:type="pct"/>
                  <w:gridSpan w:val="2"/>
                  <w:tcBorders>
                    <w:tl2br w:val="nil"/>
                    <w:tr2bl w:val="nil"/>
                  </w:tcBorders>
                  <w:vAlign w:val="center"/>
                </w:tcPr>
                <w:p w14:paraId="2BFA3C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集气罩+布袋除尘器（TA002）+15m排气筒（DA001）</w:t>
                  </w:r>
                </w:p>
              </w:tc>
              <w:tc>
                <w:tcPr>
                  <w:tcW w:w="308" w:type="pct"/>
                  <w:tcBorders>
                    <w:tl2br w:val="nil"/>
                    <w:tr2bl w:val="nil"/>
                  </w:tcBorders>
                  <w:vAlign w:val="center"/>
                </w:tcPr>
                <w:p w14:paraId="2C33F45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0.0</w:t>
                  </w:r>
                  <w:r>
                    <w:rPr>
                      <w:rFonts w:hint="eastAsia" w:cs="Times New Roman"/>
                      <w:b w:val="0"/>
                      <w:bCs w:val="0"/>
                      <w:color w:val="auto"/>
                      <w:sz w:val="21"/>
                      <w:szCs w:val="21"/>
                      <w:highlight w:val="none"/>
                      <w:u w:val="none"/>
                      <w:vertAlign w:val="baseline"/>
                      <w:lang w:val="en-US" w:eastAsia="zh-CN"/>
                    </w:rPr>
                    <w:t>169kg/a</w:t>
                  </w:r>
                </w:p>
              </w:tc>
              <w:tc>
                <w:tcPr>
                  <w:tcW w:w="308" w:type="pct"/>
                  <w:tcBorders>
                    <w:tl2br w:val="nil"/>
                    <w:tr2bl w:val="nil"/>
                  </w:tcBorders>
                  <w:vAlign w:val="center"/>
                </w:tcPr>
                <w:p w14:paraId="69D36543">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eastAsia="zh-CN"/>
                    </w:rPr>
                  </w:pPr>
                  <w:r>
                    <w:rPr>
                      <w:rFonts w:hint="eastAsia" w:eastAsia="宋体" w:cs="Times New Roman"/>
                      <w:b w:val="0"/>
                      <w:bCs w:val="0"/>
                      <w:color w:val="auto"/>
                      <w:sz w:val="21"/>
                      <w:szCs w:val="21"/>
                      <w:highlight w:val="none"/>
                      <w:u w:val="none"/>
                      <w:vertAlign w:val="baseline"/>
                      <w:lang w:val="en-US" w:eastAsia="zh-CN"/>
                    </w:rPr>
                    <w:t>0.0</w:t>
                  </w:r>
                  <w:r>
                    <w:rPr>
                      <w:rFonts w:hint="eastAsia" w:cs="Times New Roman"/>
                      <w:b w:val="0"/>
                      <w:bCs w:val="0"/>
                      <w:color w:val="auto"/>
                      <w:sz w:val="21"/>
                      <w:szCs w:val="21"/>
                      <w:highlight w:val="none"/>
                      <w:u w:val="none"/>
                      <w:vertAlign w:val="baseline"/>
                      <w:lang w:val="en-US" w:eastAsia="zh-CN"/>
                    </w:rPr>
                    <w:t>094g/h</w:t>
                  </w:r>
                </w:p>
              </w:tc>
              <w:tc>
                <w:tcPr>
                  <w:tcW w:w="303" w:type="pct"/>
                  <w:tcBorders>
                    <w:tl2br w:val="nil"/>
                    <w:tr2bl w:val="nil"/>
                  </w:tcBorders>
                  <w:vAlign w:val="center"/>
                </w:tcPr>
                <w:p w14:paraId="325914C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0.0</w:t>
                  </w:r>
                  <w:r>
                    <w:rPr>
                      <w:rFonts w:hint="eastAsia" w:cs="Times New Roman"/>
                      <w:b w:val="0"/>
                      <w:bCs w:val="0"/>
                      <w:color w:val="auto"/>
                      <w:sz w:val="21"/>
                      <w:szCs w:val="21"/>
                      <w:highlight w:val="none"/>
                      <w:u w:val="none"/>
                      <w:vertAlign w:val="baseline"/>
                      <w:lang w:val="en-US" w:eastAsia="zh-CN"/>
                    </w:rPr>
                    <w:t>012</w:t>
                  </w:r>
                  <w:r>
                    <w:rPr>
                      <w:rFonts w:hint="eastAsia" w:eastAsia="宋体" w:cs="Times New Roman"/>
                      <w:b w:val="0"/>
                      <w:bCs w:val="0"/>
                      <w:color w:val="auto"/>
                      <w:sz w:val="21"/>
                      <w:szCs w:val="21"/>
                      <w:highlight w:val="none"/>
                      <w:u w:val="none"/>
                      <w:vertAlign w:val="baseline"/>
                      <w:lang w:val="en-US" w:eastAsia="zh-CN"/>
                    </w:rPr>
                    <w:t>mg/m</w:t>
                  </w:r>
                  <w:r>
                    <w:rPr>
                      <w:rFonts w:hint="eastAsia" w:eastAsia="宋体" w:cs="Times New Roman"/>
                      <w:b w:val="0"/>
                      <w:bCs w:val="0"/>
                      <w:color w:val="auto"/>
                      <w:sz w:val="21"/>
                      <w:szCs w:val="21"/>
                      <w:highlight w:val="none"/>
                      <w:u w:val="none"/>
                      <w:vertAlign w:val="superscript"/>
                      <w:lang w:val="en-US" w:eastAsia="zh-CN"/>
                    </w:rPr>
                    <w:t>3</w:t>
                  </w:r>
                </w:p>
              </w:tc>
              <w:tc>
                <w:tcPr>
                  <w:tcW w:w="325" w:type="pct"/>
                  <w:tcBorders>
                    <w:tl2br w:val="nil"/>
                    <w:tr2bl w:val="nil"/>
                  </w:tcBorders>
                  <w:shd w:val="clear" w:color="auto" w:fill="auto"/>
                  <w:vAlign w:val="center"/>
                </w:tcPr>
                <w:p w14:paraId="727297F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DA001</w:t>
                  </w:r>
                </w:p>
              </w:tc>
              <w:tc>
                <w:tcPr>
                  <w:tcW w:w="165" w:type="pct"/>
                  <w:tcBorders>
                    <w:tl2br w:val="nil"/>
                    <w:tr2bl w:val="nil"/>
                  </w:tcBorders>
                  <w:shd w:val="clear" w:color="auto" w:fill="auto"/>
                  <w:vAlign w:val="center"/>
                </w:tcPr>
                <w:p w14:paraId="25B1441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一般排放口</w:t>
                  </w:r>
                </w:p>
              </w:tc>
              <w:tc>
                <w:tcPr>
                  <w:tcW w:w="331" w:type="pct"/>
                  <w:tcBorders>
                    <w:tl2br w:val="nil"/>
                    <w:tr2bl w:val="nil"/>
                  </w:tcBorders>
                  <w:shd w:val="clear" w:color="auto" w:fill="auto"/>
                  <w:vAlign w:val="center"/>
                </w:tcPr>
                <w:p w14:paraId="374A473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15m</w:t>
                  </w:r>
                </w:p>
              </w:tc>
              <w:tc>
                <w:tcPr>
                  <w:tcW w:w="343" w:type="pct"/>
                  <w:tcBorders>
                    <w:tl2br w:val="nil"/>
                    <w:tr2bl w:val="nil"/>
                  </w:tcBorders>
                  <w:shd w:val="clear" w:color="auto" w:fill="auto"/>
                  <w:vAlign w:val="center"/>
                </w:tcPr>
                <w:p w14:paraId="7AB5B31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24℃</w:t>
                  </w:r>
                </w:p>
              </w:tc>
            </w:tr>
            <w:tr w14:paraId="2E05F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47" w:type="pct"/>
                  <w:vMerge w:val="restart"/>
                  <w:tcBorders>
                    <w:tl2br w:val="nil"/>
                    <w:tr2bl w:val="nil"/>
                  </w:tcBorders>
                  <w:vAlign w:val="center"/>
                </w:tcPr>
                <w:p w14:paraId="07ED81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无组织</w:t>
                  </w:r>
                </w:p>
              </w:tc>
              <w:tc>
                <w:tcPr>
                  <w:tcW w:w="416" w:type="pct"/>
                  <w:vMerge w:val="restart"/>
                  <w:tcBorders>
                    <w:tl2br w:val="nil"/>
                    <w:tr2bl w:val="nil"/>
                  </w:tcBorders>
                  <w:shd w:val="clear" w:color="auto" w:fill="auto"/>
                  <w:vAlign w:val="center"/>
                </w:tcPr>
                <w:p w14:paraId="1FEE4F2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注塑、脱模</w:t>
                  </w:r>
                </w:p>
              </w:tc>
              <w:tc>
                <w:tcPr>
                  <w:tcW w:w="338" w:type="pct"/>
                  <w:tcBorders>
                    <w:tl2br w:val="nil"/>
                    <w:tr2bl w:val="nil"/>
                  </w:tcBorders>
                  <w:shd w:val="clear" w:color="auto" w:fill="auto"/>
                  <w:vAlign w:val="center"/>
                </w:tcPr>
                <w:p w14:paraId="18ABDCF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ascii="Times New Roman" w:hAnsi="Times New Roman" w:eastAsia="宋体" w:cs="Times New Roman"/>
                      <w:b w:val="0"/>
                      <w:bCs w:val="0"/>
                      <w:color w:val="auto"/>
                      <w:sz w:val="21"/>
                      <w:szCs w:val="21"/>
                      <w:highlight w:val="none"/>
                      <w:u w:val="none"/>
                      <w:vertAlign w:val="baseline"/>
                      <w:lang w:val="en-US" w:eastAsia="zh-CN"/>
                    </w:rPr>
                    <w:t>非甲烷总烃</w:t>
                  </w:r>
                </w:p>
              </w:tc>
              <w:tc>
                <w:tcPr>
                  <w:tcW w:w="279" w:type="pct"/>
                  <w:tcBorders>
                    <w:tl2br w:val="nil"/>
                    <w:tr2bl w:val="nil"/>
                  </w:tcBorders>
                  <w:vAlign w:val="center"/>
                </w:tcPr>
                <w:p w14:paraId="4086745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4F9D722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0.</w:t>
                  </w:r>
                  <w:r>
                    <w:rPr>
                      <w:rFonts w:hint="eastAsia" w:cs="Times New Roman"/>
                      <w:b w:val="0"/>
                      <w:bCs w:val="0"/>
                      <w:color w:val="auto"/>
                      <w:sz w:val="21"/>
                      <w:szCs w:val="21"/>
                      <w:highlight w:val="none"/>
                      <w:u w:val="none"/>
                      <w:vertAlign w:val="baseline"/>
                      <w:lang w:val="en-US" w:eastAsia="zh-CN"/>
                    </w:rPr>
                    <w:t>2151</w:t>
                  </w:r>
                  <w:r>
                    <w:rPr>
                      <w:rFonts w:hint="default" w:ascii="Times New Roman" w:hAnsi="Times New Roman" w:eastAsia="宋体" w:cs="Times New Roman"/>
                      <w:b w:val="0"/>
                      <w:bCs w:val="0"/>
                      <w:color w:val="auto"/>
                      <w:sz w:val="21"/>
                      <w:szCs w:val="21"/>
                      <w:highlight w:val="none"/>
                      <w:u w:val="none"/>
                      <w:vertAlign w:val="baseline"/>
                      <w:lang w:val="en-US" w:eastAsia="zh-CN"/>
                    </w:rPr>
                    <w:t>t/a</w:t>
                  </w:r>
                </w:p>
              </w:tc>
              <w:tc>
                <w:tcPr>
                  <w:tcW w:w="315" w:type="pct"/>
                  <w:tcBorders>
                    <w:tl2br w:val="nil"/>
                    <w:tr2bl w:val="nil"/>
                  </w:tcBorders>
                  <w:vAlign w:val="center"/>
                </w:tcPr>
                <w:p w14:paraId="3935E26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504AA1D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702" w:type="pct"/>
                  <w:gridSpan w:val="2"/>
                  <w:vMerge w:val="restart"/>
                  <w:tcBorders>
                    <w:tl2br w:val="nil"/>
                    <w:tr2bl w:val="nil"/>
                  </w:tcBorders>
                  <w:vAlign w:val="center"/>
                </w:tcPr>
                <w:p w14:paraId="0CFF65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color w:val="auto"/>
                      <w:spacing w:val="0"/>
                      <w:kern w:val="0"/>
                      <w:sz w:val="21"/>
                      <w:szCs w:val="21"/>
                      <w:highlight w:val="none"/>
                      <w:lang w:val="en-US" w:eastAsia="zh-CN" w:bidi="he-IL"/>
                    </w:rPr>
                    <w:t>加强废气的收集及活性炭吸附净化装置维护保养，防止废气事故无组织排放；生产过程中门窗关闭，保持一个相对密闭的空间，合理设计送排风系统</w:t>
                  </w:r>
                </w:p>
              </w:tc>
              <w:tc>
                <w:tcPr>
                  <w:tcW w:w="308" w:type="pct"/>
                  <w:tcBorders>
                    <w:tl2br w:val="nil"/>
                    <w:tr2bl w:val="nil"/>
                  </w:tcBorders>
                  <w:vAlign w:val="center"/>
                </w:tcPr>
                <w:p w14:paraId="12FACD0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0.2</w:t>
                  </w:r>
                  <w:r>
                    <w:rPr>
                      <w:rFonts w:hint="eastAsia" w:cs="Times New Roman"/>
                      <w:b w:val="0"/>
                      <w:bCs w:val="0"/>
                      <w:color w:val="auto"/>
                      <w:sz w:val="21"/>
                      <w:szCs w:val="21"/>
                      <w:highlight w:val="none"/>
                      <w:u w:val="none"/>
                      <w:vertAlign w:val="baseline"/>
                      <w:lang w:val="en-US" w:eastAsia="zh-CN"/>
                    </w:rPr>
                    <w:t>151</w:t>
                  </w:r>
                </w:p>
                <w:p w14:paraId="6279636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t/a</w:t>
                  </w:r>
                </w:p>
              </w:tc>
              <w:tc>
                <w:tcPr>
                  <w:tcW w:w="308" w:type="pct"/>
                  <w:tcBorders>
                    <w:tl2br w:val="nil"/>
                    <w:tr2bl w:val="nil"/>
                  </w:tcBorders>
                  <w:vAlign w:val="center"/>
                </w:tcPr>
                <w:p w14:paraId="6476207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0.0</w:t>
                  </w:r>
                  <w:r>
                    <w:rPr>
                      <w:rFonts w:hint="eastAsia" w:cs="Times New Roman"/>
                      <w:b w:val="0"/>
                      <w:bCs w:val="0"/>
                      <w:color w:val="auto"/>
                      <w:sz w:val="21"/>
                      <w:szCs w:val="21"/>
                      <w:highlight w:val="none"/>
                      <w:u w:val="none"/>
                      <w:vertAlign w:val="baseline"/>
                      <w:lang w:val="en-US" w:eastAsia="zh-CN"/>
                    </w:rPr>
                    <w:t>299</w:t>
                  </w:r>
                  <w:r>
                    <w:rPr>
                      <w:rFonts w:hint="eastAsia" w:eastAsia="宋体" w:cs="Times New Roman"/>
                      <w:b w:val="0"/>
                      <w:bCs w:val="0"/>
                      <w:color w:val="auto"/>
                      <w:sz w:val="21"/>
                      <w:szCs w:val="21"/>
                      <w:highlight w:val="none"/>
                      <w:u w:val="none"/>
                      <w:vertAlign w:val="baseline"/>
                      <w:lang w:val="en-US" w:eastAsia="zh-CN"/>
                    </w:rPr>
                    <w:t>kg/h</w:t>
                  </w:r>
                </w:p>
              </w:tc>
              <w:tc>
                <w:tcPr>
                  <w:tcW w:w="303" w:type="pct"/>
                  <w:tcBorders>
                    <w:tl2br w:val="nil"/>
                    <w:tr2bl w:val="nil"/>
                  </w:tcBorders>
                  <w:vAlign w:val="center"/>
                </w:tcPr>
                <w:p w14:paraId="1117C84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25" w:type="pct"/>
                  <w:tcBorders>
                    <w:tl2br w:val="nil"/>
                    <w:tr2bl w:val="nil"/>
                  </w:tcBorders>
                  <w:shd w:val="clear" w:color="auto" w:fill="auto"/>
                  <w:vAlign w:val="center"/>
                </w:tcPr>
                <w:p w14:paraId="3D6AFC5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165" w:type="pct"/>
                  <w:tcBorders>
                    <w:tl2br w:val="nil"/>
                    <w:tr2bl w:val="nil"/>
                  </w:tcBorders>
                  <w:shd w:val="clear" w:color="auto" w:fill="auto"/>
                  <w:vAlign w:val="center"/>
                </w:tcPr>
                <w:p w14:paraId="085802A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331" w:type="pct"/>
                  <w:tcBorders>
                    <w:tl2br w:val="nil"/>
                    <w:tr2bl w:val="nil"/>
                  </w:tcBorders>
                  <w:shd w:val="clear" w:color="auto" w:fill="auto"/>
                  <w:vAlign w:val="center"/>
                </w:tcPr>
                <w:p w14:paraId="499EA27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343" w:type="pct"/>
                  <w:tcBorders>
                    <w:tl2br w:val="nil"/>
                    <w:tr2bl w:val="nil"/>
                  </w:tcBorders>
                  <w:shd w:val="clear" w:color="auto" w:fill="auto"/>
                  <w:vAlign w:val="center"/>
                </w:tcPr>
                <w:p w14:paraId="3A47D16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r>
            <w:tr w14:paraId="579EC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vMerge w:val="continue"/>
                  <w:tcBorders>
                    <w:tl2br w:val="nil"/>
                    <w:tr2bl w:val="nil"/>
                  </w:tcBorders>
                  <w:vAlign w:val="center"/>
                </w:tcPr>
                <w:p w14:paraId="73AFF92A">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b w:val="0"/>
                      <w:bCs w:val="0"/>
                      <w:color w:val="FF0000"/>
                      <w:sz w:val="21"/>
                      <w:szCs w:val="21"/>
                      <w:u w:val="none"/>
                      <w:vertAlign w:val="baseline"/>
                      <w:lang w:val="en-US" w:eastAsia="zh-CN"/>
                    </w:rPr>
                  </w:pPr>
                </w:p>
              </w:tc>
              <w:tc>
                <w:tcPr>
                  <w:tcW w:w="416" w:type="pct"/>
                  <w:vMerge w:val="continue"/>
                  <w:tcBorders>
                    <w:tl2br w:val="nil"/>
                    <w:tr2bl w:val="nil"/>
                  </w:tcBorders>
                  <w:shd w:val="clear" w:color="auto" w:fill="auto"/>
                  <w:vAlign w:val="center"/>
                </w:tcPr>
                <w:p w14:paraId="7813F1E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338" w:type="pct"/>
                  <w:tcBorders>
                    <w:tl2br w:val="nil"/>
                    <w:tr2bl w:val="nil"/>
                  </w:tcBorders>
                  <w:shd w:val="clear" w:color="auto" w:fill="auto"/>
                  <w:vAlign w:val="center"/>
                </w:tcPr>
                <w:p w14:paraId="5F3A24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苯乙烯</w:t>
                  </w:r>
                </w:p>
              </w:tc>
              <w:tc>
                <w:tcPr>
                  <w:tcW w:w="279" w:type="pct"/>
                  <w:tcBorders>
                    <w:tl2br w:val="nil"/>
                    <w:tr2bl w:val="nil"/>
                  </w:tcBorders>
                  <w:vAlign w:val="center"/>
                </w:tcPr>
                <w:p w14:paraId="1F44092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44B8A4B5">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0.001</w:t>
                  </w:r>
                </w:p>
                <w:p w14:paraId="7744692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t/a</w:t>
                  </w:r>
                </w:p>
              </w:tc>
              <w:tc>
                <w:tcPr>
                  <w:tcW w:w="315" w:type="pct"/>
                  <w:tcBorders>
                    <w:tl2br w:val="nil"/>
                    <w:tr2bl w:val="nil"/>
                  </w:tcBorders>
                  <w:vAlign w:val="center"/>
                </w:tcPr>
                <w:p w14:paraId="4D524B0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5E0EDC3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702" w:type="pct"/>
                  <w:gridSpan w:val="2"/>
                  <w:vMerge w:val="continue"/>
                  <w:tcBorders>
                    <w:tl2br w:val="nil"/>
                    <w:tr2bl w:val="nil"/>
                  </w:tcBorders>
                  <w:vAlign w:val="center"/>
                </w:tcPr>
                <w:p w14:paraId="2BC3CC4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p>
              </w:tc>
              <w:tc>
                <w:tcPr>
                  <w:tcW w:w="308" w:type="pct"/>
                  <w:tcBorders>
                    <w:tl2br w:val="nil"/>
                    <w:tr2bl w:val="nil"/>
                  </w:tcBorders>
                  <w:vAlign w:val="center"/>
                </w:tcPr>
                <w:p w14:paraId="0B4A5913">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0.001</w:t>
                  </w:r>
                </w:p>
                <w:p w14:paraId="1DAC9A5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t/a</w:t>
                  </w:r>
                </w:p>
              </w:tc>
              <w:tc>
                <w:tcPr>
                  <w:tcW w:w="308" w:type="pct"/>
                  <w:tcBorders>
                    <w:tl2br w:val="nil"/>
                    <w:tr2bl w:val="nil"/>
                  </w:tcBorders>
                  <w:vAlign w:val="center"/>
                </w:tcPr>
                <w:p w14:paraId="0E25A48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0.0001</w:t>
                  </w:r>
                  <w:r>
                    <w:rPr>
                      <w:rFonts w:hint="eastAsia" w:eastAsia="宋体" w:cs="Times New Roman"/>
                      <w:b w:val="0"/>
                      <w:bCs w:val="0"/>
                      <w:color w:val="auto"/>
                      <w:sz w:val="21"/>
                      <w:szCs w:val="21"/>
                      <w:highlight w:val="none"/>
                      <w:u w:val="none"/>
                      <w:vertAlign w:val="baseline"/>
                      <w:lang w:val="en-US" w:eastAsia="zh-CN"/>
                    </w:rPr>
                    <w:t>kg/h</w:t>
                  </w:r>
                </w:p>
              </w:tc>
              <w:tc>
                <w:tcPr>
                  <w:tcW w:w="303" w:type="pct"/>
                  <w:tcBorders>
                    <w:tl2br w:val="nil"/>
                    <w:tr2bl w:val="nil"/>
                  </w:tcBorders>
                  <w:vAlign w:val="center"/>
                </w:tcPr>
                <w:p w14:paraId="341F5D3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25" w:type="pct"/>
                  <w:tcBorders>
                    <w:tl2br w:val="nil"/>
                    <w:tr2bl w:val="nil"/>
                  </w:tcBorders>
                  <w:shd w:val="clear" w:color="auto" w:fill="auto"/>
                  <w:vAlign w:val="center"/>
                </w:tcPr>
                <w:p w14:paraId="732802E6">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165" w:type="pct"/>
                  <w:tcBorders>
                    <w:tl2br w:val="nil"/>
                    <w:tr2bl w:val="nil"/>
                  </w:tcBorders>
                  <w:shd w:val="clear" w:color="auto" w:fill="auto"/>
                  <w:vAlign w:val="center"/>
                </w:tcPr>
                <w:p w14:paraId="5025F95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331" w:type="pct"/>
                  <w:tcBorders>
                    <w:tl2br w:val="nil"/>
                    <w:tr2bl w:val="nil"/>
                  </w:tcBorders>
                  <w:shd w:val="clear" w:color="auto" w:fill="auto"/>
                  <w:vAlign w:val="center"/>
                </w:tcPr>
                <w:p w14:paraId="696EDB2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343" w:type="pct"/>
                  <w:tcBorders>
                    <w:tl2br w:val="nil"/>
                    <w:tr2bl w:val="nil"/>
                  </w:tcBorders>
                  <w:shd w:val="clear" w:color="auto" w:fill="auto"/>
                  <w:vAlign w:val="center"/>
                </w:tcPr>
                <w:p w14:paraId="46254F0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5AF69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vMerge w:val="continue"/>
                  <w:tcBorders>
                    <w:tl2br w:val="nil"/>
                    <w:tr2bl w:val="nil"/>
                  </w:tcBorders>
                  <w:vAlign w:val="center"/>
                </w:tcPr>
                <w:p w14:paraId="380830B2">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b w:val="0"/>
                      <w:bCs w:val="0"/>
                      <w:color w:val="FF0000"/>
                      <w:sz w:val="21"/>
                      <w:szCs w:val="21"/>
                      <w:u w:val="none"/>
                      <w:vertAlign w:val="baseline"/>
                      <w:lang w:val="en-US" w:eastAsia="zh-CN"/>
                    </w:rPr>
                  </w:pPr>
                </w:p>
              </w:tc>
              <w:tc>
                <w:tcPr>
                  <w:tcW w:w="416" w:type="pct"/>
                  <w:vMerge w:val="continue"/>
                  <w:tcBorders>
                    <w:tl2br w:val="nil"/>
                    <w:tr2bl w:val="nil"/>
                  </w:tcBorders>
                  <w:shd w:val="clear" w:color="auto" w:fill="auto"/>
                  <w:vAlign w:val="center"/>
                </w:tcPr>
                <w:p w14:paraId="6E8594A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338" w:type="pct"/>
                  <w:tcBorders>
                    <w:tl2br w:val="nil"/>
                    <w:tr2bl w:val="nil"/>
                  </w:tcBorders>
                  <w:shd w:val="clear" w:color="auto" w:fill="auto"/>
                  <w:vAlign w:val="center"/>
                </w:tcPr>
                <w:p w14:paraId="579D23F3">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丙烯腈</w:t>
                  </w:r>
                </w:p>
              </w:tc>
              <w:tc>
                <w:tcPr>
                  <w:tcW w:w="279" w:type="pct"/>
                  <w:tcBorders>
                    <w:tl2br w:val="nil"/>
                    <w:tr2bl w:val="nil"/>
                  </w:tcBorders>
                  <w:shd w:val="clear" w:color="auto" w:fill="auto"/>
                  <w:vAlign w:val="center"/>
                </w:tcPr>
                <w:p w14:paraId="0E0DE81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w:t>
                  </w:r>
                </w:p>
              </w:tc>
              <w:tc>
                <w:tcPr>
                  <w:tcW w:w="306" w:type="pct"/>
                  <w:tcBorders>
                    <w:tl2br w:val="nil"/>
                    <w:tr2bl w:val="nil"/>
                  </w:tcBorders>
                  <w:shd w:val="clear" w:color="auto" w:fill="auto"/>
                  <w:vAlign w:val="center"/>
                </w:tcPr>
                <w:p w14:paraId="5A39F145">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0.001</w:t>
                  </w:r>
                </w:p>
                <w:p w14:paraId="0A6149F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default" w:ascii="Times New Roman" w:hAnsi="Times New Roman" w:eastAsia="宋体" w:cs="Times New Roman"/>
                      <w:b w:val="0"/>
                      <w:bCs w:val="0"/>
                      <w:color w:val="auto"/>
                      <w:sz w:val="21"/>
                      <w:szCs w:val="21"/>
                      <w:highlight w:val="none"/>
                      <w:u w:val="none"/>
                      <w:vertAlign w:val="baseline"/>
                      <w:lang w:val="en-US" w:eastAsia="zh-CN"/>
                    </w:rPr>
                    <w:t>t/a</w:t>
                  </w:r>
                </w:p>
              </w:tc>
              <w:tc>
                <w:tcPr>
                  <w:tcW w:w="315" w:type="pct"/>
                  <w:tcBorders>
                    <w:tl2br w:val="nil"/>
                    <w:tr2bl w:val="nil"/>
                  </w:tcBorders>
                  <w:shd w:val="clear" w:color="auto" w:fill="auto"/>
                  <w:vAlign w:val="center"/>
                </w:tcPr>
                <w:p w14:paraId="2A7E6FA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w:t>
                  </w:r>
                </w:p>
              </w:tc>
              <w:tc>
                <w:tcPr>
                  <w:tcW w:w="306" w:type="pct"/>
                  <w:tcBorders>
                    <w:tl2br w:val="nil"/>
                    <w:tr2bl w:val="nil"/>
                  </w:tcBorders>
                  <w:shd w:val="clear" w:color="auto" w:fill="auto"/>
                  <w:vAlign w:val="center"/>
                </w:tcPr>
                <w:p w14:paraId="79D3B1A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w:t>
                  </w:r>
                </w:p>
              </w:tc>
              <w:tc>
                <w:tcPr>
                  <w:tcW w:w="702" w:type="pct"/>
                  <w:gridSpan w:val="2"/>
                  <w:vMerge w:val="continue"/>
                  <w:tcBorders>
                    <w:tl2br w:val="nil"/>
                    <w:tr2bl w:val="nil"/>
                  </w:tcBorders>
                  <w:vAlign w:val="center"/>
                </w:tcPr>
                <w:p w14:paraId="529B8DD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p>
              </w:tc>
              <w:tc>
                <w:tcPr>
                  <w:tcW w:w="308" w:type="pct"/>
                  <w:tcBorders>
                    <w:tl2br w:val="nil"/>
                    <w:tr2bl w:val="nil"/>
                  </w:tcBorders>
                  <w:shd w:val="clear" w:color="auto" w:fill="auto"/>
                  <w:vAlign w:val="center"/>
                </w:tcPr>
                <w:p w14:paraId="5C30B42B">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0.001</w:t>
                  </w:r>
                </w:p>
                <w:p w14:paraId="78BACD1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default" w:ascii="Times New Roman" w:hAnsi="Times New Roman" w:eastAsia="宋体" w:cs="Times New Roman"/>
                      <w:b w:val="0"/>
                      <w:bCs w:val="0"/>
                      <w:color w:val="auto"/>
                      <w:sz w:val="21"/>
                      <w:szCs w:val="21"/>
                      <w:highlight w:val="none"/>
                      <w:u w:val="none"/>
                      <w:vertAlign w:val="baseline"/>
                      <w:lang w:val="en-US" w:eastAsia="zh-CN"/>
                    </w:rPr>
                    <w:t>t/a</w:t>
                  </w:r>
                </w:p>
              </w:tc>
              <w:tc>
                <w:tcPr>
                  <w:tcW w:w="308" w:type="pct"/>
                  <w:tcBorders>
                    <w:tl2br w:val="nil"/>
                    <w:tr2bl w:val="nil"/>
                  </w:tcBorders>
                  <w:shd w:val="clear" w:color="auto" w:fill="auto"/>
                  <w:vAlign w:val="center"/>
                </w:tcPr>
                <w:p w14:paraId="5298EEF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0.0001</w:t>
                  </w:r>
                  <w:r>
                    <w:rPr>
                      <w:rFonts w:hint="eastAsia" w:eastAsia="宋体" w:cs="Times New Roman"/>
                      <w:b w:val="0"/>
                      <w:bCs w:val="0"/>
                      <w:color w:val="auto"/>
                      <w:sz w:val="21"/>
                      <w:szCs w:val="21"/>
                      <w:highlight w:val="none"/>
                      <w:u w:val="none"/>
                      <w:vertAlign w:val="baseline"/>
                      <w:lang w:val="en-US" w:eastAsia="zh-CN"/>
                    </w:rPr>
                    <w:t>kg/h</w:t>
                  </w:r>
                </w:p>
              </w:tc>
              <w:tc>
                <w:tcPr>
                  <w:tcW w:w="303" w:type="pct"/>
                  <w:tcBorders>
                    <w:tl2br w:val="nil"/>
                    <w:tr2bl w:val="nil"/>
                  </w:tcBorders>
                  <w:shd w:val="clear" w:color="auto" w:fill="auto"/>
                  <w:vAlign w:val="center"/>
                </w:tcPr>
                <w:p w14:paraId="12CF739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w:t>
                  </w:r>
                </w:p>
              </w:tc>
              <w:tc>
                <w:tcPr>
                  <w:tcW w:w="325" w:type="pct"/>
                  <w:tcBorders>
                    <w:tl2br w:val="nil"/>
                    <w:tr2bl w:val="nil"/>
                  </w:tcBorders>
                  <w:shd w:val="clear" w:color="auto" w:fill="auto"/>
                  <w:vAlign w:val="center"/>
                </w:tcPr>
                <w:p w14:paraId="7E00096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w:t>
                  </w:r>
                </w:p>
              </w:tc>
              <w:tc>
                <w:tcPr>
                  <w:tcW w:w="165" w:type="pct"/>
                  <w:tcBorders>
                    <w:tl2br w:val="nil"/>
                    <w:tr2bl w:val="nil"/>
                  </w:tcBorders>
                  <w:shd w:val="clear" w:color="auto" w:fill="auto"/>
                  <w:vAlign w:val="center"/>
                </w:tcPr>
                <w:p w14:paraId="66756B7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w:t>
                  </w:r>
                </w:p>
              </w:tc>
              <w:tc>
                <w:tcPr>
                  <w:tcW w:w="331" w:type="pct"/>
                  <w:tcBorders>
                    <w:tl2br w:val="nil"/>
                    <w:tr2bl w:val="nil"/>
                  </w:tcBorders>
                  <w:shd w:val="clear" w:color="auto" w:fill="auto"/>
                  <w:vAlign w:val="center"/>
                </w:tcPr>
                <w:p w14:paraId="5A49378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w:t>
                  </w:r>
                </w:p>
              </w:tc>
              <w:tc>
                <w:tcPr>
                  <w:tcW w:w="343" w:type="pct"/>
                  <w:tcBorders>
                    <w:tl2br w:val="nil"/>
                    <w:tr2bl w:val="nil"/>
                  </w:tcBorders>
                  <w:shd w:val="clear" w:color="auto" w:fill="auto"/>
                  <w:vAlign w:val="center"/>
                </w:tcPr>
                <w:p w14:paraId="4485C48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w:t>
                  </w:r>
                </w:p>
              </w:tc>
            </w:tr>
            <w:tr w14:paraId="6A692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vMerge w:val="continue"/>
                  <w:tcBorders>
                    <w:tl2br w:val="nil"/>
                    <w:tr2bl w:val="nil"/>
                  </w:tcBorders>
                  <w:vAlign w:val="center"/>
                </w:tcPr>
                <w:p w14:paraId="6C89B3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416" w:type="pct"/>
                  <w:tcBorders>
                    <w:tl2br w:val="nil"/>
                    <w:tr2bl w:val="nil"/>
                  </w:tcBorders>
                  <w:shd w:val="clear" w:color="auto" w:fill="auto"/>
                  <w:vAlign w:val="center"/>
                </w:tcPr>
                <w:p w14:paraId="4BD906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green"/>
                      <w:u w:val="none"/>
                      <w:vertAlign w:val="baseline"/>
                      <w:lang w:val="en-US" w:eastAsia="zh-CN" w:bidi="ar-SA"/>
                    </w:rPr>
                  </w:pPr>
                  <w:r>
                    <w:rPr>
                      <w:rFonts w:hint="eastAsia" w:cs="Times New Roman"/>
                      <w:b w:val="0"/>
                      <w:bCs w:val="0"/>
                      <w:color w:val="auto"/>
                      <w:sz w:val="21"/>
                      <w:szCs w:val="21"/>
                      <w:highlight w:val="none"/>
                      <w:u w:val="none"/>
                      <w:lang w:val="en-US" w:eastAsia="zh-CN"/>
                    </w:rPr>
                    <w:t>不合格产品破碎</w:t>
                  </w:r>
                </w:p>
              </w:tc>
              <w:tc>
                <w:tcPr>
                  <w:tcW w:w="338" w:type="pct"/>
                  <w:tcBorders>
                    <w:tl2br w:val="nil"/>
                    <w:tr2bl w:val="nil"/>
                  </w:tcBorders>
                  <w:shd w:val="clear" w:color="auto" w:fill="auto"/>
                  <w:vAlign w:val="center"/>
                </w:tcPr>
                <w:p w14:paraId="77D04EC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ascii="Times New Roman" w:hAnsi="Times New Roman" w:eastAsia="宋体" w:cs="Times New Roman"/>
                      <w:b w:val="0"/>
                      <w:bCs w:val="0"/>
                      <w:color w:val="auto"/>
                      <w:sz w:val="21"/>
                      <w:szCs w:val="21"/>
                      <w:highlight w:val="none"/>
                      <w:u w:val="none"/>
                      <w:vertAlign w:val="baseline"/>
                      <w:lang w:val="en-US" w:eastAsia="zh-CN"/>
                    </w:rPr>
                    <w:t>颗粒物</w:t>
                  </w:r>
                </w:p>
              </w:tc>
              <w:tc>
                <w:tcPr>
                  <w:tcW w:w="279" w:type="pct"/>
                  <w:tcBorders>
                    <w:tl2br w:val="nil"/>
                    <w:tr2bl w:val="nil"/>
                  </w:tcBorders>
                  <w:vAlign w:val="center"/>
                </w:tcPr>
                <w:p w14:paraId="4DF240F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50CC55C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0.</w:t>
                  </w:r>
                  <w:r>
                    <w:rPr>
                      <w:rFonts w:hint="eastAsia" w:cs="Times New Roman"/>
                      <w:b w:val="0"/>
                      <w:bCs w:val="0"/>
                      <w:color w:val="auto"/>
                      <w:sz w:val="21"/>
                      <w:szCs w:val="21"/>
                      <w:highlight w:val="none"/>
                      <w:u w:val="none"/>
                      <w:vertAlign w:val="baseline"/>
                      <w:lang w:val="en-US" w:eastAsia="zh-CN"/>
                    </w:rPr>
                    <w:t>0847kg/a</w:t>
                  </w:r>
                </w:p>
              </w:tc>
              <w:tc>
                <w:tcPr>
                  <w:tcW w:w="315" w:type="pct"/>
                  <w:tcBorders>
                    <w:tl2br w:val="nil"/>
                    <w:tr2bl w:val="nil"/>
                  </w:tcBorders>
                  <w:vAlign w:val="center"/>
                </w:tcPr>
                <w:p w14:paraId="214B0E8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545EA0A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702" w:type="pct"/>
                  <w:gridSpan w:val="2"/>
                  <w:vMerge w:val="continue"/>
                  <w:tcBorders>
                    <w:tl2br w:val="nil"/>
                    <w:tr2bl w:val="nil"/>
                  </w:tcBorders>
                  <w:vAlign w:val="center"/>
                </w:tcPr>
                <w:p w14:paraId="4F5227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08" w:type="pct"/>
                  <w:tcBorders>
                    <w:tl2br w:val="nil"/>
                    <w:tr2bl w:val="nil"/>
                  </w:tcBorders>
                  <w:vAlign w:val="center"/>
                </w:tcPr>
                <w:p w14:paraId="07DDCDA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0.</w:t>
                  </w:r>
                  <w:r>
                    <w:rPr>
                      <w:rFonts w:hint="eastAsia" w:cs="Times New Roman"/>
                      <w:b w:val="0"/>
                      <w:bCs w:val="0"/>
                      <w:color w:val="auto"/>
                      <w:sz w:val="21"/>
                      <w:szCs w:val="21"/>
                      <w:highlight w:val="none"/>
                      <w:u w:val="none"/>
                      <w:vertAlign w:val="baseline"/>
                      <w:lang w:val="en-US" w:eastAsia="zh-CN"/>
                    </w:rPr>
                    <w:t>0847kg/a</w:t>
                  </w:r>
                </w:p>
              </w:tc>
              <w:tc>
                <w:tcPr>
                  <w:tcW w:w="308" w:type="pct"/>
                  <w:tcBorders>
                    <w:tl2br w:val="nil"/>
                    <w:tr2bl w:val="nil"/>
                  </w:tcBorders>
                  <w:vAlign w:val="center"/>
                </w:tcPr>
                <w:p w14:paraId="44C63E9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0.0470g/h</w:t>
                  </w:r>
                </w:p>
              </w:tc>
              <w:tc>
                <w:tcPr>
                  <w:tcW w:w="303" w:type="pct"/>
                  <w:tcBorders>
                    <w:tl2br w:val="nil"/>
                    <w:tr2bl w:val="nil"/>
                  </w:tcBorders>
                  <w:vAlign w:val="center"/>
                </w:tcPr>
                <w:p w14:paraId="2359DA33">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25" w:type="pct"/>
                  <w:tcBorders>
                    <w:tl2br w:val="nil"/>
                    <w:tr2bl w:val="nil"/>
                  </w:tcBorders>
                  <w:shd w:val="clear" w:color="auto" w:fill="auto"/>
                  <w:vAlign w:val="center"/>
                </w:tcPr>
                <w:p w14:paraId="239690D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165" w:type="pct"/>
                  <w:tcBorders>
                    <w:tl2br w:val="nil"/>
                    <w:tr2bl w:val="nil"/>
                  </w:tcBorders>
                  <w:shd w:val="clear" w:color="auto" w:fill="auto"/>
                  <w:vAlign w:val="center"/>
                </w:tcPr>
                <w:p w14:paraId="5316C6D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331" w:type="pct"/>
                  <w:tcBorders>
                    <w:tl2br w:val="nil"/>
                    <w:tr2bl w:val="nil"/>
                  </w:tcBorders>
                  <w:shd w:val="clear" w:color="auto" w:fill="auto"/>
                  <w:vAlign w:val="center"/>
                </w:tcPr>
                <w:p w14:paraId="318D004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343" w:type="pct"/>
                  <w:tcBorders>
                    <w:tl2br w:val="nil"/>
                    <w:tr2bl w:val="nil"/>
                  </w:tcBorders>
                  <w:shd w:val="clear" w:color="auto" w:fill="auto"/>
                  <w:vAlign w:val="center"/>
                </w:tcPr>
                <w:p w14:paraId="73D00C4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r>
            <w:tr w14:paraId="67A95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Merge w:val="restart"/>
                  <w:vAlign w:val="center"/>
                </w:tcPr>
                <w:p w14:paraId="41625A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合计</w:t>
                  </w:r>
                </w:p>
              </w:tc>
              <w:tc>
                <w:tcPr>
                  <w:tcW w:w="1033" w:type="pct"/>
                  <w:gridSpan w:val="3"/>
                  <w:vAlign w:val="center"/>
                </w:tcPr>
                <w:p w14:paraId="0B0BA6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lang w:val="en-US" w:eastAsia="zh-CN"/>
                    </w:rPr>
                    <w:t>污染物名称</w:t>
                  </w:r>
                </w:p>
              </w:tc>
              <w:tc>
                <w:tcPr>
                  <w:tcW w:w="1131" w:type="pct"/>
                  <w:gridSpan w:val="4"/>
                  <w:shd w:val="clear" w:color="auto" w:fill="auto"/>
                  <w:vAlign w:val="center"/>
                </w:tcPr>
                <w:p w14:paraId="2EE672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有组织排放量</w:t>
                  </w:r>
                </w:p>
              </w:tc>
              <w:tc>
                <w:tcPr>
                  <w:tcW w:w="1420" w:type="pct"/>
                  <w:gridSpan w:val="4"/>
                  <w:shd w:val="clear" w:color="auto" w:fill="auto"/>
                  <w:vAlign w:val="center"/>
                </w:tcPr>
                <w:p w14:paraId="090236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无组织排放量</w:t>
                  </w:r>
                </w:p>
              </w:tc>
              <w:tc>
                <w:tcPr>
                  <w:tcW w:w="1166" w:type="pct"/>
                  <w:gridSpan w:val="4"/>
                  <w:vAlign w:val="center"/>
                </w:tcPr>
                <w:p w14:paraId="28767B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合计</w:t>
                  </w:r>
                </w:p>
              </w:tc>
            </w:tr>
            <w:tr w14:paraId="4D557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29627F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033" w:type="pct"/>
                  <w:gridSpan w:val="3"/>
                  <w:vAlign w:val="center"/>
                </w:tcPr>
                <w:p w14:paraId="116983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颗粒物</w:t>
                  </w:r>
                  <w:r>
                    <w:rPr>
                      <w:rFonts w:hint="eastAsia" w:cs="Times New Roman"/>
                      <w:b w:val="0"/>
                      <w:bCs w:val="0"/>
                      <w:color w:val="auto"/>
                      <w:sz w:val="21"/>
                      <w:szCs w:val="21"/>
                      <w:u w:val="none"/>
                      <w:lang w:val="en-US" w:eastAsia="zh-CN"/>
                    </w:rPr>
                    <w:t>（kg/a）</w:t>
                  </w:r>
                </w:p>
              </w:tc>
              <w:tc>
                <w:tcPr>
                  <w:tcW w:w="1131" w:type="pct"/>
                  <w:gridSpan w:val="4"/>
                  <w:shd w:val="clear" w:color="auto" w:fill="auto"/>
                  <w:vAlign w:val="center"/>
                </w:tcPr>
                <w:p w14:paraId="2FD2C3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0.0169</w:t>
                  </w:r>
                </w:p>
              </w:tc>
              <w:tc>
                <w:tcPr>
                  <w:tcW w:w="1420" w:type="pct"/>
                  <w:gridSpan w:val="4"/>
                  <w:shd w:val="clear" w:color="auto" w:fill="auto"/>
                  <w:vAlign w:val="center"/>
                </w:tcPr>
                <w:p w14:paraId="66A036D7">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s="Times New Roman"/>
                      <w:b w:val="0"/>
                      <w:bCs w:val="0"/>
                      <w:color w:val="auto"/>
                      <w:kern w:val="2"/>
                      <w:sz w:val="21"/>
                      <w:szCs w:val="21"/>
                      <w:u w:val="none"/>
                      <w:vertAlign w:val="baseline"/>
                      <w:lang w:val="en-US" w:eastAsia="zh-CN" w:bidi="ar-SA"/>
                    </w:rPr>
                    <w:t>0.0847</w:t>
                  </w:r>
                </w:p>
              </w:tc>
              <w:tc>
                <w:tcPr>
                  <w:tcW w:w="1166" w:type="pct"/>
                  <w:gridSpan w:val="4"/>
                  <w:vAlign w:val="center"/>
                </w:tcPr>
                <w:p w14:paraId="4FE368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0.1016</w:t>
                  </w:r>
                </w:p>
              </w:tc>
            </w:tr>
            <w:tr w14:paraId="776FC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3B12D4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033" w:type="pct"/>
                  <w:gridSpan w:val="3"/>
                  <w:vAlign w:val="center"/>
                </w:tcPr>
                <w:p w14:paraId="7C61A2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非甲烷总烃</w:t>
                  </w:r>
                  <w:r>
                    <w:rPr>
                      <w:rFonts w:hint="eastAsia" w:cs="Times New Roman"/>
                      <w:b w:val="0"/>
                      <w:bCs w:val="0"/>
                      <w:color w:val="auto"/>
                      <w:sz w:val="21"/>
                      <w:szCs w:val="21"/>
                      <w:u w:val="none"/>
                      <w:lang w:val="en-US" w:eastAsia="zh-CN"/>
                    </w:rPr>
                    <w:t>（t/a）</w:t>
                  </w:r>
                </w:p>
              </w:tc>
              <w:tc>
                <w:tcPr>
                  <w:tcW w:w="1131" w:type="pct"/>
                  <w:gridSpan w:val="4"/>
                  <w:shd w:val="clear" w:color="auto" w:fill="auto"/>
                  <w:vAlign w:val="center"/>
                </w:tcPr>
                <w:p w14:paraId="227DB8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r>
                    <w:rPr>
                      <w:rFonts w:hint="eastAsia" w:cs="Times New Roman"/>
                      <w:b w:val="0"/>
                      <w:bCs w:val="0"/>
                      <w:color w:val="auto"/>
                      <w:sz w:val="21"/>
                      <w:szCs w:val="21"/>
                      <w:u w:val="none"/>
                      <w:vertAlign w:val="baseline"/>
                      <w:lang w:val="en-US" w:eastAsia="zh-CN"/>
                    </w:rPr>
                    <w:t>2151</w:t>
                  </w:r>
                </w:p>
              </w:tc>
              <w:tc>
                <w:tcPr>
                  <w:tcW w:w="1420" w:type="pct"/>
                  <w:gridSpan w:val="4"/>
                  <w:shd w:val="clear" w:color="auto" w:fill="auto"/>
                  <w:vAlign w:val="center"/>
                </w:tcPr>
                <w:p w14:paraId="4BC6E5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0.2</w:t>
                  </w:r>
                  <w:r>
                    <w:rPr>
                      <w:rFonts w:hint="eastAsia" w:cs="Times New Roman"/>
                      <w:b w:val="0"/>
                      <w:bCs w:val="0"/>
                      <w:color w:val="auto"/>
                      <w:kern w:val="2"/>
                      <w:sz w:val="21"/>
                      <w:szCs w:val="21"/>
                      <w:u w:val="none"/>
                      <w:vertAlign w:val="baseline"/>
                      <w:lang w:val="en-US" w:eastAsia="zh-CN" w:bidi="ar-SA"/>
                    </w:rPr>
                    <w:t>151</w:t>
                  </w:r>
                </w:p>
              </w:tc>
              <w:tc>
                <w:tcPr>
                  <w:tcW w:w="1166" w:type="pct"/>
                  <w:gridSpan w:val="4"/>
                  <w:vAlign w:val="center"/>
                </w:tcPr>
                <w:p w14:paraId="53F9BA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w:t>
                  </w:r>
                  <w:r>
                    <w:rPr>
                      <w:rFonts w:hint="eastAsia" w:cs="Times New Roman"/>
                      <w:b w:val="0"/>
                      <w:bCs w:val="0"/>
                      <w:color w:val="auto"/>
                      <w:sz w:val="21"/>
                      <w:szCs w:val="21"/>
                      <w:u w:val="none"/>
                      <w:vertAlign w:val="baseline"/>
                      <w:lang w:val="en-US" w:eastAsia="zh-CN"/>
                    </w:rPr>
                    <w:t>4303</w:t>
                  </w:r>
                </w:p>
              </w:tc>
            </w:tr>
            <w:tr w14:paraId="70A32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5A14C8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033" w:type="pct"/>
                  <w:gridSpan w:val="3"/>
                  <w:vAlign w:val="center"/>
                </w:tcPr>
                <w:p w14:paraId="566C11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苯乙烯</w:t>
                  </w:r>
                </w:p>
              </w:tc>
              <w:tc>
                <w:tcPr>
                  <w:tcW w:w="1131" w:type="pct"/>
                  <w:gridSpan w:val="4"/>
                  <w:shd w:val="clear" w:color="auto" w:fill="auto"/>
                  <w:vAlign w:val="center"/>
                </w:tcPr>
                <w:p w14:paraId="78ACBB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0.0010</w:t>
                  </w:r>
                </w:p>
              </w:tc>
              <w:tc>
                <w:tcPr>
                  <w:tcW w:w="1420" w:type="pct"/>
                  <w:gridSpan w:val="4"/>
                  <w:shd w:val="clear" w:color="auto" w:fill="auto"/>
                  <w:vAlign w:val="center"/>
                </w:tcPr>
                <w:p w14:paraId="03BD44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0.0010</w:t>
                  </w:r>
                </w:p>
              </w:tc>
              <w:tc>
                <w:tcPr>
                  <w:tcW w:w="1166" w:type="pct"/>
                  <w:gridSpan w:val="4"/>
                  <w:vAlign w:val="center"/>
                </w:tcPr>
                <w:p w14:paraId="088522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0.0020</w:t>
                  </w:r>
                </w:p>
              </w:tc>
            </w:tr>
            <w:tr w14:paraId="3F55EA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7537F2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033" w:type="pct"/>
                  <w:gridSpan w:val="3"/>
                  <w:vAlign w:val="center"/>
                </w:tcPr>
                <w:p w14:paraId="49964F93">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丙烯腈</w:t>
                  </w:r>
                </w:p>
              </w:tc>
              <w:tc>
                <w:tcPr>
                  <w:tcW w:w="1131" w:type="pct"/>
                  <w:gridSpan w:val="4"/>
                  <w:shd w:val="clear" w:color="auto" w:fill="auto"/>
                  <w:vAlign w:val="center"/>
                </w:tcPr>
                <w:p w14:paraId="547315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cs="Times New Roman"/>
                      <w:b w:val="0"/>
                      <w:bCs w:val="0"/>
                      <w:color w:val="auto"/>
                      <w:sz w:val="21"/>
                      <w:szCs w:val="21"/>
                      <w:u w:val="none"/>
                      <w:vertAlign w:val="baseline"/>
                      <w:lang w:val="en-US" w:eastAsia="zh-CN"/>
                    </w:rPr>
                    <w:t>0.0010</w:t>
                  </w:r>
                </w:p>
              </w:tc>
              <w:tc>
                <w:tcPr>
                  <w:tcW w:w="1420" w:type="pct"/>
                  <w:gridSpan w:val="4"/>
                  <w:shd w:val="clear" w:color="auto" w:fill="auto"/>
                  <w:vAlign w:val="center"/>
                </w:tcPr>
                <w:p w14:paraId="6AD422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0.0010</w:t>
                  </w:r>
                </w:p>
              </w:tc>
              <w:tc>
                <w:tcPr>
                  <w:tcW w:w="1166" w:type="pct"/>
                  <w:gridSpan w:val="4"/>
                  <w:shd w:val="clear" w:color="auto" w:fill="auto"/>
                  <w:vAlign w:val="center"/>
                </w:tcPr>
                <w:p w14:paraId="787ACEE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eastAsia" w:cs="Times New Roman"/>
                      <w:b w:val="0"/>
                      <w:bCs w:val="0"/>
                      <w:color w:val="auto"/>
                      <w:sz w:val="21"/>
                      <w:szCs w:val="21"/>
                      <w:u w:val="none"/>
                      <w:vertAlign w:val="baseline"/>
                      <w:lang w:val="en-US" w:eastAsia="zh-CN"/>
                    </w:rPr>
                    <w:t>0.0020</w:t>
                  </w:r>
                </w:p>
              </w:tc>
            </w:tr>
          </w:tbl>
          <w:p w14:paraId="6544E10C">
            <w:pPr>
              <w:numPr>
                <w:ilvl w:val="0"/>
                <w:numId w:val="0"/>
              </w:numPr>
              <w:adjustRightInd w:val="0"/>
              <w:snapToGrid w:val="0"/>
              <w:spacing w:line="348" w:lineRule="auto"/>
              <w:rPr>
                <w:rFonts w:hint="default" w:cs="Times New Roman"/>
                <w:color w:val="262626"/>
                <w:sz w:val="24"/>
                <w:lang w:val="en-US" w:eastAsia="zh-CN"/>
              </w:rPr>
            </w:pPr>
          </w:p>
        </w:tc>
      </w:tr>
    </w:tbl>
    <w:p w14:paraId="5B143E9B">
      <w:pPr>
        <w:jc w:val="center"/>
        <w:rPr>
          <w:rFonts w:hint="default" w:ascii="Times New Roman" w:hAnsi="Times New Roman" w:eastAsia="宋体" w:cs="Times New Roman"/>
          <w:color w:val="auto"/>
          <w:kern w:val="0"/>
          <w:sz w:val="24"/>
          <w:szCs w:val="24"/>
          <w:lang w:val="en-US"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813"/>
      </w:tblGrid>
      <w:tr w14:paraId="0172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0" w:hRule="atLeast"/>
        </w:trPr>
        <w:tc>
          <w:tcPr>
            <w:tcW w:w="252" w:type="pct"/>
            <w:vAlign w:val="center"/>
          </w:tcPr>
          <w:p w14:paraId="7F1C2790">
            <w:pPr>
              <w:jc w:val="center"/>
              <w:rPr>
                <w:rFonts w:hint="default" w:ascii="Times New Roman" w:hAnsi="Times New Roman" w:eastAsia="宋体" w:cs="Times New Roman"/>
                <w:color w:val="auto"/>
                <w:kern w:val="0"/>
                <w:sz w:val="24"/>
                <w:szCs w:val="24"/>
                <w:lang w:val="en-US" w:eastAsia="zh-CN"/>
              </w:rPr>
            </w:pPr>
          </w:p>
        </w:tc>
        <w:tc>
          <w:tcPr>
            <w:tcW w:w="4747" w:type="pct"/>
          </w:tcPr>
          <w:p w14:paraId="1168924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00" w:name="_Toc15005"/>
            <w:r>
              <w:rPr>
                <w:rFonts w:hint="eastAsia"/>
                <w:b/>
                <w:color w:val="262626"/>
                <w:kern w:val="0"/>
                <w:sz w:val="24"/>
                <w:lang w:val="en-US" w:eastAsia="zh-CN"/>
              </w:rPr>
              <w:t>4.1.3运营期大气污染防治措施合理性分析</w:t>
            </w:r>
            <w:bookmarkEnd w:id="100"/>
          </w:p>
          <w:p w14:paraId="4B91027D">
            <w:pPr>
              <w:pStyle w:val="44"/>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运营期产生的废气污染物因子为VOCs（以非甲烷总烃计）</w:t>
            </w:r>
            <w:r>
              <w:rPr>
                <w:rFonts w:hint="eastAsia" w:ascii="Times New Roman" w:hAnsi="Times New Roman" w:cs="Times New Roman"/>
                <w:color w:val="auto"/>
                <w:sz w:val="24"/>
                <w:szCs w:val="24"/>
                <w:lang w:val="en-US" w:eastAsia="zh-CN"/>
              </w:rPr>
              <w:t>、苯乙烯、丙烯腈</w:t>
            </w:r>
            <w:r>
              <w:rPr>
                <w:rFonts w:hint="default" w:ascii="Times New Roman" w:hAnsi="Times New Roman" w:cs="Times New Roman"/>
                <w:color w:val="auto"/>
                <w:sz w:val="24"/>
                <w:szCs w:val="24"/>
                <w:lang w:val="en-US" w:eastAsia="zh-CN"/>
              </w:rPr>
              <w:t>、</w:t>
            </w:r>
            <w:r>
              <w:rPr>
                <w:rFonts w:hint="default" w:ascii="Times New Roman" w:hAnsi="Times New Roman" w:cs="Times New Roman"/>
                <w:bCs/>
                <w:color w:val="auto"/>
                <w:kern w:val="2"/>
                <w:sz w:val="24"/>
                <w:szCs w:val="24"/>
                <w:lang w:val="en-US" w:eastAsia="zh-CN" w:bidi="ar-SA"/>
              </w:rPr>
              <w:t>1,2-丁二烯、甲苯、乙苯、</w:t>
            </w:r>
            <w:r>
              <w:rPr>
                <w:rFonts w:hint="eastAsia" w:ascii="Times New Roman" w:hAnsi="Times New Roman" w:cs="Times New Roman"/>
                <w:bCs/>
                <w:color w:val="auto"/>
                <w:kern w:val="2"/>
                <w:sz w:val="24"/>
                <w:szCs w:val="24"/>
                <w:lang w:val="en-US" w:eastAsia="zh-CN" w:bidi="ar-SA"/>
              </w:rPr>
              <w:t>臭气、</w:t>
            </w:r>
            <w:r>
              <w:rPr>
                <w:rFonts w:hint="default" w:ascii="Times New Roman" w:hAnsi="Times New Roman" w:cs="Times New Roman"/>
                <w:color w:val="auto"/>
                <w:sz w:val="24"/>
                <w:szCs w:val="24"/>
                <w:lang w:val="en-US" w:eastAsia="zh-CN"/>
              </w:rPr>
              <w:t>颗粒物</w:t>
            </w:r>
            <w:r>
              <w:rPr>
                <w:rFonts w:hint="default" w:ascii="Times New Roman" w:hAnsi="Times New Roman" w:eastAsia="宋体" w:cs="Times New Roman"/>
                <w:color w:val="auto"/>
                <w:sz w:val="24"/>
                <w:szCs w:val="24"/>
                <w:lang w:val="en-US" w:eastAsia="zh-CN"/>
              </w:rPr>
              <w:t>。</w:t>
            </w:r>
          </w:p>
          <w:p w14:paraId="4DE774BF">
            <w:pPr>
              <w:pStyle w:val="44"/>
              <w:keepNext w:val="0"/>
              <w:keepLines w:val="0"/>
              <w:pageBreakBefore w:val="0"/>
              <w:widowControl w:val="0"/>
              <w:numPr>
                <w:ilvl w:val="0"/>
                <w:numId w:val="0"/>
              </w:numPr>
              <w:kinsoku/>
              <w:wordWrap/>
              <w:overflowPunct/>
              <w:topLinePunct w:val="0"/>
              <w:autoSpaceDE/>
              <w:autoSpaceDN/>
              <w:bidi w:val="0"/>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（1）生产车间密闭情况分析</w:t>
            </w:r>
          </w:p>
          <w:p w14:paraId="514E5521">
            <w:pPr>
              <w:pStyle w:val="44"/>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w:t>
            </w:r>
            <w:r>
              <w:rPr>
                <w:rFonts w:hint="eastAsia" w:ascii="Times New Roman" w:hAnsi="Times New Roman" w:cs="Times New Roman"/>
                <w:color w:val="auto"/>
                <w:sz w:val="24"/>
                <w:szCs w:val="24"/>
                <w:lang w:val="en-US" w:eastAsia="zh-CN"/>
              </w:rPr>
              <w:t>购置</w:t>
            </w:r>
            <w:r>
              <w:rPr>
                <w:rFonts w:hint="eastAsia" w:ascii="Times New Roman" w:hAnsi="Times New Roman" w:eastAsia="宋体" w:cs="Times New Roman"/>
                <w:color w:val="auto"/>
                <w:sz w:val="24"/>
                <w:szCs w:val="24"/>
                <w:lang w:val="en-US" w:eastAsia="zh-CN"/>
              </w:rPr>
              <w:t>厂房总体为钢筋混凝土结构，墙体、屋顶、门窗等均采用密闭设计。本项目所使用设备均设置在车间内，密闭条件较好</w:t>
            </w:r>
            <w:r>
              <w:rPr>
                <w:rFonts w:hint="eastAsia" w:ascii="Times New Roman" w:hAnsi="Times New Roman" w:cs="Times New Roman"/>
                <w:color w:val="auto"/>
                <w:sz w:val="24"/>
                <w:szCs w:val="24"/>
                <w:lang w:val="en-US" w:eastAsia="zh-CN"/>
              </w:rPr>
              <w:t>注塑机、电切割</w:t>
            </w:r>
            <w:r>
              <w:rPr>
                <w:rFonts w:hint="eastAsia" w:ascii="Times New Roman" w:hAnsi="Times New Roman" w:eastAsia="宋体" w:cs="Times New Roman"/>
                <w:color w:val="auto"/>
                <w:sz w:val="24"/>
                <w:szCs w:val="24"/>
                <w:lang w:val="en-US" w:eastAsia="zh-CN"/>
              </w:rPr>
              <w:t>等污染较大的设备，设置在厂房一角建设隔断墙密闭管理，可减少污染物无组织扩散。</w:t>
            </w:r>
          </w:p>
          <w:p w14:paraId="4B0B26E6">
            <w:pPr>
              <w:pStyle w:val="44"/>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废气</w:t>
            </w:r>
            <w:r>
              <w:rPr>
                <w:rFonts w:hint="default" w:ascii="Times New Roman" w:hAnsi="Times New Roman" w:eastAsia="宋体" w:cs="Times New Roman"/>
                <w:color w:val="auto"/>
                <w:sz w:val="24"/>
                <w:szCs w:val="24"/>
                <w:highlight w:val="none"/>
                <w:lang w:val="en-US" w:eastAsia="zh-CN"/>
              </w:rPr>
              <w:t>治理措施</w:t>
            </w:r>
            <w:r>
              <w:rPr>
                <w:rFonts w:hint="eastAsia" w:ascii="Times New Roman" w:hAnsi="Times New Roman" w:cs="Times New Roman"/>
                <w:color w:val="auto"/>
                <w:sz w:val="24"/>
                <w:szCs w:val="24"/>
                <w:highlight w:val="none"/>
                <w:lang w:val="en-US" w:eastAsia="zh-CN"/>
              </w:rPr>
              <w:t>分析</w:t>
            </w:r>
          </w:p>
          <w:p w14:paraId="12B654F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w:t>
            </w:r>
            <w:r>
              <w:rPr>
                <w:rFonts w:hint="eastAsia" w:ascii="Times New Roman" w:hAnsi="Times New Roman" w:cs="Times New Roman"/>
                <w:color w:val="auto"/>
                <w:kern w:val="0"/>
                <w:sz w:val="24"/>
                <w:szCs w:val="24"/>
                <w:highlight w:val="none"/>
                <w:lang w:val="en-US" w:eastAsia="zh-CN" w:bidi="ar-SA"/>
              </w:rPr>
              <w:t>注塑废气（非甲烷总烃（VOCs）</w:t>
            </w:r>
            <w:r>
              <w:rPr>
                <w:rFonts w:hint="eastAsia" w:cs="Times New Roman"/>
                <w:color w:val="auto"/>
                <w:kern w:val="0"/>
                <w:sz w:val="24"/>
                <w:szCs w:val="24"/>
                <w:highlight w:val="none"/>
                <w:lang w:val="en-US" w:eastAsia="zh-CN" w:bidi="ar-SA"/>
              </w:rPr>
              <w:t>、苯乙烯、</w:t>
            </w:r>
            <w:r>
              <w:rPr>
                <w:rFonts w:hint="eastAsia" w:ascii="Times New Roman" w:hAnsi="Times New Roman" w:cs="Times New Roman"/>
                <w:color w:val="auto"/>
                <w:sz w:val="24"/>
                <w:szCs w:val="24"/>
                <w:lang w:val="en-US" w:eastAsia="zh-CN"/>
              </w:rPr>
              <w:t>丙烯腈</w:t>
            </w:r>
            <w:r>
              <w:rPr>
                <w:rFonts w:hint="default" w:ascii="Times New Roman" w:hAnsi="Times New Roman" w:cs="Times New Roman"/>
                <w:color w:val="auto"/>
                <w:sz w:val="24"/>
                <w:szCs w:val="24"/>
                <w:lang w:val="en-US" w:eastAsia="zh-CN"/>
              </w:rPr>
              <w:t>、</w:t>
            </w:r>
            <w:r>
              <w:rPr>
                <w:rFonts w:hint="default" w:ascii="Times New Roman" w:hAnsi="Times New Roman" w:cs="Times New Roman"/>
                <w:bCs/>
                <w:color w:val="auto"/>
                <w:kern w:val="2"/>
                <w:sz w:val="24"/>
                <w:szCs w:val="24"/>
                <w:lang w:val="en-US" w:eastAsia="zh-CN" w:bidi="ar-SA"/>
              </w:rPr>
              <w:t>1,2-丁二烯、甲苯、乙苯、</w:t>
            </w:r>
            <w:r>
              <w:rPr>
                <w:rFonts w:hint="eastAsia" w:cs="Times New Roman"/>
                <w:color w:val="auto"/>
                <w:kern w:val="0"/>
                <w:sz w:val="24"/>
                <w:szCs w:val="24"/>
                <w:highlight w:val="none"/>
                <w:lang w:val="en-US" w:eastAsia="zh-CN" w:bidi="ar-SA"/>
              </w:rPr>
              <w:t>臭气</w:t>
            </w:r>
            <w:r>
              <w:rPr>
                <w:rFonts w:hint="eastAsia" w:ascii="Times New Roman" w:hAnsi="Times New Roman" w:cs="Times New Roman"/>
                <w:color w:val="auto"/>
                <w:kern w:val="0"/>
                <w:sz w:val="24"/>
                <w:szCs w:val="24"/>
                <w:highlight w:val="none"/>
                <w:lang w:val="en-US" w:eastAsia="zh-CN" w:bidi="ar-SA"/>
              </w:rPr>
              <w:t>）经</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集气罩+</w:t>
            </w:r>
            <w:r>
              <w:rPr>
                <w:rFonts w:hint="eastAsia" w:cs="Times New Roman"/>
                <w:i w:val="0"/>
                <w:iCs w:val="0"/>
                <w:caps w:val="0"/>
                <w:color w:val="auto"/>
                <w:spacing w:val="0"/>
                <w:sz w:val="24"/>
                <w:szCs w:val="24"/>
                <w:highlight w:val="none"/>
                <w:shd w:val="clear" w:color="auto" w:fill="FFFFFF"/>
                <w:lang w:val="en-US" w:eastAsia="zh-CN"/>
              </w:rPr>
              <w:t>二级</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活性炭吸附装置</w:t>
            </w:r>
            <w:r>
              <w:rPr>
                <w:rFonts w:hint="eastAsia" w:ascii="Times New Roman" w:hAnsi="Times New Roman" w:eastAsia="宋体" w:cs="Times New Roman"/>
                <w:i w:val="0"/>
                <w:iCs w:val="0"/>
                <w:caps w:val="0"/>
                <w:color w:val="auto"/>
                <w:spacing w:val="0"/>
                <w:sz w:val="24"/>
                <w:szCs w:val="24"/>
                <w:highlight w:val="none"/>
                <w:shd w:val="clear" w:color="auto" w:fill="FFFFFF"/>
                <w:lang w:val="en-US" w:eastAsia="zh-CN"/>
              </w:rPr>
              <w:t>（TA00</w:t>
            </w:r>
            <w:r>
              <w:rPr>
                <w:rFonts w:hint="eastAsia" w:cs="Times New Roman"/>
                <w:i w:val="0"/>
                <w:iCs w:val="0"/>
                <w:caps w:val="0"/>
                <w:color w:val="auto"/>
                <w:spacing w:val="0"/>
                <w:sz w:val="24"/>
                <w:szCs w:val="24"/>
                <w:highlight w:val="none"/>
                <w:shd w:val="clear" w:color="auto" w:fill="FFFFFF"/>
                <w:lang w:val="en-US" w:eastAsia="zh-CN"/>
              </w:rPr>
              <w:t>1</w:t>
            </w:r>
            <w:r>
              <w:rPr>
                <w:rFonts w:hint="eastAsia" w:ascii="Times New Roman" w:hAnsi="Times New Roman" w:eastAsia="宋体" w:cs="Times New Roman"/>
                <w:i w:val="0"/>
                <w:iCs w:val="0"/>
                <w:caps w:val="0"/>
                <w:color w:val="auto"/>
                <w:spacing w:val="0"/>
                <w:sz w:val="24"/>
                <w:szCs w:val="24"/>
                <w:highlight w:val="none"/>
                <w:shd w:val="clear" w:color="auto" w:fill="FFFFFF"/>
                <w:lang w:val="en-US" w:eastAsia="zh-CN"/>
              </w:rPr>
              <w:t>）”</w:t>
            </w:r>
            <w:r>
              <w:rPr>
                <w:rFonts w:hint="default" w:ascii="Times New Roman" w:hAnsi="Times New Roman" w:eastAsia="宋体" w:cs="Times New Roman"/>
                <w:color w:val="auto"/>
                <w:kern w:val="0"/>
                <w:sz w:val="24"/>
                <w:szCs w:val="24"/>
                <w:highlight w:val="none"/>
                <w:lang w:val="en-US" w:eastAsia="zh-CN" w:bidi="ar-SA"/>
              </w:rPr>
              <w:t>处理后通过</w:t>
            </w:r>
            <w:r>
              <w:rPr>
                <w:rFonts w:hint="eastAsia" w:ascii="Times New Roman" w:hAnsi="Times New Roman" w:eastAsia="宋体" w:cs="Times New Roman"/>
                <w:color w:val="auto"/>
                <w:kern w:val="0"/>
                <w:sz w:val="24"/>
                <w:szCs w:val="24"/>
                <w:highlight w:val="none"/>
                <w:lang w:val="en-US" w:eastAsia="zh-CN" w:bidi="ar-SA"/>
              </w:rPr>
              <w:t>15</w:t>
            </w:r>
            <w:r>
              <w:rPr>
                <w:rFonts w:hint="default" w:ascii="Times New Roman" w:hAnsi="Times New Roman" w:eastAsia="宋体" w:cs="Times New Roman"/>
                <w:color w:val="auto"/>
                <w:kern w:val="0"/>
                <w:sz w:val="24"/>
                <w:szCs w:val="24"/>
                <w:highlight w:val="none"/>
                <w:lang w:val="en-US" w:eastAsia="zh-CN" w:bidi="ar-SA"/>
              </w:rPr>
              <w:t>m高的排气筒（DA001）排放</w:t>
            </w:r>
            <w:r>
              <w:rPr>
                <w:rFonts w:hint="eastAsia"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不合格产品破碎过程所产生的破碎废气（颗粒物）经“集气罩收集+布袋除尘器（TA002）”处理后并入15m高排气筒（DA001）排放</w:t>
            </w: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项目车间废气处理工艺流程图详见图4.</w:t>
            </w:r>
            <w:r>
              <w:rPr>
                <w:rFonts w:hint="eastAsia" w:ascii="Times New Roman" w:hAnsi="Times New Roman" w:cs="Times New Roman"/>
                <w:color w:val="auto"/>
                <w:kern w:val="0"/>
                <w:sz w:val="24"/>
                <w:szCs w:val="24"/>
                <w:highlight w:val="none"/>
                <w:lang w:val="en-US" w:eastAsia="zh-CN" w:bidi="ar-SA"/>
              </w:rPr>
              <w:t>1</w:t>
            </w:r>
            <w:r>
              <w:rPr>
                <w:rFonts w:hint="eastAsia" w:ascii="Times New Roman" w:hAnsi="Times New Roman" w:eastAsia="宋体" w:cs="Times New Roman"/>
                <w:color w:val="auto"/>
                <w:kern w:val="0"/>
                <w:sz w:val="24"/>
                <w:szCs w:val="24"/>
                <w:highlight w:val="none"/>
                <w:lang w:val="en-US" w:eastAsia="zh-CN" w:bidi="ar-SA"/>
              </w:rPr>
              <w:t>-1。</w:t>
            </w:r>
          </w:p>
          <w:p w14:paraId="41EFABD6">
            <w:pPr>
              <w:pStyle w:val="49"/>
              <w:ind w:left="0" w:leftChars="0" w:firstLine="0" w:firstLine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5422265" cy="1734185"/>
                  <wp:effectExtent l="0" t="0" r="3175" b="3175"/>
                  <wp:docPr id="7" name="F360BE8B-6686-4F3D-AEAF-501FE73E4058-3" descr="C:/Users/波波/AppData/Local/Temp/大松废气治理.png大松废气治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360BE8B-6686-4F3D-AEAF-501FE73E4058-3" descr="C:/Users/波波/AppData/Local/Temp/大松废气治理.png大松废气治理"/>
                          <pic:cNvPicPr>
                            <a:picLocks noChangeAspect="1"/>
                          </pic:cNvPicPr>
                        </pic:nvPicPr>
                        <pic:blipFill>
                          <a:blip r:embed="rId24"/>
                          <a:stretch>
                            <a:fillRect/>
                          </a:stretch>
                        </pic:blipFill>
                        <pic:spPr>
                          <a:xfrm>
                            <a:off x="0" y="0"/>
                            <a:ext cx="5422265" cy="1734312"/>
                          </a:xfrm>
                          <a:prstGeom prst="rect">
                            <a:avLst/>
                          </a:prstGeom>
                        </pic:spPr>
                      </pic:pic>
                    </a:graphicData>
                  </a:graphic>
                </wp:inline>
              </w:drawing>
            </w:r>
          </w:p>
          <w:p w14:paraId="2D2F3AF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图4.1-1项目废气处理工艺流程图</w:t>
            </w:r>
          </w:p>
          <w:p w14:paraId="4881748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活性炭吸附</w:t>
            </w:r>
            <w:r>
              <w:rPr>
                <w:rFonts w:hint="default" w:ascii="Times New Roman" w:hAnsi="Times New Roman" w:eastAsia="宋体" w:cs="Times New Roman"/>
                <w:b/>
                <w:bCs/>
                <w:color w:val="auto"/>
                <w:sz w:val="24"/>
                <w:szCs w:val="24"/>
                <w:highlight w:val="none"/>
                <w:lang w:eastAsia="zh-CN"/>
              </w:rPr>
              <w:t>工艺原理：</w:t>
            </w:r>
            <w:r>
              <w:rPr>
                <w:rFonts w:hint="default" w:ascii="Times New Roman" w:hAnsi="Times New Roman" w:eastAsia="宋体" w:cs="Times New Roman"/>
                <w:color w:val="auto"/>
                <w:sz w:val="24"/>
                <w:szCs w:val="24"/>
                <w:highlight w:val="none"/>
              </w:rPr>
              <w:t>有机气体进入活性炭塔，有机气体进入塔内时，风速瞬间</w:t>
            </w:r>
            <w:r>
              <w:rPr>
                <w:rFonts w:hint="eastAsia" w:ascii="Times New Roman" w:hAnsi="Times New Roman" w:eastAsia="宋体" w:cs="Times New Roman"/>
                <w:color w:val="auto"/>
                <w:sz w:val="24"/>
                <w:szCs w:val="24"/>
                <w:highlight w:val="none"/>
                <w:lang w:eastAsia="zh-CN"/>
              </w:rPr>
              <w:t>下降</w:t>
            </w:r>
            <w:r>
              <w:rPr>
                <w:rFonts w:hint="default" w:ascii="Times New Roman" w:hAnsi="Times New Roman" w:eastAsia="宋体" w:cs="Times New Roman"/>
                <w:color w:val="auto"/>
                <w:sz w:val="24"/>
                <w:szCs w:val="24"/>
                <w:highlight w:val="none"/>
              </w:rPr>
              <w:t>，气体内含的较大颗粒杂物便自然沉降入塔底部，而</w:t>
            </w:r>
            <w:r>
              <w:rPr>
                <w:rFonts w:hint="eastAsia" w:ascii="Times New Roman" w:hAnsi="Times New Roman" w:eastAsia="宋体" w:cs="Times New Roman"/>
                <w:color w:val="auto"/>
                <w:sz w:val="24"/>
                <w:szCs w:val="24"/>
                <w:highlight w:val="none"/>
                <w:lang w:eastAsia="zh-CN"/>
              </w:rPr>
              <w:t>融入</w:t>
            </w:r>
            <w:r>
              <w:rPr>
                <w:rFonts w:hint="default" w:ascii="Times New Roman" w:hAnsi="Times New Roman" w:eastAsia="宋体" w:cs="Times New Roman"/>
                <w:color w:val="auto"/>
                <w:sz w:val="24"/>
                <w:szCs w:val="24"/>
                <w:highlight w:val="none"/>
              </w:rPr>
              <w:t>气体内的有机气体部分随气体流向流进活性炭过滤层，有机气体进入炭层时，有机气体被活性炭吸附进炭内，而干净的空气穿过炭层进入出气仓，气体经过机械自吸后排入大气中。</w:t>
            </w:r>
          </w:p>
          <w:p w14:paraId="6552FE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000000"/>
                <w:sz w:val="24"/>
                <w:szCs w:val="24"/>
                <w:lang w:val="en-US" w:eastAsia="zh-CN"/>
              </w:rPr>
              <w:t>本项目采用颗粒</w:t>
            </w:r>
            <w:r>
              <w:rPr>
                <w:rFonts w:hint="default" w:ascii="Times New Roman" w:hAnsi="Times New Roman" w:eastAsia="宋体" w:cs="Times New Roman"/>
                <w:color w:val="000000"/>
                <w:sz w:val="24"/>
                <w:szCs w:val="24"/>
                <w:lang w:val="en-US" w:eastAsia="zh-CN"/>
              </w:rPr>
              <w:t>活性炭，是一种具有多孔结构和大的内部比表面积的材料。由于其大的比表面积、微孔结构、高的吸附能力和很高的表面活性而成为独特的多功能吸附剂</w:t>
            </w:r>
            <w:r>
              <w:rPr>
                <w:rFonts w:hint="eastAsia" w:cs="Times New Roman"/>
                <w:color w:val="000000"/>
                <w:sz w:val="24"/>
                <w:szCs w:val="24"/>
                <w:lang w:val="en-US" w:eastAsia="zh-CN"/>
              </w:rPr>
              <w:t>且</w:t>
            </w:r>
            <w:r>
              <w:rPr>
                <w:rFonts w:hint="default" w:ascii="Times New Roman" w:hAnsi="Times New Roman" w:eastAsia="宋体" w:cs="Times New Roman"/>
                <w:color w:val="000000"/>
                <w:sz w:val="24"/>
                <w:szCs w:val="24"/>
                <w:lang w:val="en-US" w:eastAsia="zh-CN"/>
              </w:rPr>
              <w:t>其价廉易得，可再生活化，同时它可有效去除废水、废气中的大部分有机物和某些无机物，所以它被世界各国广泛地应用于污水及废气的处理、空气净化、回收溶剂等环境保护和资源回收等领域。活性炭分为粉末活性炭、粒状活性炭及活性炭纤维，但是由于粉末活性炭产生二次污染且不能再生而被限制使用。粒状活性炭粒径500～5000μm，有机废气通过吸附床，与活性炭接触，废气中的有机污染物被吸附在活性炭表面，从而从气流中脱离出来，达到净化效果。采用颗粒活性炭作为吸附剂时，其碘值不宜低于800mg/g。一次性活性炭吸附工艺宜采用颗粒活性炭作为吸附剂。活性炭、活性炭纤维产品销售时应提供产品质量证明材料，项目计</w:t>
            </w:r>
            <w:r>
              <w:rPr>
                <w:rFonts w:hint="default" w:ascii="Times New Roman" w:hAnsi="Times New Roman" w:eastAsia="宋体" w:cs="Times New Roman"/>
                <w:color w:val="auto"/>
                <w:sz w:val="24"/>
                <w:szCs w:val="24"/>
                <w:lang w:val="en-US" w:eastAsia="zh-CN"/>
              </w:rPr>
              <w:t>划每</w:t>
            </w:r>
            <w:r>
              <w:rPr>
                <w:rFonts w:hint="eastAsia"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个月更换一次活性炭。活性炭对</w:t>
            </w:r>
            <w:r>
              <w:rPr>
                <w:rFonts w:hint="default" w:ascii="Times New Roman" w:hAnsi="Times New Roman" w:eastAsia="宋体" w:cs="Times New Roman"/>
                <w:color w:val="000000"/>
                <w:sz w:val="24"/>
                <w:szCs w:val="24"/>
                <w:lang w:val="en-US" w:eastAsia="zh-CN"/>
              </w:rPr>
              <w:t>有机废气具有良好的吸附效果，可使得有机废气处理能力达</w:t>
            </w:r>
            <w:r>
              <w:rPr>
                <w:rFonts w:hint="default" w:ascii="Times New Roman" w:hAnsi="Times New Roman" w:eastAsia="宋体" w:cs="Times New Roman"/>
                <w:color w:val="auto"/>
                <w:sz w:val="24"/>
                <w:szCs w:val="24"/>
                <w:lang w:val="en-US" w:eastAsia="zh-CN"/>
              </w:rPr>
              <w:t>到</w:t>
            </w:r>
            <w:r>
              <w:rPr>
                <w:rFonts w:hint="eastAsia" w:ascii="Times New Roman" w:hAnsi="Times New Roman" w:eastAsia="宋体" w:cs="Times New Roman"/>
                <w:color w:val="auto"/>
                <w:sz w:val="24"/>
                <w:szCs w:val="24"/>
                <w:lang w:val="en-US" w:eastAsia="zh-CN"/>
              </w:rPr>
              <w:t>75</w:t>
            </w:r>
            <w:r>
              <w:rPr>
                <w:rFonts w:hint="default" w:ascii="Times New Roman" w:hAnsi="Times New Roman" w:eastAsia="宋体" w:cs="Times New Roman"/>
                <w:color w:val="auto"/>
                <w:sz w:val="24"/>
                <w:szCs w:val="24"/>
                <w:lang w:val="en-US" w:eastAsia="zh-CN"/>
              </w:rPr>
              <w:t>%以上。</w:t>
            </w:r>
          </w:p>
          <w:p w14:paraId="524638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废气停留时间计算</w:t>
            </w:r>
          </w:p>
          <w:p w14:paraId="5B3360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拟建项目</w:t>
            </w:r>
            <w:r>
              <w:rPr>
                <w:rFonts w:hint="default" w:ascii="Times New Roman" w:hAnsi="Times New Roman" w:eastAsia="宋体" w:cs="Times New Roman"/>
                <w:color w:val="auto"/>
                <w:sz w:val="24"/>
                <w:szCs w:val="24"/>
                <w:highlight w:val="none"/>
                <w:lang w:val="en-US" w:eastAsia="zh-CN"/>
              </w:rPr>
              <w:t>DA00</w:t>
            </w:r>
            <w:r>
              <w:rPr>
                <w:rFonts w:hint="eastAsia" w:ascii="Times New Roman" w:hAnsi="Times New Roman" w:eastAsia="宋体" w:cs="Times New Roman"/>
                <w:color w:val="auto"/>
                <w:sz w:val="24"/>
                <w:szCs w:val="24"/>
                <w:highlight w:val="none"/>
                <w:lang w:val="en-US" w:eastAsia="zh-CN"/>
              </w:rPr>
              <w:t>1排气筒配套的活性炭吸附装置对应的风量为</w:t>
            </w:r>
            <w:r>
              <w:rPr>
                <w:rFonts w:hint="eastAsia" w:ascii="Times New Roman" w:hAnsi="Times New Roman" w:cs="Times New Roman"/>
                <w:color w:val="auto"/>
                <w:sz w:val="24"/>
                <w:szCs w:val="24"/>
                <w:highlight w:val="none"/>
                <w:lang w:val="en-US" w:eastAsia="zh-CN"/>
              </w:rPr>
              <w:t>8000</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ascii="Times New Roman" w:hAnsi="Times New Roman" w:cs="Times New Roman"/>
                <w:color w:val="auto"/>
                <w:sz w:val="24"/>
                <w:szCs w:val="24"/>
                <w:highlight w:val="none"/>
                <w:lang w:val="en-US" w:eastAsia="zh-CN"/>
              </w:rPr>
              <w:t>2.2222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，孔隙度取</w:t>
            </w:r>
            <w:r>
              <w:rPr>
                <w:rFonts w:hint="default" w:ascii="Times New Roman" w:hAnsi="Times New Roman" w:eastAsia="宋体" w:cs="Times New Roman"/>
                <w:color w:val="auto"/>
                <w:sz w:val="24"/>
                <w:szCs w:val="24"/>
                <w:highlight w:val="none"/>
                <w:lang w:val="en-US" w:eastAsia="zh-CN"/>
              </w:rPr>
              <w:t>0.75</w:t>
            </w:r>
            <w:r>
              <w:rPr>
                <w:rFonts w:hint="eastAsia" w:ascii="Times New Roman" w:hAnsi="Times New Roman" w:eastAsia="宋体" w:cs="Times New Roman"/>
                <w:color w:val="auto"/>
                <w:sz w:val="24"/>
                <w:szCs w:val="24"/>
                <w:highlight w:val="none"/>
                <w:lang w:val="en-US" w:eastAsia="zh-CN"/>
              </w:rPr>
              <w:t>，过滤风速</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风量</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宽度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高度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孔隙率；则过滤风速</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2.2222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/0.75=</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2315</w:t>
            </w:r>
            <w:r>
              <w:rPr>
                <w:rFonts w:hint="default" w:ascii="Times New Roman" w:hAnsi="Times New Roman" w:eastAsia="宋体" w:cs="Times New Roman"/>
                <w:color w:val="auto"/>
                <w:sz w:val="24"/>
                <w:szCs w:val="24"/>
                <w:highlight w:val="none"/>
                <w:lang w:val="en-US" w:eastAsia="zh-CN"/>
              </w:rPr>
              <w:t>m/s</w:t>
            </w:r>
            <w:r>
              <w:rPr>
                <w:rFonts w:hint="eastAsia" w:ascii="Times New Roman" w:hAnsi="Times New Roman" w:eastAsia="宋体" w:cs="Times New Roman"/>
                <w:color w:val="auto"/>
                <w:sz w:val="24"/>
                <w:szCs w:val="24"/>
                <w:highlight w:val="none"/>
                <w:lang w:val="en-US" w:eastAsia="zh-CN"/>
              </w:rPr>
              <w:t>满足《吸附法工业有机废气治理工程技术规范（</w:t>
            </w:r>
            <w:r>
              <w:rPr>
                <w:rFonts w:hint="default" w:ascii="Times New Roman" w:hAnsi="Times New Roman" w:eastAsia="宋体" w:cs="Times New Roman"/>
                <w:color w:val="auto"/>
                <w:sz w:val="24"/>
                <w:szCs w:val="24"/>
                <w:highlight w:val="none"/>
                <w:lang w:val="en-US" w:eastAsia="zh-CN"/>
              </w:rPr>
              <w:t>HJ2026-2013</w:t>
            </w:r>
            <w:r>
              <w:rPr>
                <w:rFonts w:hint="eastAsia" w:ascii="Times New Roman" w:hAnsi="Times New Roman" w:eastAsia="宋体" w:cs="Times New Roman"/>
                <w:color w:val="auto"/>
                <w:sz w:val="24"/>
                <w:szCs w:val="24"/>
                <w:highlight w:val="none"/>
                <w:lang w:val="en-US" w:eastAsia="zh-CN"/>
              </w:rPr>
              <w:t>）》中“采用颗粒状吸附剂时，气体流速宜低于</w:t>
            </w:r>
            <w:r>
              <w:rPr>
                <w:rFonts w:hint="default" w:ascii="Times New Roman" w:hAnsi="Times New Roman" w:eastAsia="宋体" w:cs="Times New Roman"/>
                <w:color w:val="auto"/>
                <w:sz w:val="24"/>
                <w:szCs w:val="24"/>
                <w:highlight w:val="none"/>
                <w:lang w:val="en-US" w:eastAsia="zh-CN"/>
              </w:rPr>
              <w:t>0.6m/s</w:t>
            </w:r>
            <w:r>
              <w:rPr>
                <w:rFonts w:hint="eastAsia" w:ascii="Times New Roman" w:hAnsi="Times New Roman" w:eastAsia="宋体" w:cs="Times New Roman"/>
                <w:color w:val="auto"/>
                <w:sz w:val="24"/>
                <w:szCs w:val="24"/>
                <w:highlight w:val="none"/>
                <w:lang w:val="en-US" w:eastAsia="zh-CN"/>
              </w:rPr>
              <w:t>”的要求；活性炭吸附停留时间</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活性炭吸附长度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过滤风速</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2315</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8639</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，符合吸附工程设计要求吸附剂与气体接触时间大于</w:t>
            </w:r>
            <w:r>
              <w:rPr>
                <w:rFonts w:hint="default" w:ascii="Times New Roman" w:hAnsi="Times New Roman" w:eastAsia="宋体" w:cs="Times New Roman"/>
                <w:color w:val="auto"/>
                <w:sz w:val="24"/>
                <w:szCs w:val="24"/>
                <w:highlight w:val="none"/>
                <w:lang w:val="en-US" w:eastAsia="zh-CN"/>
              </w:rPr>
              <w:t>0.5s</w:t>
            </w:r>
            <w:r>
              <w:rPr>
                <w:rFonts w:hint="eastAsia" w:ascii="Times New Roman" w:hAnsi="Times New Roman" w:eastAsia="宋体" w:cs="Times New Roman"/>
                <w:color w:val="auto"/>
                <w:sz w:val="24"/>
                <w:szCs w:val="24"/>
                <w:highlight w:val="none"/>
                <w:lang w:val="en-US" w:eastAsia="zh-CN"/>
              </w:rPr>
              <w:t>的要求。</w:t>
            </w:r>
          </w:p>
          <w:p w14:paraId="082997C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B.</w:t>
            </w:r>
            <w:r>
              <w:rPr>
                <w:rFonts w:hint="eastAsia" w:ascii="Times New Roman" w:hAnsi="Times New Roman" w:eastAsia="宋体" w:cs="Times New Roman"/>
                <w:color w:val="auto"/>
                <w:sz w:val="24"/>
                <w:szCs w:val="24"/>
                <w:lang w:val="en-US" w:eastAsia="zh-CN"/>
              </w:rPr>
              <w:t>更换周期计算</w:t>
            </w:r>
          </w:p>
          <w:p w14:paraId="127C7E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经对照《深圳市工业有机废气治理用活性炭更换技术指引（试行）》（深环办〔2023〕66号）中一次活性炭吸附工艺的更换周期计算公式，由表</w:t>
            </w:r>
            <w:r>
              <w:rPr>
                <w:rFonts w:hint="default" w:ascii="Times New Roman" w:hAnsi="Times New Roman" w:eastAsia="宋体" w:cs="Times New Roman"/>
                <w:color w:val="auto"/>
                <w:sz w:val="24"/>
                <w:szCs w:val="24"/>
                <w:highlight w:val="none"/>
                <w:lang w:val="en-US" w:eastAsia="zh-CN"/>
              </w:rPr>
              <w:t>4.</w:t>
            </w:r>
            <w:r>
              <w:rPr>
                <w:rFonts w:hint="eastAsia" w:cs="Times New Roman"/>
                <w:color w:val="auto"/>
                <w:sz w:val="24"/>
                <w:szCs w:val="24"/>
                <w:highlight w:val="none"/>
                <w:lang w:val="en-US" w:eastAsia="zh-CN"/>
              </w:rPr>
              <w:t>1-4</w:t>
            </w:r>
            <w:r>
              <w:rPr>
                <w:rFonts w:hint="eastAsia" w:ascii="Times New Roman" w:hAnsi="Times New Roman" w:eastAsia="宋体" w:cs="Times New Roman"/>
                <w:color w:val="auto"/>
                <w:sz w:val="24"/>
                <w:szCs w:val="24"/>
                <w:highlight w:val="none"/>
                <w:lang w:val="en-US" w:eastAsia="zh-CN"/>
              </w:rPr>
              <w:t>分析可知，本项目理论更换周期</w:t>
            </w:r>
            <w:r>
              <w:rPr>
                <w:rFonts w:hint="eastAsia" w:cs="Times New Roman"/>
                <w:color w:val="auto"/>
                <w:sz w:val="24"/>
                <w:szCs w:val="24"/>
                <w:highlight w:val="none"/>
                <w:lang w:val="en-US" w:eastAsia="zh-CN"/>
              </w:rPr>
              <w:t>98</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，设计</w:t>
            </w:r>
            <w:r>
              <w:rPr>
                <w:rFonts w:hint="eastAsia"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，满足该规范要求。</w:t>
            </w:r>
          </w:p>
          <w:p w14:paraId="04E9F5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更换周期计算公式：T=（M×S</w:t>
            </w:r>
            <w:r>
              <w:rPr>
                <w:rFonts w:hint="default" w:ascii="Times New Roman" w:hAnsi="Times New Roman" w:eastAsia="宋体" w:cs="Times New Roman"/>
                <w:color w:val="auto"/>
                <w:sz w:val="24"/>
                <w:szCs w:val="24"/>
                <w:highlight w:val="none"/>
                <w:lang w:val="en-US" w:eastAsia="zh-CN"/>
              </w:rPr>
              <w:t>×10 6</w:t>
            </w:r>
            <w:r>
              <w:rPr>
                <w:rFonts w:hint="eastAsia"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lang w:val="en-US" w:eastAsia="zh-CN"/>
              </w:rPr>
              <w:t>×Q×t</w:t>
            </w:r>
            <w:r>
              <w:rPr>
                <w:rFonts w:hint="eastAsia" w:ascii="Times New Roman" w:hAnsi="Times New Roman" w:eastAsia="宋体" w:cs="Times New Roman"/>
                <w:color w:val="auto"/>
                <w:sz w:val="24"/>
                <w:szCs w:val="24"/>
                <w:highlight w:val="none"/>
                <w:lang w:val="en-US" w:eastAsia="zh-CN"/>
              </w:rPr>
              <w:t>)</w:t>
            </w:r>
          </w:p>
          <w:p w14:paraId="4F97D8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drawing>
                <wp:inline distT="0" distB="0" distL="114300" distR="114300">
                  <wp:extent cx="5337175" cy="2501265"/>
                  <wp:effectExtent l="0" t="0" r="12065" b="133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5"/>
                          <a:stretch>
                            <a:fillRect/>
                          </a:stretch>
                        </pic:blipFill>
                        <pic:spPr>
                          <a:xfrm>
                            <a:off x="0" y="0"/>
                            <a:ext cx="5337175" cy="2501265"/>
                          </a:xfrm>
                          <a:prstGeom prst="rect">
                            <a:avLst/>
                          </a:prstGeom>
                          <a:noFill/>
                          <a:ln>
                            <a:noFill/>
                          </a:ln>
                        </pic:spPr>
                      </pic:pic>
                    </a:graphicData>
                  </a:graphic>
                </wp:inline>
              </w:drawing>
            </w:r>
          </w:p>
          <w:p w14:paraId="6C1A6D43">
            <w:pPr>
              <w:pStyle w:val="50"/>
              <w:keepNext w:val="0"/>
              <w:keepLines w:val="0"/>
              <w:pageBreakBefore w:val="0"/>
              <w:widowControl w:val="0"/>
              <w:kinsoku/>
              <w:wordWrap/>
              <w:overflowPunct/>
              <w:topLinePunct w:val="0"/>
              <w:autoSpaceDE/>
              <w:autoSpaceDN/>
              <w:bidi w:val="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表4.</w:t>
            </w:r>
            <w:r>
              <w:rPr>
                <w:rFonts w:hint="eastAsia" w:cs="Times New Roman"/>
                <w:color w:val="auto"/>
                <w:lang w:val="en-US" w:eastAsia="zh-CN"/>
              </w:rPr>
              <w:t>1-4</w:t>
            </w:r>
            <w:r>
              <w:rPr>
                <w:rFonts w:hint="eastAsia" w:ascii="Times New Roman" w:hAnsi="Times New Roman" w:eastAsia="宋体" w:cs="Times New Roman"/>
                <w:color w:val="auto"/>
                <w:lang w:val="en-US" w:eastAsia="zh-CN"/>
              </w:rPr>
              <w:t xml:space="preserve"> 更换周期参数表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202"/>
              <w:gridCol w:w="1202"/>
              <w:gridCol w:w="1202"/>
              <w:gridCol w:w="1202"/>
              <w:gridCol w:w="1202"/>
              <w:gridCol w:w="1202"/>
            </w:tblGrid>
            <w:tr w14:paraId="2A17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201" w:type="dxa"/>
                  <w:noWrap w:val="0"/>
                  <w:vAlign w:val="center"/>
                </w:tcPr>
                <w:p w14:paraId="0B2C38B6">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参数</w:t>
                  </w:r>
                </w:p>
              </w:tc>
              <w:tc>
                <w:tcPr>
                  <w:tcW w:w="1202" w:type="dxa"/>
                  <w:noWrap w:val="0"/>
                  <w:vAlign w:val="center"/>
                </w:tcPr>
                <w:p w14:paraId="1F3F7B8B">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w:t>
                  </w:r>
                </w:p>
              </w:tc>
              <w:tc>
                <w:tcPr>
                  <w:tcW w:w="1202" w:type="dxa"/>
                  <w:noWrap w:val="0"/>
                  <w:vAlign w:val="center"/>
                </w:tcPr>
                <w:p w14:paraId="363A8EF9">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S</w:t>
                  </w:r>
                </w:p>
              </w:tc>
              <w:tc>
                <w:tcPr>
                  <w:tcW w:w="1202" w:type="dxa"/>
                  <w:noWrap w:val="0"/>
                  <w:vAlign w:val="center"/>
                </w:tcPr>
                <w:p w14:paraId="5923A629">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c</w:t>
                  </w:r>
                </w:p>
              </w:tc>
              <w:tc>
                <w:tcPr>
                  <w:tcW w:w="1202" w:type="dxa"/>
                  <w:noWrap w:val="0"/>
                  <w:vAlign w:val="center"/>
                </w:tcPr>
                <w:p w14:paraId="3964E26E">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Q</w:t>
                  </w:r>
                </w:p>
              </w:tc>
              <w:tc>
                <w:tcPr>
                  <w:tcW w:w="1202" w:type="dxa"/>
                  <w:noWrap w:val="0"/>
                  <w:vAlign w:val="center"/>
                </w:tcPr>
                <w:p w14:paraId="7577035E">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t</w:t>
                  </w:r>
                </w:p>
              </w:tc>
              <w:tc>
                <w:tcPr>
                  <w:tcW w:w="1202" w:type="dxa"/>
                  <w:noWrap w:val="0"/>
                  <w:vAlign w:val="center"/>
                </w:tcPr>
                <w:p w14:paraId="20BDF03A">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T</w:t>
                  </w:r>
                </w:p>
              </w:tc>
            </w:tr>
            <w:tr w14:paraId="62D1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201" w:type="dxa"/>
                  <w:noWrap w:val="0"/>
                  <w:vAlign w:val="center"/>
                </w:tcPr>
                <w:p w14:paraId="062C1705">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单位</w:t>
                  </w:r>
                </w:p>
              </w:tc>
              <w:tc>
                <w:tcPr>
                  <w:tcW w:w="1202" w:type="dxa"/>
                  <w:noWrap w:val="0"/>
                  <w:vAlign w:val="center"/>
                </w:tcPr>
                <w:p w14:paraId="3C4F7B25">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kg</w:t>
                  </w:r>
                </w:p>
              </w:tc>
              <w:tc>
                <w:tcPr>
                  <w:tcW w:w="1202" w:type="dxa"/>
                  <w:noWrap w:val="0"/>
                  <w:vAlign w:val="center"/>
                </w:tcPr>
                <w:p w14:paraId="7AEA8ADC">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w:t>
                  </w:r>
                </w:p>
              </w:tc>
              <w:tc>
                <w:tcPr>
                  <w:tcW w:w="1202" w:type="dxa"/>
                  <w:noWrap w:val="0"/>
                  <w:vAlign w:val="center"/>
                </w:tcPr>
                <w:p w14:paraId="0EF1D91C">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mg/m</w:t>
                  </w:r>
                  <w:r>
                    <w:rPr>
                      <w:rFonts w:hint="eastAsia" w:ascii="Times New Roman" w:hAnsi="Times New Roman" w:eastAsia="宋体" w:cs="Times New Roman"/>
                      <w:color w:val="auto"/>
                      <w:vertAlign w:val="superscript"/>
                      <w:lang w:val="en-US" w:eastAsia="zh-CN"/>
                    </w:rPr>
                    <w:t>3</w:t>
                  </w:r>
                </w:p>
              </w:tc>
              <w:tc>
                <w:tcPr>
                  <w:tcW w:w="1202" w:type="dxa"/>
                  <w:noWrap w:val="0"/>
                  <w:vAlign w:val="center"/>
                </w:tcPr>
                <w:p w14:paraId="498E41FF">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/h</w:t>
                  </w:r>
                </w:p>
              </w:tc>
              <w:tc>
                <w:tcPr>
                  <w:tcW w:w="1202" w:type="dxa"/>
                  <w:noWrap w:val="0"/>
                  <w:vAlign w:val="center"/>
                </w:tcPr>
                <w:p w14:paraId="7E61975B">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h/d</w:t>
                  </w:r>
                </w:p>
              </w:tc>
              <w:tc>
                <w:tcPr>
                  <w:tcW w:w="1202" w:type="dxa"/>
                  <w:noWrap w:val="0"/>
                  <w:vAlign w:val="center"/>
                </w:tcPr>
                <w:p w14:paraId="7926F5DE">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d</w:t>
                  </w:r>
                </w:p>
              </w:tc>
            </w:tr>
            <w:tr w14:paraId="1168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201" w:type="dxa"/>
                  <w:noWrap w:val="0"/>
                  <w:vAlign w:val="center"/>
                </w:tcPr>
                <w:p w14:paraId="0AD4EC05">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选取值</w:t>
                  </w:r>
                </w:p>
              </w:tc>
              <w:tc>
                <w:tcPr>
                  <w:tcW w:w="1202" w:type="dxa"/>
                  <w:noWrap w:val="0"/>
                  <w:vAlign w:val="center"/>
                </w:tcPr>
                <w:p w14:paraId="20BB5EAD">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699.1</w:t>
                  </w:r>
                </w:p>
              </w:tc>
              <w:tc>
                <w:tcPr>
                  <w:tcW w:w="1202" w:type="dxa"/>
                  <w:noWrap w:val="0"/>
                  <w:vAlign w:val="center"/>
                </w:tcPr>
                <w:p w14:paraId="01CA2960">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10</w:t>
                  </w:r>
                </w:p>
              </w:tc>
              <w:tc>
                <w:tcPr>
                  <w:tcW w:w="1202" w:type="dxa"/>
                  <w:noWrap w:val="0"/>
                  <w:vAlign w:val="center"/>
                </w:tcPr>
                <w:p w14:paraId="2736CC2E">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11.2</w:t>
                  </w:r>
                </w:p>
              </w:tc>
              <w:tc>
                <w:tcPr>
                  <w:tcW w:w="1202" w:type="dxa"/>
                  <w:noWrap w:val="0"/>
                  <w:vAlign w:val="center"/>
                </w:tcPr>
                <w:p w14:paraId="249EDA23">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8000</w:t>
                  </w:r>
                </w:p>
              </w:tc>
              <w:tc>
                <w:tcPr>
                  <w:tcW w:w="1202" w:type="dxa"/>
                  <w:noWrap w:val="0"/>
                  <w:vAlign w:val="center"/>
                </w:tcPr>
                <w:p w14:paraId="6D3C0718">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8</w:t>
                  </w:r>
                </w:p>
              </w:tc>
              <w:tc>
                <w:tcPr>
                  <w:tcW w:w="1202" w:type="dxa"/>
                  <w:noWrap w:val="0"/>
                  <w:vAlign w:val="center"/>
                </w:tcPr>
                <w:p w14:paraId="189B9D38">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98</w:t>
                  </w:r>
                </w:p>
              </w:tc>
            </w:tr>
          </w:tbl>
          <w:p w14:paraId="061095AB">
            <w:pPr>
              <w:pStyle w:val="50"/>
              <w:keepNext w:val="0"/>
              <w:keepLines w:val="0"/>
              <w:pageBreakBefore w:val="0"/>
              <w:widowControl w:val="0"/>
              <w:kinsoku/>
              <w:wordWrap/>
              <w:overflowPunct/>
              <w:topLinePunct w:val="0"/>
              <w:autoSpaceDE/>
              <w:autoSpaceDN/>
              <w:bidi w:val="0"/>
              <w:textAlignment w:val="auto"/>
              <w:rPr>
                <w:rFonts w:hint="default" w:ascii="Times New Roman" w:hAnsi="Times New Roman" w:eastAsia="宋体" w:cs="Times New Roman"/>
                <w:color w:val="auto"/>
                <w:lang w:val="en-US" w:eastAsia="zh-CN"/>
              </w:rPr>
            </w:pPr>
          </w:p>
          <w:p w14:paraId="346B24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C.</w:t>
            </w:r>
            <w:r>
              <w:rPr>
                <w:rFonts w:hint="eastAsia" w:ascii="Times New Roman" w:hAnsi="Times New Roman" w:eastAsia="宋体" w:cs="Times New Roman"/>
                <w:b w:val="0"/>
                <w:bCs w:val="0"/>
                <w:color w:val="auto"/>
                <w:sz w:val="24"/>
                <w:szCs w:val="24"/>
                <w:lang w:val="en-US" w:eastAsia="zh-CN"/>
              </w:rPr>
              <w:t>治理效率要求及可靠性分析</w:t>
            </w:r>
          </w:p>
          <w:p w14:paraId="2DA63B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生态环境部发布</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关于印发〈主要污染物总量减排核算技术指南（2022年修订）〉的通知》〔2022〕350号中规定</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一次性活性炭的吸附效率50%。采用二级活性炭吸附效率为1-（1%～50%）</w:t>
            </w:r>
            <w:r>
              <w:rPr>
                <w:rFonts w:hint="default" w:ascii="Arial" w:hAnsi="Arial" w:eastAsia="宋体" w:cs="Arial"/>
                <w:color w:val="auto"/>
                <w:sz w:val="24"/>
                <w:szCs w:val="24"/>
                <w:lang w:val="en-US" w:eastAsia="zh-CN"/>
              </w:rPr>
              <w:t>×</w:t>
            </w:r>
            <w:r>
              <w:rPr>
                <w:rFonts w:hint="eastAsia" w:ascii="Times New Roman" w:hAnsi="Times New Roman" w:eastAsia="宋体" w:cs="Times New Roman"/>
                <w:color w:val="auto"/>
                <w:sz w:val="24"/>
                <w:szCs w:val="24"/>
                <w:lang w:val="en-US" w:eastAsia="zh-CN"/>
              </w:rPr>
              <w:t>（1%～50%）=75%。</w:t>
            </w:r>
            <w:r>
              <w:rPr>
                <w:rFonts w:hint="default" w:ascii="Times New Roman" w:hAnsi="Times New Roman" w:eastAsia="宋体" w:cs="Times New Roman"/>
                <w:color w:val="auto"/>
                <w:sz w:val="24"/>
                <w:szCs w:val="24"/>
                <w:lang w:val="en-US" w:eastAsia="zh-CN"/>
              </w:rPr>
              <w:t>为保证废气与活性炭的接触时间和吸附效果，要求控制吸附</w:t>
            </w:r>
            <w:r>
              <w:rPr>
                <w:rFonts w:hint="eastAsia" w:ascii="Times New Roman" w:hAnsi="Times New Roman" w:eastAsia="宋体" w:cs="Times New Roman"/>
                <w:color w:val="auto"/>
                <w:sz w:val="24"/>
                <w:szCs w:val="24"/>
                <w:lang w:val="en-US" w:eastAsia="zh-CN"/>
              </w:rPr>
              <w:t>装</w:t>
            </w:r>
            <w:r>
              <w:rPr>
                <w:rFonts w:hint="default" w:ascii="Times New Roman" w:hAnsi="Times New Roman" w:eastAsia="宋体" w:cs="Times New Roman"/>
                <w:color w:val="auto"/>
                <w:sz w:val="24"/>
                <w:szCs w:val="24"/>
                <w:lang w:val="en-US" w:eastAsia="zh-CN"/>
              </w:rPr>
              <w:t>置吸附层的风速，一般取0.10m/s～0.15m/s之间；吸附剂和气体的接触时间宜按不低于3s计；同时确保项目活性炭吸附装置一次性装置量，定期更换活性纤维，采取以上治理措</w:t>
            </w:r>
            <w:r>
              <w:rPr>
                <w:rFonts w:hint="eastAsia" w:cs="Times New Roman"/>
                <w:color w:val="auto"/>
                <w:sz w:val="24"/>
                <w:szCs w:val="24"/>
                <w:lang w:val="en-US" w:eastAsia="zh-CN"/>
              </w:rPr>
              <w:t>施和</w:t>
            </w:r>
            <w:r>
              <w:rPr>
                <w:rFonts w:hint="default" w:ascii="Times New Roman" w:hAnsi="Times New Roman" w:eastAsia="宋体" w:cs="Times New Roman"/>
                <w:color w:val="auto"/>
                <w:sz w:val="24"/>
                <w:szCs w:val="24"/>
                <w:lang w:val="en-US" w:eastAsia="zh-CN"/>
              </w:rPr>
              <w:t>综合治理措施后，本评价废气设施去除效率按</w:t>
            </w:r>
            <w:r>
              <w:rPr>
                <w:rFonts w:hint="eastAsia" w:ascii="Times New Roman" w:hAnsi="Times New Roman" w:eastAsia="宋体" w:cs="Times New Roman"/>
                <w:color w:val="auto"/>
                <w:sz w:val="24"/>
                <w:szCs w:val="24"/>
                <w:lang w:val="en-US" w:eastAsia="zh-CN"/>
              </w:rPr>
              <w:t>75</w:t>
            </w:r>
            <w:r>
              <w:rPr>
                <w:rFonts w:hint="default" w:ascii="Times New Roman" w:hAnsi="Times New Roman" w:eastAsia="宋体" w:cs="Times New Roman"/>
                <w:color w:val="auto"/>
                <w:sz w:val="24"/>
                <w:szCs w:val="24"/>
                <w:lang w:val="en-US" w:eastAsia="zh-CN"/>
              </w:rPr>
              <w:t>%计，根据预测，有机废气污染物非甲烷总烃可以达标排放，因此，项目有机废气经处理后对环境影响较小，采取的措施可行。</w:t>
            </w:r>
          </w:p>
          <w:p w14:paraId="0C9ECFA7">
            <w:pPr>
              <w:pStyle w:val="49"/>
              <w:ind w:firstLine="480"/>
              <w:jc w:val="both"/>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（3）集气罩收集效率可行性分析</w:t>
            </w:r>
          </w:p>
          <w:p w14:paraId="44C82ECB">
            <w:pPr>
              <w:pStyle w:val="49"/>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根据《废气处理工程设计手册》（王纯、张殷印主编）中的经验公式：</w:t>
            </w:r>
          </w:p>
          <w:p w14:paraId="582B0C2B">
            <w:pPr>
              <w:pStyle w:val="49"/>
              <w:ind w:firstLine="48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Q=3600Fvβ</w:t>
            </w:r>
          </w:p>
          <w:p w14:paraId="1B45ED3F">
            <w:pPr>
              <w:pStyle w:val="49"/>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其中：Q为集气罩的计算风量m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p>
          <w:p w14:paraId="2C11550A">
            <w:pPr>
              <w:pStyle w:val="49"/>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V罩口平均速度，m/s。可取0.5~1.5。本项目取0.5。</w:t>
            </w:r>
          </w:p>
          <w:p w14:paraId="63300EDD">
            <w:pPr>
              <w:pStyle w:val="49"/>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F罩口面积m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，注塑机上方集气罩尺寸为0.5m、0.</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m，共计设置</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个，则集气罩共计面积为</w:t>
            </w:r>
            <w:r>
              <w:rPr>
                <w:rFonts w:hint="eastAsia" w:cs="Times New Roman"/>
                <w:color w:val="auto"/>
                <w:sz w:val="24"/>
                <w:szCs w:val="24"/>
                <w:lang w:val="en-US" w:eastAsia="zh-CN"/>
              </w:rPr>
              <w:t>3.5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p>
          <w:p w14:paraId="1498DADE">
            <w:pPr>
              <w:pStyle w:val="49"/>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β—安全系数，一般取1.05~1.1，本环评取1.1：</w:t>
            </w:r>
          </w:p>
          <w:p w14:paraId="028D05E5">
            <w:pPr>
              <w:pStyle w:val="49"/>
              <w:ind w:firstLine="480"/>
              <w:jc w:val="both"/>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计算可得，风机总风量为</w:t>
            </w:r>
            <w:r>
              <w:rPr>
                <w:rFonts w:hint="eastAsia" w:cs="Times New Roman"/>
                <w:color w:val="auto"/>
                <w:sz w:val="24"/>
                <w:szCs w:val="24"/>
                <w:lang w:val="en-US" w:eastAsia="zh-CN"/>
              </w:rPr>
              <w:t>6930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/h，考虑管阻等因素，引风机风量按不低于120%的集气罩风量进行设计，项目引风机风量按</w:t>
            </w:r>
            <w:r>
              <w:rPr>
                <w:rFonts w:hint="eastAsia" w:cs="Times New Roman"/>
                <w:color w:val="auto"/>
                <w:sz w:val="24"/>
                <w:szCs w:val="24"/>
                <w:lang w:val="en-US" w:eastAsia="zh-CN"/>
              </w:rPr>
              <w:t>8000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/h进行设计。</w:t>
            </w:r>
          </w:p>
          <w:p w14:paraId="5636F706">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（3）污染物达标分析</w:t>
            </w:r>
          </w:p>
          <w:p w14:paraId="39C450D1">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000000"/>
                <w:highlight w:val="none"/>
                <w:lang w:val="en-US" w:eastAsia="zh-CN"/>
              </w:rPr>
              <w:t>本项目非甲烷总烃有组织排放浓度为</w:t>
            </w:r>
            <w:r>
              <w:rPr>
                <w:rFonts w:hint="eastAsia" w:ascii="Times New Roman" w:hAnsi="Times New Roman" w:cs="Times New Roman"/>
                <w:color w:val="000000"/>
                <w:highlight w:val="none"/>
                <w:lang w:val="en-US" w:eastAsia="zh-CN"/>
              </w:rPr>
              <w:t>3.74</w:t>
            </w:r>
            <w:r>
              <w:rPr>
                <w:rFonts w:hint="eastAsia" w:ascii="Times New Roman" w:hAnsi="Times New Roman" w:eastAsia="宋体" w:cs="Times New Roman"/>
                <w:color w:val="000000"/>
                <w:highlight w:val="none"/>
                <w:lang w:val="en-US" w:eastAsia="zh-CN"/>
              </w:rPr>
              <w:t>mg/m</w:t>
            </w:r>
            <w:r>
              <w:rPr>
                <w:rFonts w:hint="eastAsia" w:ascii="Times New Roman" w:hAnsi="Times New Roman" w:eastAsia="宋体" w:cs="Times New Roman"/>
                <w:color w:val="000000"/>
                <w:highlight w:val="none"/>
                <w:vertAlign w:val="superscript"/>
                <w:lang w:val="en-US" w:eastAsia="zh-CN"/>
              </w:rPr>
              <w:t>3</w:t>
            </w:r>
            <w:r>
              <w:rPr>
                <w:rFonts w:hint="eastAsia" w:ascii="Times New Roman" w:hAnsi="Times New Roman" w:eastAsia="宋体" w:cs="Times New Roman"/>
                <w:color w:val="000000"/>
                <w:highlight w:val="none"/>
                <w:lang w:val="en-US" w:eastAsia="zh-CN"/>
              </w:rPr>
              <w:t>，排放速率为0.</w:t>
            </w:r>
            <w:r>
              <w:rPr>
                <w:rFonts w:hint="eastAsia" w:ascii="Times New Roman" w:hAnsi="Times New Roman" w:cs="Times New Roman"/>
                <w:color w:val="000000"/>
                <w:highlight w:val="none"/>
                <w:lang w:val="en-US" w:eastAsia="zh-CN"/>
              </w:rPr>
              <w:t>0299</w:t>
            </w:r>
            <w:r>
              <w:rPr>
                <w:rFonts w:hint="eastAsia" w:ascii="Times New Roman" w:hAnsi="Times New Roman" w:eastAsia="宋体" w:cs="Times New Roman"/>
                <w:color w:val="000000"/>
                <w:highlight w:val="none"/>
                <w:lang w:val="en-US" w:eastAsia="zh-CN"/>
              </w:rPr>
              <w:t>kg/h</w:t>
            </w:r>
            <w:r>
              <w:rPr>
                <w:rFonts w:hint="eastAsia" w:ascii="Times New Roman" w:hAnsi="Times New Roman"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颗粒物有组织排放浓度为</w:t>
            </w:r>
            <w:r>
              <w:rPr>
                <w:rFonts w:hint="eastAsia" w:ascii="Times New Roman" w:hAnsi="Times New Roman" w:cs="Times New Roman"/>
                <w:color w:val="000000"/>
                <w:highlight w:val="none"/>
                <w:lang w:val="en-US" w:eastAsia="zh-CN"/>
              </w:rPr>
              <w:t>0.0012mg</w:t>
            </w:r>
            <w:r>
              <w:rPr>
                <w:rFonts w:hint="eastAsia" w:ascii="Times New Roman" w:hAnsi="Times New Roman" w:eastAsia="宋体" w:cs="Times New Roman"/>
                <w:color w:val="000000"/>
                <w:highlight w:val="none"/>
                <w:lang w:val="en-US" w:eastAsia="zh-CN"/>
              </w:rPr>
              <w:t>/m</w:t>
            </w:r>
            <w:r>
              <w:rPr>
                <w:rFonts w:hint="eastAsia" w:ascii="Times New Roman" w:hAnsi="Times New Roman" w:eastAsia="宋体" w:cs="Times New Roman"/>
                <w:color w:val="000000"/>
                <w:highlight w:val="none"/>
                <w:vertAlign w:val="superscript"/>
                <w:lang w:val="en-US" w:eastAsia="zh-CN"/>
              </w:rPr>
              <w:t>3</w:t>
            </w:r>
            <w:r>
              <w:rPr>
                <w:rFonts w:hint="eastAsia" w:ascii="Times New Roman" w:hAnsi="Times New Roman" w:eastAsia="宋体" w:cs="Times New Roman"/>
                <w:color w:val="000000"/>
                <w:highlight w:val="none"/>
                <w:lang w:val="en-US" w:eastAsia="zh-CN"/>
              </w:rPr>
              <w:t>，排放速率为</w:t>
            </w:r>
            <w:r>
              <w:rPr>
                <w:rFonts w:hint="eastAsia" w:ascii="Times New Roman" w:hAnsi="Times New Roman" w:eastAsia="宋体" w:cs="Times New Roman"/>
                <w:color w:val="auto"/>
                <w:kern w:val="0"/>
                <w:sz w:val="21"/>
                <w:szCs w:val="21"/>
                <w:highlight w:val="none"/>
                <w:lang w:val="en-US" w:eastAsia="zh-CN"/>
              </w:rPr>
              <w:t>0.0</w:t>
            </w:r>
            <w:r>
              <w:rPr>
                <w:rFonts w:hint="eastAsia" w:ascii="Times New Roman" w:hAnsi="Times New Roman" w:cs="Times New Roman"/>
                <w:color w:val="auto"/>
                <w:kern w:val="0"/>
                <w:sz w:val="21"/>
                <w:szCs w:val="21"/>
                <w:highlight w:val="none"/>
                <w:lang w:val="en-US" w:eastAsia="zh-CN"/>
              </w:rPr>
              <w:t>094</w:t>
            </w:r>
            <w:r>
              <w:rPr>
                <w:rFonts w:hint="eastAsia" w:ascii="Times New Roman" w:hAnsi="Times New Roman" w:eastAsia="宋体" w:cs="Times New Roman"/>
                <w:color w:val="000000"/>
                <w:highlight w:val="none"/>
                <w:lang w:val="en-US" w:eastAsia="zh-CN"/>
              </w:rPr>
              <w:t>g/h</w:t>
            </w:r>
            <w:r>
              <w:rPr>
                <w:rFonts w:hint="eastAsia" w:ascii="Times New Roman" w:hAnsi="Times New Roman" w:cs="Times New Roman"/>
                <w:color w:val="000000"/>
                <w:highlight w:val="none"/>
                <w:lang w:val="en-US" w:eastAsia="zh-CN"/>
              </w:rPr>
              <w:t>；苯乙烯有组织排放浓度0.33mg/</w:t>
            </w:r>
            <w:r>
              <w:rPr>
                <w:rFonts w:hint="eastAsia" w:ascii="Times New Roman" w:hAnsi="Times New Roman" w:eastAsia="宋体" w:cs="Times New Roman"/>
                <w:color w:val="000000"/>
                <w:highlight w:val="none"/>
                <w:lang w:val="en-US" w:eastAsia="zh-CN"/>
              </w:rPr>
              <w:t>m</w:t>
            </w:r>
            <w:r>
              <w:rPr>
                <w:rFonts w:hint="eastAsia" w:ascii="Times New Roman" w:hAnsi="Times New Roman" w:eastAsia="宋体" w:cs="Times New Roman"/>
                <w:color w:val="000000"/>
                <w:highlight w:val="none"/>
                <w:vertAlign w:val="superscript"/>
                <w:lang w:val="en-US" w:eastAsia="zh-CN"/>
              </w:rPr>
              <w:t>3</w:t>
            </w:r>
            <w:r>
              <w:rPr>
                <w:rFonts w:hint="eastAsia" w:ascii="Times New Roman" w:hAnsi="Times New Roman" w:eastAsia="宋体" w:cs="Times New Roman"/>
                <w:color w:val="000000"/>
                <w:highlight w:val="none"/>
                <w:lang w:val="en-US" w:eastAsia="zh-CN"/>
              </w:rPr>
              <w:t>，排放速率为</w:t>
            </w:r>
            <w:r>
              <w:rPr>
                <w:rFonts w:hint="eastAsia" w:ascii="Times New Roman" w:hAnsi="Times New Roman" w:eastAsia="宋体" w:cs="Times New Roman"/>
                <w:color w:val="auto"/>
                <w:kern w:val="0"/>
                <w:sz w:val="21"/>
                <w:szCs w:val="21"/>
                <w:highlight w:val="none"/>
                <w:lang w:val="en-US" w:eastAsia="zh-CN"/>
              </w:rPr>
              <w:t>0.0</w:t>
            </w:r>
            <w:r>
              <w:rPr>
                <w:rFonts w:hint="eastAsia" w:ascii="Times New Roman" w:hAnsi="Times New Roman" w:cs="Times New Roman"/>
                <w:color w:val="auto"/>
                <w:kern w:val="0"/>
                <w:sz w:val="21"/>
                <w:szCs w:val="21"/>
                <w:highlight w:val="none"/>
                <w:lang w:val="en-US" w:eastAsia="zh-CN"/>
              </w:rPr>
              <w:t>026m</w:t>
            </w:r>
            <w:r>
              <w:rPr>
                <w:rFonts w:hint="eastAsia" w:ascii="Times New Roman" w:hAnsi="Times New Roman" w:eastAsia="宋体" w:cs="Times New Roman"/>
                <w:color w:val="000000"/>
                <w:highlight w:val="none"/>
                <w:lang w:val="en-US" w:eastAsia="zh-CN"/>
              </w:rPr>
              <w:t>g/h。可达到《合成树脂工业污染物排放标准》（GB31572-2015含2024修改单）中表4标准中排放限值要求（即颗粒物有组织排放≤30mg/m</w:t>
            </w:r>
            <w:r>
              <w:rPr>
                <w:rFonts w:hint="eastAsia" w:ascii="Times New Roman" w:hAnsi="Times New Roman" w:eastAsia="宋体" w:cs="Times New Roman"/>
                <w:color w:val="000000"/>
                <w:highlight w:val="none"/>
                <w:vertAlign w:val="superscript"/>
                <w:lang w:val="en-US" w:eastAsia="zh-CN"/>
              </w:rPr>
              <w:t>3</w:t>
            </w:r>
            <w:r>
              <w:rPr>
                <w:rFonts w:hint="eastAsia" w:ascii="Times New Roman" w:hAnsi="Times New Roman" w:eastAsia="宋体" w:cs="Times New Roman"/>
                <w:color w:val="000000"/>
                <w:highlight w:val="none"/>
                <w:vertAlign w:val="baseline"/>
                <w:lang w:val="en-US" w:eastAsia="zh-CN"/>
              </w:rPr>
              <w:t>；</w:t>
            </w:r>
            <w:r>
              <w:rPr>
                <w:rFonts w:hint="eastAsia" w:ascii="Times New Roman" w:hAnsi="Times New Roman" w:eastAsia="宋体" w:cs="Times New Roman"/>
                <w:color w:val="000000"/>
                <w:highlight w:val="none"/>
                <w:lang w:val="en-US" w:eastAsia="zh-CN"/>
              </w:rPr>
              <w:t>非甲烷总烃有组织排放≤100mg/m</w:t>
            </w:r>
            <w:r>
              <w:rPr>
                <w:rFonts w:hint="eastAsia" w:ascii="Times New Roman" w:hAnsi="Times New Roman" w:eastAsia="宋体" w:cs="Times New Roman"/>
                <w:color w:val="000000"/>
                <w:highlight w:val="none"/>
                <w:vertAlign w:val="superscript"/>
                <w:lang w:val="en-US" w:eastAsia="zh-CN"/>
              </w:rPr>
              <w:t>3</w:t>
            </w:r>
            <w:r>
              <w:rPr>
                <w:rFonts w:hint="eastAsia" w:ascii="Times New Roman" w:hAnsi="Times New Roman" w:eastAsia="宋体" w:cs="Times New Roman"/>
                <w:color w:val="000000"/>
                <w:highlight w:val="none"/>
                <w:vertAlign w:val="baseline"/>
                <w:lang w:val="en-US" w:eastAsia="zh-CN"/>
              </w:rPr>
              <w:t>；</w:t>
            </w:r>
            <w:r>
              <w:rPr>
                <w:rFonts w:hint="eastAsia" w:ascii="Times New Roman" w:hAnsi="Times New Roman" w:cs="Times New Roman"/>
                <w:color w:val="000000"/>
                <w:highlight w:val="none"/>
                <w:vertAlign w:val="baseline"/>
                <w:lang w:val="en-US" w:eastAsia="zh-CN"/>
              </w:rPr>
              <w:t>苯乙烯</w:t>
            </w:r>
            <w:r>
              <w:rPr>
                <w:rFonts w:hint="eastAsia" w:ascii="Times New Roman" w:hAnsi="Times New Roman" w:eastAsia="宋体" w:cs="Times New Roman"/>
                <w:color w:val="000000"/>
                <w:highlight w:val="none"/>
                <w:lang w:val="en-US" w:eastAsia="zh-CN"/>
              </w:rPr>
              <w:t>有组织排放≤</w:t>
            </w:r>
            <w:r>
              <w:rPr>
                <w:rFonts w:hint="eastAsia" w:ascii="Times New Roman" w:hAnsi="Times New Roman" w:cs="Times New Roman"/>
                <w:color w:val="000000"/>
                <w:highlight w:val="none"/>
                <w:lang w:val="en-US" w:eastAsia="zh-CN"/>
              </w:rPr>
              <w:t>20</w:t>
            </w:r>
            <w:r>
              <w:rPr>
                <w:rFonts w:hint="eastAsia" w:ascii="Times New Roman" w:hAnsi="Times New Roman" w:eastAsia="宋体" w:cs="Times New Roman"/>
                <w:color w:val="000000"/>
                <w:highlight w:val="none"/>
                <w:lang w:val="en-US" w:eastAsia="zh-CN"/>
              </w:rPr>
              <w:t>mg/m</w:t>
            </w:r>
            <w:r>
              <w:rPr>
                <w:rFonts w:hint="eastAsia" w:ascii="Times New Roman" w:hAnsi="Times New Roman" w:eastAsia="宋体" w:cs="Times New Roman"/>
                <w:color w:val="000000"/>
                <w:highlight w:val="none"/>
                <w:vertAlign w:val="superscript"/>
                <w:lang w:val="en-US" w:eastAsia="zh-CN"/>
              </w:rPr>
              <w:t>3</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因此，</w:t>
            </w:r>
            <w:r>
              <w:rPr>
                <w:rFonts w:hint="eastAsia" w:ascii="Times New Roman" w:hAnsi="Times New Roman" w:eastAsia="宋体" w:cs="Times New Roman"/>
                <w:color w:val="000000"/>
                <w:highlight w:val="none"/>
                <w:lang w:val="en-US" w:eastAsia="zh-CN"/>
              </w:rPr>
              <w:t>项目废气经处理后对环境影响较小，</w:t>
            </w:r>
            <w:r>
              <w:rPr>
                <w:rFonts w:hint="default" w:ascii="Times New Roman" w:hAnsi="Times New Roman" w:eastAsia="宋体" w:cs="Times New Roman"/>
                <w:color w:val="000000"/>
                <w:highlight w:val="none"/>
                <w:lang w:val="en-US" w:eastAsia="zh-CN"/>
              </w:rPr>
              <w:t>采取的措施可行。</w:t>
            </w:r>
          </w:p>
          <w:p w14:paraId="2A56014D">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en-US" w:eastAsia="zh-CN"/>
              </w:rPr>
            </w:pPr>
            <w:bookmarkStart w:id="101" w:name="_Toc10554"/>
            <w:r>
              <w:rPr>
                <w:rFonts w:hint="eastAsia"/>
                <w:b/>
                <w:color w:val="262626"/>
                <w:kern w:val="0"/>
                <w:sz w:val="24"/>
                <w:lang w:val="en-US" w:eastAsia="zh-CN"/>
              </w:rPr>
              <w:t>4.1.4非正常工况排放量核算</w:t>
            </w:r>
            <w:bookmarkEnd w:id="101"/>
          </w:p>
          <w:p w14:paraId="2BB07C4F">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（1）非正常排放情形及排放源强</w:t>
            </w:r>
          </w:p>
          <w:p w14:paraId="0DCCC08D">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非正常排放情况指设备检修、污染物排放控制措施达不到应有效率、工艺设备运转异常等情况下的排污。根据本项目的情况，结合同类企业运营情况，确定项目非正常排放情况为污染治理设施发生故障、运转异常（如风机故障、集气管道破裂等），或维护不到位导致废气处理设施效率降低等非正常工况，情形如下：</w:t>
            </w:r>
          </w:p>
          <w:p w14:paraId="5D853BAE">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lang w:val="en-US" w:eastAsia="zh-CN"/>
              </w:rPr>
              <w:t>有机废气处理设施故障，导致有机废气非正常排放。</w:t>
            </w:r>
            <w:r>
              <w:rPr>
                <w:rFonts w:hint="default" w:ascii="Times New Roman" w:hAnsi="Times New Roman" w:eastAsia="宋体" w:cs="Times New Roman"/>
                <w:color w:val="000000"/>
                <w:kern w:val="2"/>
                <w:sz w:val="24"/>
                <w:szCs w:val="24"/>
                <w:lang w:val="en-US" w:eastAsia="zh-CN" w:bidi="ar-SA"/>
              </w:rPr>
              <w:t>本评价按最不利情况考虑，即废气处理效率降低为0%的情况下污染物排放对周边环境的影响。由于有机废气事故排放效果不显著，短时间内难以发现，非正常工况持续时间按1h计，发生频率按1次/年。非正常工况下废气排放源强核算结果见下表4.</w:t>
            </w:r>
            <w:r>
              <w:rPr>
                <w:rFonts w:hint="eastAsia" w:ascii="Times New Roman" w:hAnsi="Times New Roman" w:eastAsia="宋体" w:cs="Times New Roman"/>
                <w:color w:val="000000"/>
                <w:kern w:val="2"/>
                <w:sz w:val="24"/>
                <w:szCs w:val="24"/>
                <w:lang w:val="en-US" w:eastAsia="zh-CN" w:bidi="ar-SA"/>
              </w:rPr>
              <w:t>1</w:t>
            </w:r>
            <w:r>
              <w:rPr>
                <w:rFonts w:hint="default" w:ascii="Times New Roman" w:hAnsi="Times New Roman" w:eastAsia="宋体" w:cs="Times New Roman"/>
                <w:color w:val="000000"/>
                <w:kern w:val="2"/>
                <w:sz w:val="24"/>
                <w:szCs w:val="24"/>
                <w:lang w:val="en-US" w:eastAsia="zh-CN" w:bidi="ar-SA"/>
              </w:rPr>
              <w:t>-</w:t>
            </w:r>
            <w:r>
              <w:rPr>
                <w:rFonts w:hint="eastAsia" w:ascii="Times New Roman" w:hAnsi="Times New Roman" w:eastAsia="宋体" w:cs="Times New Roman"/>
                <w:color w:val="000000"/>
                <w:kern w:val="2"/>
                <w:sz w:val="24"/>
                <w:szCs w:val="24"/>
                <w:lang w:val="en-US" w:eastAsia="zh-CN" w:bidi="ar-SA"/>
              </w:rPr>
              <w:t>5</w:t>
            </w:r>
            <w:r>
              <w:rPr>
                <w:rFonts w:hint="default" w:ascii="Times New Roman" w:hAnsi="Times New Roman" w:eastAsia="宋体" w:cs="Times New Roman"/>
                <w:color w:val="000000"/>
                <w:kern w:val="2"/>
                <w:sz w:val="24"/>
                <w:szCs w:val="24"/>
                <w:lang w:val="en-US" w:eastAsia="zh-CN" w:bidi="ar-SA"/>
              </w:rPr>
              <w:t>。</w:t>
            </w:r>
          </w:p>
          <w:p w14:paraId="6EE0C6BE">
            <w:pPr>
              <w:pStyle w:val="50"/>
              <w:bidi w:val="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表4.</w:t>
            </w:r>
            <w:r>
              <w:rPr>
                <w:rFonts w:hint="eastAsia"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 xml:space="preserve"> 污染源非正常排放量核算</w:t>
            </w:r>
          </w:p>
          <w:tbl>
            <w:tblPr>
              <w:tblStyle w:val="2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9"/>
              <w:gridCol w:w="696"/>
              <w:gridCol w:w="934"/>
              <w:gridCol w:w="1238"/>
              <w:gridCol w:w="1124"/>
              <w:gridCol w:w="1200"/>
              <w:gridCol w:w="703"/>
              <w:gridCol w:w="791"/>
              <w:gridCol w:w="1433"/>
            </w:tblGrid>
            <w:tr w14:paraId="27615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273" w:type="pct"/>
                  <w:tcBorders>
                    <w:tl2br w:val="nil"/>
                    <w:tr2bl w:val="nil"/>
                  </w:tcBorders>
                  <w:noWrap w:val="0"/>
                  <w:vAlign w:val="center"/>
                </w:tcPr>
                <w:p w14:paraId="259368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序号</w:t>
                  </w:r>
                </w:p>
              </w:tc>
              <w:tc>
                <w:tcPr>
                  <w:tcW w:w="405" w:type="pct"/>
                  <w:tcBorders>
                    <w:tl2br w:val="nil"/>
                    <w:tr2bl w:val="nil"/>
                  </w:tcBorders>
                  <w:noWrap w:val="0"/>
                  <w:vAlign w:val="center"/>
                </w:tcPr>
                <w:p w14:paraId="4810F8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排放源</w:t>
                  </w:r>
                </w:p>
              </w:tc>
              <w:tc>
                <w:tcPr>
                  <w:tcW w:w="543" w:type="pct"/>
                  <w:tcBorders>
                    <w:tl2br w:val="nil"/>
                    <w:tr2bl w:val="nil"/>
                  </w:tcBorders>
                  <w:noWrap w:val="0"/>
                  <w:vAlign w:val="center"/>
                </w:tcPr>
                <w:p w14:paraId="1B9C26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非正常排放原因</w:t>
                  </w:r>
                </w:p>
              </w:tc>
              <w:tc>
                <w:tcPr>
                  <w:tcW w:w="720" w:type="pct"/>
                  <w:tcBorders>
                    <w:tl2br w:val="nil"/>
                    <w:tr2bl w:val="nil"/>
                  </w:tcBorders>
                  <w:noWrap w:val="0"/>
                  <w:vAlign w:val="center"/>
                </w:tcPr>
                <w:p w14:paraId="283D6A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污染源</w:t>
                  </w:r>
                </w:p>
              </w:tc>
              <w:tc>
                <w:tcPr>
                  <w:tcW w:w="654" w:type="pct"/>
                  <w:tcBorders>
                    <w:tl2br w:val="nil"/>
                    <w:tr2bl w:val="nil"/>
                  </w:tcBorders>
                  <w:noWrap w:val="0"/>
                  <w:vAlign w:val="center"/>
                </w:tcPr>
                <w:p w14:paraId="503328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非正常排放浓度mg/m</w:t>
                  </w:r>
                  <w:r>
                    <w:rPr>
                      <w:rFonts w:hint="eastAsia" w:ascii="Times New Roman" w:hAnsi="Times New Roman" w:eastAsia="宋体" w:cs="Times New Roman"/>
                      <w:color w:val="000000"/>
                      <w:kern w:val="0"/>
                      <w:sz w:val="21"/>
                      <w:szCs w:val="21"/>
                      <w:vertAlign w:val="superscript"/>
                      <w:lang w:val="en-US" w:eastAsia="zh-CN" w:bidi="ar-SA"/>
                    </w:rPr>
                    <w:t>3</w:t>
                  </w:r>
                </w:p>
              </w:tc>
              <w:tc>
                <w:tcPr>
                  <w:tcW w:w="698" w:type="pct"/>
                  <w:tcBorders>
                    <w:tl2br w:val="nil"/>
                    <w:tr2bl w:val="nil"/>
                  </w:tcBorders>
                  <w:noWrap w:val="0"/>
                  <w:vAlign w:val="center"/>
                </w:tcPr>
                <w:p w14:paraId="093522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非正常排放速率kg/h</w:t>
                  </w:r>
                </w:p>
              </w:tc>
              <w:tc>
                <w:tcPr>
                  <w:tcW w:w="409" w:type="pct"/>
                  <w:tcBorders>
                    <w:tl2br w:val="nil"/>
                    <w:tr2bl w:val="nil"/>
                  </w:tcBorders>
                  <w:noWrap w:val="0"/>
                  <w:vAlign w:val="center"/>
                </w:tcPr>
                <w:p w14:paraId="00EF78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单次维持时间</w:t>
                  </w:r>
                </w:p>
              </w:tc>
              <w:tc>
                <w:tcPr>
                  <w:tcW w:w="460" w:type="pct"/>
                  <w:tcBorders>
                    <w:tl2br w:val="nil"/>
                    <w:tr2bl w:val="nil"/>
                  </w:tcBorders>
                  <w:noWrap w:val="0"/>
                  <w:vAlign w:val="center"/>
                </w:tcPr>
                <w:p w14:paraId="7D3D3A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年发生次数</w:t>
                  </w:r>
                </w:p>
              </w:tc>
              <w:tc>
                <w:tcPr>
                  <w:tcW w:w="833" w:type="pct"/>
                  <w:tcBorders>
                    <w:tl2br w:val="nil"/>
                    <w:tr2bl w:val="nil"/>
                  </w:tcBorders>
                  <w:noWrap w:val="0"/>
                  <w:vAlign w:val="center"/>
                </w:tcPr>
                <w:p w14:paraId="636303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应对措施</w:t>
                  </w:r>
                </w:p>
              </w:tc>
            </w:tr>
            <w:tr w14:paraId="71F2F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6" w:hRule="atLeast"/>
                <w:jc w:val="center"/>
              </w:trPr>
              <w:tc>
                <w:tcPr>
                  <w:tcW w:w="273" w:type="pct"/>
                  <w:tcBorders>
                    <w:tl2br w:val="nil"/>
                    <w:tr2bl w:val="nil"/>
                  </w:tcBorders>
                  <w:noWrap w:val="0"/>
                  <w:vAlign w:val="center"/>
                </w:tcPr>
                <w:p w14:paraId="1D4084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w:t>
                  </w:r>
                </w:p>
              </w:tc>
              <w:tc>
                <w:tcPr>
                  <w:tcW w:w="405" w:type="pct"/>
                  <w:tcBorders>
                    <w:tl2br w:val="nil"/>
                    <w:tr2bl w:val="nil"/>
                  </w:tcBorders>
                  <w:noWrap w:val="0"/>
                  <w:vAlign w:val="center"/>
                </w:tcPr>
                <w:p w14:paraId="049A75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DA001</w:t>
                  </w:r>
                </w:p>
              </w:tc>
              <w:tc>
                <w:tcPr>
                  <w:tcW w:w="543" w:type="pct"/>
                  <w:tcBorders>
                    <w:tl2br w:val="nil"/>
                    <w:tr2bl w:val="nil"/>
                  </w:tcBorders>
                  <w:noWrap w:val="0"/>
                  <w:vAlign w:val="center"/>
                </w:tcPr>
                <w:p w14:paraId="54EF24D0">
                  <w:pPr>
                    <w:pStyle w:val="51"/>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lang w:val="en-US" w:eastAsia="zh-CN"/>
                    </w:rPr>
                    <w:t>处理设施故障</w:t>
                  </w:r>
                </w:p>
              </w:tc>
              <w:tc>
                <w:tcPr>
                  <w:tcW w:w="720" w:type="pct"/>
                  <w:tcBorders>
                    <w:tl2br w:val="nil"/>
                    <w:tr2bl w:val="nil"/>
                  </w:tcBorders>
                  <w:noWrap w:val="0"/>
                  <w:vAlign w:val="center"/>
                </w:tcPr>
                <w:p w14:paraId="7E3F955F">
                  <w:pPr>
                    <w:pStyle w:val="51"/>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lang w:val="en-US" w:eastAsia="zh-CN"/>
                    </w:rPr>
                    <w:t>VOCs（以非甲烷总烃计）</w:t>
                  </w:r>
                </w:p>
              </w:tc>
              <w:tc>
                <w:tcPr>
                  <w:tcW w:w="654" w:type="pct"/>
                  <w:tcBorders>
                    <w:tl2br w:val="nil"/>
                    <w:tr2bl w:val="nil"/>
                  </w:tcBorders>
                  <w:noWrap w:val="0"/>
                  <w:vAlign w:val="center"/>
                </w:tcPr>
                <w:p w14:paraId="6C89B9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1</w:t>
                  </w:r>
                  <w:r>
                    <w:rPr>
                      <w:rFonts w:hint="eastAsia" w:cs="Times New Roman"/>
                      <w:color w:val="000000"/>
                      <w:kern w:val="0"/>
                      <w:sz w:val="21"/>
                      <w:szCs w:val="21"/>
                      <w:lang w:val="en-US" w:eastAsia="zh-CN" w:bidi="ar-SA"/>
                    </w:rPr>
                    <w:t>4.94</w:t>
                  </w:r>
                </w:p>
              </w:tc>
              <w:tc>
                <w:tcPr>
                  <w:tcW w:w="698" w:type="pct"/>
                  <w:tcBorders>
                    <w:tl2br w:val="nil"/>
                    <w:tr2bl w:val="nil"/>
                  </w:tcBorders>
                  <w:noWrap w:val="0"/>
                  <w:vAlign w:val="center"/>
                </w:tcPr>
                <w:p w14:paraId="56FBFD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lang w:val="en-US" w:eastAsia="zh-CN"/>
                    </w:rPr>
                    <w:t>0.</w:t>
                  </w:r>
                  <w:r>
                    <w:rPr>
                      <w:rFonts w:hint="eastAsia" w:eastAsia="宋体" w:cs="Times New Roman"/>
                      <w:color w:val="000000"/>
                      <w:lang w:val="en-US" w:eastAsia="zh-CN"/>
                    </w:rPr>
                    <w:t>1</w:t>
                  </w:r>
                  <w:r>
                    <w:rPr>
                      <w:rFonts w:hint="eastAsia" w:cs="Times New Roman"/>
                      <w:color w:val="000000"/>
                      <w:lang w:val="en-US" w:eastAsia="zh-CN"/>
                    </w:rPr>
                    <w:t>1952</w:t>
                  </w:r>
                </w:p>
              </w:tc>
              <w:tc>
                <w:tcPr>
                  <w:tcW w:w="409" w:type="pct"/>
                  <w:tcBorders>
                    <w:tl2br w:val="nil"/>
                    <w:tr2bl w:val="nil"/>
                  </w:tcBorders>
                  <w:noWrap w:val="0"/>
                  <w:vAlign w:val="center"/>
                </w:tcPr>
                <w:p w14:paraId="433CD6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1h</w:t>
                  </w:r>
                </w:p>
              </w:tc>
              <w:tc>
                <w:tcPr>
                  <w:tcW w:w="460" w:type="pct"/>
                  <w:tcBorders>
                    <w:tl2br w:val="nil"/>
                    <w:tr2bl w:val="nil"/>
                  </w:tcBorders>
                  <w:noWrap w:val="0"/>
                  <w:vAlign w:val="center"/>
                </w:tcPr>
                <w:p w14:paraId="5EFBD5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1次</w:t>
                  </w:r>
                </w:p>
              </w:tc>
              <w:tc>
                <w:tcPr>
                  <w:tcW w:w="833" w:type="pct"/>
                  <w:tcBorders>
                    <w:tl2br w:val="nil"/>
                    <w:tr2bl w:val="nil"/>
                  </w:tcBorders>
                  <w:noWrap w:val="0"/>
                  <w:vAlign w:val="center"/>
                </w:tcPr>
                <w:p w14:paraId="16FB22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立即停产，修复后生产</w:t>
                  </w:r>
                </w:p>
              </w:tc>
            </w:tr>
          </w:tbl>
          <w:p w14:paraId="0494A0D7">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w:t>
            </w:r>
            <w:r>
              <w:rPr>
                <w:rFonts w:hint="default" w:ascii="Times New Roman" w:hAnsi="Times New Roman" w:eastAsia="宋体" w:cs="Times New Roman"/>
                <w:color w:val="000000"/>
                <w:lang w:val="en-US" w:eastAsia="zh-CN"/>
              </w:rPr>
              <w:t>2</w:t>
            </w:r>
            <w:r>
              <w:rPr>
                <w:rFonts w:hint="eastAsia" w:ascii="Times New Roman" w:hAnsi="Times New Roman" w:eastAsia="宋体" w:cs="Times New Roman"/>
                <w:color w:val="000000"/>
                <w:lang w:val="en-US" w:eastAsia="zh-CN"/>
              </w:rPr>
              <w:t>）非正常排放防治措施</w:t>
            </w:r>
          </w:p>
          <w:p w14:paraId="0197C6D5">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针对以上非正常排放情形，本评价建议建设单位在生产运营期间采取以下控制措施以避免或减少废气非正常排放。</w:t>
            </w:r>
          </w:p>
          <w:p w14:paraId="04AFC87B">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①规范车间生产操作，避免因员工操作不当导致工艺设备、环保设施故障引发废气事故排放。</w:t>
            </w:r>
          </w:p>
          <w:p w14:paraId="34E5F8D8">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②定期对生产设施及废气处理设施进行检查维护，杜绝非正常工况发生，避免非正常排放出现后才采取维护措施。</w:t>
            </w:r>
          </w:p>
          <w:p w14:paraId="7C3E7621">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综上，项目在采取上述非正常排放防范措施后，非正常排放发生频率较低，非正常排放下污染物排放量较少，非正常工况可及时得到处理，因此本项目废气非正常排放对周边大气环境影响较小。</w:t>
            </w:r>
          </w:p>
          <w:p w14:paraId="6DE9D063">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102" w:name="_Toc6412"/>
            <w:r>
              <w:rPr>
                <w:rFonts w:hint="eastAsia" w:ascii="Times New Roman" w:hAnsi="Times New Roman" w:eastAsia="宋体" w:cs="Times New Roman"/>
                <w:color w:val="auto"/>
                <w:sz w:val="28"/>
                <w:szCs w:val="28"/>
                <w:u w:val="none"/>
                <w:lang w:val="en-US" w:eastAsia="zh-CN"/>
              </w:rPr>
              <w:t>4.2水环境影响分析和污染防治措施</w:t>
            </w:r>
            <w:bookmarkEnd w:id="102"/>
          </w:p>
          <w:p w14:paraId="6AE1F93B">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en-US" w:eastAsia="zh-CN"/>
              </w:rPr>
            </w:pPr>
            <w:bookmarkStart w:id="103" w:name="_Toc32071"/>
            <w:r>
              <w:rPr>
                <w:rFonts w:hint="eastAsia"/>
                <w:b/>
                <w:color w:val="262626"/>
                <w:kern w:val="0"/>
                <w:sz w:val="24"/>
                <w:lang w:val="en-US" w:eastAsia="zh-CN"/>
              </w:rPr>
              <w:t>4.2.1运营期废水源强分析</w:t>
            </w:r>
            <w:bookmarkEnd w:id="103"/>
          </w:p>
          <w:p w14:paraId="2B90B117">
            <w:pPr>
              <w:keepNext w:val="0"/>
              <w:pageBreakBefore w:val="0"/>
              <w:numPr>
                <w:ilvl w:val="0"/>
                <w:numId w:val="0"/>
              </w:numPr>
              <w:kinsoku/>
              <w:wordWrap/>
              <w:overflowPunct/>
              <w:topLinePunct w:val="0"/>
              <w:bidi w:val="0"/>
              <w:adjustRightInd w:val="0"/>
              <w:snapToGrid w:val="0"/>
              <w:spacing w:line="360" w:lineRule="auto"/>
              <w:ind w:firstLine="480" w:firstLineChars="200"/>
              <w:rPr>
                <w:rFonts w:hint="default"/>
                <w:lang w:val="en-US" w:eastAsia="zh-CN"/>
              </w:rPr>
            </w:pPr>
            <w:r>
              <w:rPr>
                <w:rFonts w:hint="eastAsia" w:cs="Times New Roman"/>
                <w:bCs/>
                <w:color w:val="auto"/>
                <w:sz w:val="24"/>
                <w:highlight w:val="none"/>
                <w:lang w:val="en-US" w:eastAsia="zh-CN"/>
              </w:rPr>
              <w:t>（1）设备间接冷却水</w:t>
            </w:r>
          </w:p>
          <w:p w14:paraId="746F0903">
            <w:pPr>
              <w:widowControl/>
              <w:spacing w:line="360" w:lineRule="auto"/>
              <w:ind w:firstLine="480" w:firstLineChars="200"/>
              <w:jc w:val="left"/>
            </w:pPr>
            <w:r>
              <w:rPr>
                <w:rFonts w:hint="eastAsia"/>
                <w:sz w:val="24"/>
              </w:rPr>
              <w:t>根据水平衡分析可知，项目拟设置1台冷却水塔，</w:t>
            </w:r>
            <w:r>
              <w:rPr>
                <w:sz w:val="24"/>
              </w:rPr>
              <w:t>在循环过程中因受热等因素损失的水量，</w:t>
            </w:r>
            <w:r>
              <w:rPr>
                <w:rFonts w:hint="eastAsia"/>
                <w:sz w:val="24"/>
              </w:rPr>
              <w:t>约</w:t>
            </w:r>
            <w:r>
              <w:rPr>
                <w:rFonts w:hint="eastAsia"/>
                <w:sz w:val="24"/>
                <w:lang w:val="en-US" w:eastAsia="zh-CN"/>
              </w:rPr>
              <w:t>1.72t</w:t>
            </w:r>
            <w:r>
              <w:rPr>
                <w:rFonts w:hint="eastAsia"/>
                <w:sz w:val="24"/>
              </w:rPr>
              <w:t>/d，</w:t>
            </w:r>
            <w:r>
              <w:rPr>
                <w:sz w:val="24"/>
              </w:rPr>
              <w:t>则年补充新鲜水量约</w:t>
            </w:r>
            <w:r>
              <w:rPr>
                <w:rFonts w:hint="eastAsia"/>
                <w:sz w:val="24"/>
                <w:lang w:val="en-US" w:eastAsia="zh-CN"/>
              </w:rPr>
              <w:t>516</w:t>
            </w:r>
            <w:r>
              <w:rPr>
                <w:sz w:val="24"/>
              </w:rPr>
              <w:t>t/a。</w:t>
            </w:r>
          </w:p>
          <w:p w14:paraId="75E81C23">
            <w:pPr>
              <w:keepNext w:val="0"/>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eastAsia="zh-CN"/>
              </w:rPr>
              <w:t>（</w:t>
            </w:r>
            <w:r>
              <w:rPr>
                <w:rFonts w:hint="eastAsia" w:cs="Times New Roman"/>
                <w:bCs/>
                <w:color w:val="auto"/>
                <w:sz w:val="24"/>
                <w:highlight w:val="none"/>
                <w:lang w:val="en-US" w:eastAsia="zh-CN"/>
              </w:rPr>
              <w:t>2</w:t>
            </w:r>
            <w:r>
              <w:rPr>
                <w:rFonts w:hint="eastAsia" w:cs="Times New Roman"/>
                <w:bCs/>
                <w:color w:val="auto"/>
                <w:sz w:val="24"/>
                <w:highlight w:val="none"/>
                <w:lang w:eastAsia="zh-CN"/>
              </w:rPr>
              <w:t>）</w:t>
            </w:r>
            <w:r>
              <w:rPr>
                <w:rFonts w:hint="eastAsia" w:cs="Times New Roman"/>
                <w:bCs/>
                <w:color w:val="auto"/>
                <w:sz w:val="24"/>
                <w:highlight w:val="none"/>
                <w:lang w:val="en-US" w:eastAsia="zh-CN"/>
              </w:rPr>
              <w:t>生活污水</w:t>
            </w:r>
          </w:p>
          <w:p w14:paraId="014BBD81">
            <w:pPr>
              <w:pStyle w:val="52"/>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outlineLvl w:val="9"/>
              <w:rPr>
                <w:rFonts w:hint="eastAsia" w:ascii="Times New Roman" w:hAnsi="Times New Roman" w:eastAsia="宋体" w:cs="Times New Roman"/>
                <w:b w:val="0"/>
                <w:bCs w:val="0"/>
                <w:color w:val="auto"/>
                <w:sz w:val="24"/>
                <w:szCs w:val="24"/>
                <w:highlight w:val="none"/>
                <w:lang w:val="en-US" w:eastAsia="zh-CN"/>
              </w:rPr>
            </w:pPr>
            <w:bookmarkStart w:id="104" w:name="_Toc4624"/>
            <w:bookmarkStart w:id="105" w:name="_Toc22817"/>
            <w:bookmarkStart w:id="106" w:name="_Toc28146"/>
            <w:r>
              <w:rPr>
                <w:rFonts w:hint="default" w:ascii="Times New Roman" w:hAnsi="Times New Roman" w:eastAsia="宋体" w:cs="Times New Roman"/>
                <w:b w:val="0"/>
                <w:bCs w:val="0"/>
                <w:color w:val="auto"/>
                <w:sz w:val="24"/>
                <w:szCs w:val="24"/>
                <w:highlight w:val="none"/>
                <w:lang w:val="en-US" w:eastAsia="zh-CN"/>
              </w:rPr>
              <w:t>本项目劳动定员</w:t>
            </w:r>
            <w:r>
              <w:rPr>
                <w:rFonts w:hint="eastAsia" w:eastAsia="宋体" w:cs="Times New Roman"/>
                <w:b w:val="0"/>
                <w:bCs w:val="0"/>
                <w:color w:val="auto"/>
                <w:sz w:val="24"/>
                <w:szCs w:val="24"/>
                <w:highlight w:val="none"/>
                <w:lang w:val="en-US" w:eastAsia="zh-CN"/>
              </w:rPr>
              <w:t>30</w:t>
            </w:r>
            <w:r>
              <w:rPr>
                <w:rFonts w:hint="default" w:ascii="Times New Roman" w:hAnsi="Times New Roman" w:eastAsia="宋体" w:cs="Times New Roman"/>
                <w:b w:val="0"/>
                <w:bCs w:val="0"/>
                <w:color w:val="auto"/>
                <w:sz w:val="24"/>
                <w:szCs w:val="24"/>
                <w:highlight w:val="none"/>
                <w:lang w:val="en-US" w:eastAsia="zh-CN"/>
              </w:rPr>
              <w:t>人，均不住厂，根据《建筑给水排水设计标准》（GB50015-2019），车间工作人员的生活用水额定</w:t>
            </w:r>
            <w:r>
              <w:rPr>
                <w:rFonts w:hint="eastAsia" w:eastAsia="宋体" w:cs="Times New Roman"/>
                <w:b w:val="0"/>
                <w:bCs w:val="0"/>
                <w:color w:val="auto"/>
                <w:sz w:val="24"/>
                <w:szCs w:val="24"/>
                <w:highlight w:val="none"/>
                <w:lang w:val="en-US" w:eastAsia="zh-CN"/>
              </w:rPr>
              <w:t>应</w:t>
            </w:r>
            <w:r>
              <w:rPr>
                <w:rFonts w:hint="default" w:ascii="Times New Roman" w:hAnsi="Times New Roman" w:eastAsia="宋体" w:cs="Times New Roman"/>
                <w:b w:val="0"/>
                <w:bCs w:val="0"/>
                <w:color w:val="auto"/>
                <w:sz w:val="24"/>
                <w:szCs w:val="24"/>
                <w:highlight w:val="none"/>
                <w:lang w:val="en-US" w:eastAsia="zh-CN"/>
              </w:rPr>
              <w:t>根据车间性质确定，一般宜采用30</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50L/人·班，本项目不住厂职工生活用水额定按50L/人·班计。项目年工作日按300天计，则本项目职工生活用水量约</w:t>
            </w:r>
            <w:r>
              <w:rPr>
                <w:rFonts w:hint="eastAsia" w:eastAsia="宋体" w:cs="Times New Roman"/>
                <w:b w:val="0"/>
                <w:bCs w:val="0"/>
                <w:color w:val="auto"/>
                <w:sz w:val="24"/>
                <w:szCs w:val="24"/>
                <w:highlight w:val="none"/>
                <w:lang w:val="en-US" w:eastAsia="zh-CN"/>
              </w:rPr>
              <w:t>1.5</w:t>
            </w:r>
            <w:r>
              <w:rPr>
                <w:rFonts w:hint="default" w:ascii="Times New Roman" w:hAnsi="Times New Roman" w:eastAsia="宋体" w:cs="Times New Roman"/>
                <w:b w:val="0"/>
                <w:bCs w:val="0"/>
                <w:color w:val="auto"/>
                <w:sz w:val="24"/>
                <w:szCs w:val="24"/>
                <w:highlight w:val="none"/>
                <w:lang w:val="en-US" w:eastAsia="zh-CN"/>
              </w:rPr>
              <w:t>t/d（</w:t>
            </w:r>
            <w:r>
              <w:rPr>
                <w:rFonts w:hint="eastAsia" w:eastAsia="宋体" w:cs="Times New Roman"/>
                <w:b w:val="0"/>
                <w:bCs w:val="0"/>
                <w:color w:val="auto"/>
                <w:sz w:val="24"/>
                <w:szCs w:val="24"/>
                <w:highlight w:val="none"/>
                <w:lang w:val="en-US" w:eastAsia="zh-CN"/>
              </w:rPr>
              <w:t>450</w:t>
            </w:r>
            <w:r>
              <w:rPr>
                <w:rFonts w:hint="default" w:ascii="Times New Roman" w:hAnsi="Times New Roman" w:eastAsia="宋体" w:cs="Times New Roman"/>
                <w:b w:val="0"/>
                <w:bCs w:val="0"/>
                <w:color w:val="auto"/>
                <w:sz w:val="24"/>
                <w:szCs w:val="24"/>
                <w:highlight w:val="none"/>
                <w:lang w:val="en-US" w:eastAsia="zh-CN"/>
              </w:rPr>
              <w:t>t/a），根据《排水源统计调查产排污计算方法和核算手册》中《生活源产排污系数手册》，人均日生活用水量≤150升/人·天时，折污系数取0.8，则项目生活污水产生量约</w:t>
            </w:r>
            <w:r>
              <w:rPr>
                <w:rFonts w:hint="eastAsia" w:ascii="Times New Roman" w:hAnsi="Times New Roman" w:eastAsia="宋体" w:cs="Times New Roman"/>
                <w:b w:val="0"/>
                <w:bCs w:val="0"/>
                <w:color w:val="auto"/>
                <w:sz w:val="24"/>
                <w:szCs w:val="24"/>
                <w:highlight w:val="none"/>
                <w:lang w:val="en-US" w:eastAsia="zh-CN"/>
              </w:rPr>
              <w:t>1.2</w:t>
            </w:r>
            <w:r>
              <w:rPr>
                <w:rFonts w:hint="default" w:ascii="Times New Roman" w:hAnsi="Times New Roman" w:eastAsia="宋体" w:cs="Times New Roman"/>
                <w:b w:val="0"/>
                <w:bCs w:val="0"/>
                <w:color w:val="auto"/>
                <w:sz w:val="24"/>
                <w:szCs w:val="24"/>
                <w:highlight w:val="none"/>
                <w:lang w:val="en-US" w:eastAsia="zh-CN"/>
              </w:rPr>
              <w:t>t/d（</w:t>
            </w:r>
            <w:r>
              <w:rPr>
                <w:rFonts w:hint="eastAsia" w:ascii="Times New Roman" w:hAnsi="Times New Roman" w:eastAsia="宋体" w:cs="Times New Roman"/>
                <w:b w:val="0"/>
                <w:bCs w:val="0"/>
                <w:color w:val="auto"/>
                <w:sz w:val="24"/>
                <w:szCs w:val="24"/>
                <w:highlight w:val="none"/>
                <w:lang w:val="en-US" w:eastAsia="zh-CN"/>
              </w:rPr>
              <w:t>360</w:t>
            </w:r>
            <w:r>
              <w:rPr>
                <w:rFonts w:hint="default" w:ascii="Times New Roman" w:hAnsi="Times New Roman" w:eastAsia="宋体" w:cs="Times New Roman"/>
                <w:b w:val="0"/>
                <w:bCs w:val="0"/>
                <w:color w:val="auto"/>
                <w:sz w:val="24"/>
                <w:szCs w:val="24"/>
                <w:highlight w:val="none"/>
                <w:lang w:val="en-US" w:eastAsia="zh-CN"/>
              </w:rPr>
              <w:t>t/a）。</w:t>
            </w:r>
            <w:r>
              <w:rPr>
                <w:rFonts w:hint="eastAsia" w:ascii="Times New Roman" w:hAnsi="Times New Roman" w:eastAsia="宋体" w:cs="Times New Roman"/>
                <w:b w:val="0"/>
                <w:bCs w:val="0"/>
                <w:color w:val="auto"/>
                <w:sz w:val="24"/>
                <w:szCs w:val="24"/>
                <w:highlight w:val="none"/>
                <w:lang w:val="en-US" w:eastAsia="zh-CN"/>
              </w:rPr>
              <w:t>生活污水依托厂区现有的化粪池处理达标后排入市政污水管网，最终进入</w:t>
            </w:r>
            <w:bookmarkEnd w:id="104"/>
            <w:bookmarkEnd w:id="105"/>
            <w:bookmarkEnd w:id="106"/>
            <w:r>
              <w:rPr>
                <w:rFonts w:hint="eastAsia" w:eastAsia="宋体" w:cs="Times New Roman"/>
                <w:color w:val="auto"/>
                <w:sz w:val="24"/>
                <w:szCs w:val="24"/>
                <w:lang w:val="en-US" w:eastAsia="zh-CN"/>
              </w:rPr>
              <w:t>福清市融元污水处理厂集</w:t>
            </w:r>
            <w:r>
              <w:rPr>
                <w:rFonts w:hint="eastAsia" w:ascii="Times New Roman" w:hAnsi="Times New Roman" w:eastAsia="宋体" w:cs="Times New Roman"/>
                <w:b w:val="0"/>
                <w:bCs w:val="0"/>
                <w:color w:val="auto"/>
                <w:sz w:val="24"/>
                <w:szCs w:val="24"/>
                <w:highlight w:val="none"/>
                <w:lang w:val="en-US" w:eastAsia="zh-CN"/>
              </w:rPr>
              <w:t>中进行处理，污水处理厂</w:t>
            </w:r>
            <w:r>
              <w:rPr>
                <w:rFonts w:hint="default" w:ascii="Times New Roman" w:hAnsi="Times New Roman" w:eastAsia="宋体" w:cs="Times New Roman"/>
                <w:b w:val="0"/>
                <w:bCs w:val="0"/>
                <w:color w:val="auto"/>
                <w:sz w:val="24"/>
                <w:szCs w:val="24"/>
                <w:highlight w:val="none"/>
                <w:lang w:val="en-US" w:eastAsia="zh-CN"/>
              </w:rPr>
              <w:t>尾水排入龙江，所处龙江</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南门桥水闸至龙江入海口</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断面。</w:t>
            </w:r>
          </w:p>
          <w:p w14:paraId="58887A91">
            <w:pPr>
              <w:pStyle w:val="52"/>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bookmarkStart w:id="107" w:name="_Toc22915"/>
            <w:bookmarkStart w:id="108" w:name="_Toc14324"/>
            <w:bookmarkStart w:id="109" w:name="_Toc6977"/>
            <w:r>
              <w:rPr>
                <w:rFonts w:hint="default" w:ascii="Times New Roman" w:hAnsi="Times New Roman" w:eastAsia="宋体" w:cs="Times New Roman"/>
                <w:b w:val="0"/>
                <w:bCs w:val="0"/>
                <w:color w:val="auto"/>
                <w:sz w:val="24"/>
                <w:szCs w:val="24"/>
                <w:highlight w:val="none"/>
                <w:lang w:val="en-US" w:eastAsia="zh-CN"/>
              </w:rPr>
              <w:t>参考</w:t>
            </w:r>
            <w:r>
              <w:rPr>
                <w:rFonts w:hint="eastAsia" w:ascii="Times New Roman" w:hAnsi="Times New Roman" w:eastAsia="宋体" w:cs="Times New Roman"/>
                <w:b w:val="0"/>
                <w:bCs w:val="0"/>
                <w:color w:val="auto"/>
                <w:sz w:val="24"/>
                <w:szCs w:val="24"/>
                <w:highlight w:val="none"/>
                <w:lang w:val="en-US" w:eastAsia="zh-CN"/>
              </w:rPr>
              <w:t>《给排水设计手册》第五册《城镇排水》表</w:t>
            </w:r>
            <w:r>
              <w:rPr>
                <w:rFonts w:hint="default" w:ascii="Times New Roman" w:hAnsi="Times New Roman" w:eastAsia="宋体" w:cs="Times New Roman"/>
                <w:b w:val="0"/>
                <w:bCs w:val="0"/>
                <w:color w:val="auto"/>
                <w:sz w:val="24"/>
                <w:szCs w:val="24"/>
                <w:highlight w:val="none"/>
                <w:lang w:val="en-US" w:eastAsia="zh-CN"/>
              </w:rPr>
              <w:t>4-1</w:t>
            </w:r>
            <w:r>
              <w:rPr>
                <w:rFonts w:hint="eastAsia" w:ascii="Times New Roman" w:hAnsi="Times New Roman" w:eastAsia="宋体" w:cs="Times New Roman"/>
                <w:b w:val="0"/>
                <w:bCs w:val="0"/>
                <w:color w:val="auto"/>
                <w:sz w:val="24"/>
                <w:szCs w:val="24"/>
                <w:highlight w:val="none"/>
                <w:lang w:val="en-US" w:eastAsia="zh-CN"/>
              </w:rPr>
              <w:t>典型生活污水水质示例的低浓度；因此，不住厂职工产生的生活污水中各主要污染物浓度按</w:t>
            </w:r>
            <w:r>
              <w:rPr>
                <w:rFonts w:hint="default" w:ascii="Times New Roman" w:hAnsi="Times New Roman" w:eastAsia="宋体" w:cs="Times New Roman"/>
                <w:b w:val="0"/>
                <w:bCs w:val="0"/>
                <w:color w:val="auto"/>
                <w:sz w:val="24"/>
                <w:szCs w:val="24"/>
                <w:highlight w:val="none"/>
                <w:lang w:val="en-US" w:eastAsia="zh-CN"/>
              </w:rPr>
              <w:t>CODcr：</w:t>
            </w:r>
            <w:r>
              <w:rPr>
                <w:rFonts w:hint="eastAsia" w:ascii="Times New Roman" w:hAnsi="Times New Roman" w:eastAsia="宋体" w:cs="Times New Roman"/>
                <w:b w:val="0"/>
                <w:bCs w:val="0"/>
                <w:color w:val="auto"/>
                <w:sz w:val="24"/>
                <w:szCs w:val="24"/>
                <w:highlight w:val="none"/>
                <w:lang w:val="en-US" w:eastAsia="zh-CN"/>
              </w:rPr>
              <w:t>250</w:t>
            </w:r>
            <w:r>
              <w:rPr>
                <w:rFonts w:hint="default" w:ascii="Times New Roman" w:hAnsi="Times New Roman" w:eastAsia="宋体" w:cs="Times New Roman"/>
                <w:b w:val="0"/>
                <w:bCs w:val="0"/>
                <w:color w:val="auto"/>
                <w:sz w:val="24"/>
                <w:szCs w:val="24"/>
                <w:highlight w:val="none"/>
                <w:lang w:val="en-US" w:eastAsia="zh-CN"/>
              </w:rPr>
              <w:t>mg/L、BOD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eastAsia" w:eastAsia="宋体" w:cs="Times New Roman"/>
                <w:b w:val="0"/>
                <w:bCs w:val="0"/>
                <w:color w:val="auto"/>
                <w:sz w:val="24"/>
                <w:szCs w:val="24"/>
                <w:highlight w:val="none"/>
                <w:vertAlign w:val="subscript"/>
                <w:lang w:val="en-US" w:eastAsia="zh-CN"/>
              </w:rPr>
              <w:t>:</w:t>
            </w:r>
            <w:r>
              <w:rPr>
                <w:rFonts w:hint="eastAsia" w:ascii="Times New Roman" w:hAnsi="Times New Roman" w:eastAsia="宋体" w:cs="Times New Roman"/>
                <w:b w:val="0"/>
                <w:bCs w:val="0"/>
                <w:color w:val="auto"/>
                <w:sz w:val="24"/>
                <w:szCs w:val="24"/>
                <w:highlight w:val="none"/>
                <w:lang w:val="en-US" w:eastAsia="zh-CN"/>
              </w:rPr>
              <w:t>110</w:t>
            </w:r>
            <w:r>
              <w:rPr>
                <w:rFonts w:hint="default" w:ascii="Times New Roman" w:hAnsi="Times New Roman" w:eastAsia="宋体" w:cs="Times New Roman"/>
                <w:b w:val="0"/>
                <w:bCs w:val="0"/>
                <w:color w:val="auto"/>
                <w:sz w:val="24"/>
                <w:szCs w:val="24"/>
                <w:highlight w:val="none"/>
                <w:lang w:val="en-US" w:eastAsia="zh-CN"/>
              </w:rPr>
              <w:t>mg/L、NH</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highlight w:val="none"/>
                <w:lang w:val="en-US" w:eastAsia="zh-CN"/>
              </w:rPr>
              <w:t>-N：</w:t>
            </w:r>
            <w:r>
              <w:rPr>
                <w:rFonts w:hint="eastAsia" w:ascii="Times New Roman" w:hAnsi="Times New Roman" w:eastAsia="宋体" w:cs="Times New Roman"/>
                <w:b w:val="0"/>
                <w:bCs w:val="0"/>
                <w:color w:val="auto"/>
                <w:sz w:val="24"/>
                <w:szCs w:val="24"/>
                <w:highlight w:val="none"/>
                <w:lang w:val="en-US" w:eastAsia="zh-CN"/>
              </w:rPr>
              <w:t>24</w:t>
            </w:r>
            <w:r>
              <w:rPr>
                <w:rFonts w:hint="default" w:ascii="Times New Roman" w:hAnsi="Times New Roman" w:eastAsia="宋体" w:cs="Times New Roman"/>
                <w:b w:val="0"/>
                <w:bCs w:val="0"/>
                <w:color w:val="auto"/>
                <w:sz w:val="24"/>
                <w:szCs w:val="24"/>
                <w:highlight w:val="none"/>
                <w:lang w:val="en-US" w:eastAsia="zh-CN"/>
              </w:rPr>
              <w:t>mg/L、SS：</w:t>
            </w:r>
            <w:r>
              <w:rPr>
                <w:rFonts w:hint="eastAsia" w:ascii="Times New Roman" w:hAnsi="Times New Roman" w:eastAsia="宋体" w:cs="Times New Roman"/>
                <w:b w:val="0"/>
                <w:bCs w:val="0"/>
                <w:color w:val="auto"/>
                <w:sz w:val="24"/>
                <w:szCs w:val="24"/>
                <w:highlight w:val="none"/>
                <w:lang w:val="en-US" w:eastAsia="zh-CN"/>
              </w:rPr>
              <w:t>100</w:t>
            </w:r>
            <w:r>
              <w:rPr>
                <w:rFonts w:hint="default" w:ascii="Times New Roman" w:hAnsi="Times New Roman" w:eastAsia="宋体" w:cs="Times New Roman"/>
                <w:b w:val="0"/>
                <w:bCs w:val="0"/>
                <w:color w:val="auto"/>
                <w:sz w:val="24"/>
                <w:szCs w:val="24"/>
                <w:highlight w:val="none"/>
                <w:lang w:val="en-US" w:eastAsia="zh-CN"/>
              </w:rPr>
              <w:t>mg/L。参考环评手册中《常用污水处理设备及去除率》，化粪池对生活污水中COD、BOD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default" w:ascii="Times New Roman" w:hAnsi="Times New Roman" w:eastAsia="宋体" w:cs="Times New Roman"/>
                <w:b w:val="0"/>
                <w:bCs w:val="0"/>
                <w:color w:val="auto"/>
                <w:sz w:val="24"/>
                <w:szCs w:val="24"/>
                <w:highlight w:val="none"/>
                <w:lang w:val="en-US" w:eastAsia="zh-CN"/>
              </w:rPr>
              <w:t>、SS、NH3-N的处理效率分别为20%、15%、30%、0%，则生活污水中各污染物产排情况详见表4.</w:t>
            </w:r>
            <w:r>
              <w:rPr>
                <w:rFonts w:hint="eastAsia"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-1。</w:t>
            </w:r>
            <w:bookmarkEnd w:id="107"/>
            <w:bookmarkEnd w:id="108"/>
            <w:bookmarkEnd w:id="109"/>
          </w:p>
          <w:p w14:paraId="789F3B51">
            <w:pPr>
              <w:pStyle w:val="50"/>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-1 废水污染物产生及排放情况一览表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741"/>
              <w:gridCol w:w="970"/>
              <w:gridCol w:w="882"/>
              <w:gridCol w:w="995"/>
              <w:gridCol w:w="848"/>
            </w:tblGrid>
            <w:tr w14:paraId="30AA1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674" w:type="pct"/>
                  <w:tcBorders>
                    <w:tl2br w:val="nil"/>
                    <w:tr2bl w:val="nil"/>
                  </w:tcBorders>
                  <w:noWrap w:val="0"/>
                  <w:vAlign w:val="center"/>
                </w:tcPr>
                <w:p w14:paraId="3620B43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废水量</w:t>
                  </w:r>
                </w:p>
              </w:tc>
              <w:tc>
                <w:tcPr>
                  <w:tcW w:w="2176" w:type="pct"/>
                  <w:tcBorders>
                    <w:tl2br w:val="nil"/>
                    <w:tr2bl w:val="nil"/>
                  </w:tcBorders>
                  <w:noWrap w:val="0"/>
                  <w:vAlign w:val="center"/>
                </w:tcPr>
                <w:p w14:paraId="0762AD04">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w:t>
                  </w:r>
                </w:p>
              </w:tc>
              <w:tc>
                <w:tcPr>
                  <w:tcW w:w="564" w:type="pct"/>
                  <w:tcBorders>
                    <w:tl2br w:val="nil"/>
                    <w:tr2bl w:val="nil"/>
                  </w:tcBorders>
                  <w:noWrap w:val="0"/>
                  <w:vAlign w:val="center"/>
                </w:tcPr>
                <w:p w14:paraId="4C447748">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COD</w:t>
                  </w:r>
                  <w:r>
                    <w:rPr>
                      <w:rFonts w:hint="default" w:ascii="Times New Roman" w:hAnsi="Times New Roman" w:eastAsia="宋体" w:cs="Times New Roman"/>
                      <w:color w:val="auto"/>
                      <w:sz w:val="21"/>
                      <w:szCs w:val="21"/>
                      <w:vertAlign w:val="subscript"/>
                      <w:lang w:val="en-US" w:eastAsia="zh-CN"/>
                    </w:rPr>
                    <w:t>cr</w:t>
                  </w:r>
                </w:p>
              </w:tc>
              <w:tc>
                <w:tcPr>
                  <w:tcW w:w="513" w:type="pct"/>
                  <w:tcBorders>
                    <w:tl2br w:val="nil"/>
                    <w:tr2bl w:val="nil"/>
                  </w:tcBorders>
                  <w:noWrap w:val="0"/>
                  <w:vAlign w:val="center"/>
                </w:tcPr>
                <w:p w14:paraId="6B1C1951">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79" w:type="pct"/>
                  <w:tcBorders>
                    <w:tl2br w:val="nil"/>
                    <w:tr2bl w:val="nil"/>
                  </w:tcBorders>
                  <w:noWrap w:val="0"/>
                  <w:vAlign w:val="center"/>
                </w:tcPr>
                <w:p w14:paraId="7991F674">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491" w:type="pct"/>
                  <w:tcBorders>
                    <w:tl2br w:val="nil"/>
                    <w:tr2bl w:val="nil"/>
                  </w:tcBorders>
                  <w:noWrap w:val="0"/>
                  <w:vAlign w:val="center"/>
                </w:tcPr>
                <w:p w14:paraId="6ED9C9E6">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r>
            <w:tr w14:paraId="54E86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674" w:type="pct"/>
                  <w:vMerge w:val="restart"/>
                  <w:tcBorders>
                    <w:tl2br w:val="nil"/>
                    <w:tr2bl w:val="nil"/>
                  </w:tcBorders>
                  <w:noWrap w:val="0"/>
                  <w:vAlign w:val="center"/>
                </w:tcPr>
                <w:p w14:paraId="35837F83">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w:t>
                  </w:r>
                  <w:r>
                    <w:rPr>
                      <w:rFonts w:hint="eastAsia" w:ascii="Times New Roman" w:hAnsi="Times New Roman" w:eastAsia="宋体" w:cs="Times New Roman"/>
                      <w:color w:val="auto"/>
                      <w:sz w:val="21"/>
                      <w:szCs w:val="21"/>
                      <w:vertAlign w:val="baseline"/>
                      <w:lang w:val="en-US" w:eastAsia="zh-CN"/>
                    </w:rPr>
                    <w:t>用水</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450</w:t>
                  </w:r>
                  <w:r>
                    <w:rPr>
                      <w:rFonts w:hint="default" w:ascii="Times New Roman" w:hAnsi="Times New Roman" w:eastAsia="宋体" w:cs="Times New Roman"/>
                      <w:color w:val="auto"/>
                      <w:sz w:val="21"/>
                      <w:szCs w:val="21"/>
                      <w:vertAlign w:val="baseline"/>
                      <w:lang w:val="en-US" w:eastAsia="zh-CN"/>
                    </w:rPr>
                    <w:t>t/a）</w:t>
                  </w:r>
                </w:p>
              </w:tc>
              <w:tc>
                <w:tcPr>
                  <w:tcW w:w="2176" w:type="pct"/>
                  <w:tcBorders>
                    <w:tl2br w:val="nil"/>
                    <w:tr2bl w:val="nil"/>
                  </w:tcBorders>
                  <w:noWrap w:val="0"/>
                  <w:vAlign w:val="center"/>
                </w:tcPr>
                <w:p w14:paraId="7F0B4B35">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污染物产生浓度（mg/L）</w:t>
                  </w:r>
                </w:p>
              </w:tc>
              <w:tc>
                <w:tcPr>
                  <w:tcW w:w="564" w:type="pct"/>
                  <w:tcBorders>
                    <w:tl2br w:val="nil"/>
                    <w:tr2bl w:val="nil"/>
                  </w:tcBorders>
                  <w:noWrap w:val="0"/>
                  <w:vAlign w:val="center"/>
                </w:tcPr>
                <w:p w14:paraId="4E797819">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250</w:t>
                  </w:r>
                </w:p>
              </w:tc>
              <w:tc>
                <w:tcPr>
                  <w:tcW w:w="513" w:type="pct"/>
                  <w:tcBorders>
                    <w:tl2br w:val="nil"/>
                    <w:tr2bl w:val="nil"/>
                  </w:tcBorders>
                  <w:noWrap w:val="0"/>
                  <w:vAlign w:val="center"/>
                </w:tcPr>
                <w:p w14:paraId="386153D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110</w:t>
                  </w:r>
                </w:p>
              </w:tc>
              <w:tc>
                <w:tcPr>
                  <w:tcW w:w="579" w:type="pct"/>
                  <w:tcBorders>
                    <w:tl2br w:val="nil"/>
                    <w:tr2bl w:val="nil"/>
                  </w:tcBorders>
                  <w:noWrap w:val="0"/>
                  <w:vAlign w:val="center"/>
                </w:tcPr>
                <w:p w14:paraId="26660654">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p>
              </w:tc>
              <w:tc>
                <w:tcPr>
                  <w:tcW w:w="491" w:type="pct"/>
                  <w:tcBorders>
                    <w:tl2br w:val="nil"/>
                    <w:tr2bl w:val="nil"/>
                  </w:tcBorders>
                  <w:noWrap w:val="0"/>
                  <w:vAlign w:val="center"/>
                </w:tcPr>
                <w:p w14:paraId="23E4AA97">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r>
            <w:tr w14:paraId="613DA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74" w:type="pct"/>
                  <w:vMerge w:val="continue"/>
                  <w:tcBorders>
                    <w:tl2br w:val="nil"/>
                    <w:tr2bl w:val="nil"/>
                  </w:tcBorders>
                  <w:noWrap w:val="0"/>
                  <w:vAlign w:val="center"/>
                </w:tcPr>
                <w:p w14:paraId="7CAE4C30">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176" w:type="pct"/>
                  <w:tcBorders>
                    <w:tl2br w:val="nil"/>
                    <w:tr2bl w:val="nil"/>
                  </w:tcBorders>
                  <w:noWrap w:val="0"/>
                  <w:vAlign w:val="center"/>
                </w:tcPr>
                <w:p w14:paraId="77E86DDB">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污染物产生量（t/a）</w:t>
                  </w:r>
                </w:p>
              </w:tc>
              <w:tc>
                <w:tcPr>
                  <w:tcW w:w="564" w:type="pct"/>
                  <w:tcBorders>
                    <w:tl2br w:val="nil"/>
                    <w:tr2bl w:val="nil"/>
                  </w:tcBorders>
                  <w:noWrap w:val="0"/>
                  <w:vAlign w:val="center"/>
                </w:tcPr>
                <w:p w14:paraId="7F4EF93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1125</w:t>
                  </w:r>
                </w:p>
              </w:tc>
              <w:tc>
                <w:tcPr>
                  <w:tcW w:w="513" w:type="pct"/>
                  <w:tcBorders>
                    <w:tl2br w:val="nil"/>
                    <w:tr2bl w:val="nil"/>
                  </w:tcBorders>
                  <w:noWrap w:val="0"/>
                  <w:vAlign w:val="center"/>
                </w:tcPr>
                <w:p w14:paraId="34932281">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0495</w:t>
                  </w:r>
                </w:p>
              </w:tc>
              <w:tc>
                <w:tcPr>
                  <w:tcW w:w="579" w:type="pct"/>
                  <w:tcBorders>
                    <w:tl2br w:val="nil"/>
                    <w:tr2bl w:val="nil"/>
                  </w:tcBorders>
                  <w:noWrap w:val="0"/>
                  <w:vAlign w:val="center"/>
                </w:tcPr>
                <w:p w14:paraId="2DB20B87">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45</w:t>
                  </w:r>
                </w:p>
              </w:tc>
              <w:tc>
                <w:tcPr>
                  <w:tcW w:w="491" w:type="pct"/>
                  <w:tcBorders>
                    <w:tl2br w:val="nil"/>
                    <w:tr2bl w:val="nil"/>
                  </w:tcBorders>
                  <w:noWrap w:val="0"/>
                  <w:vAlign w:val="center"/>
                </w:tcPr>
                <w:p w14:paraId="0EC0425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108</w:t>
                  </w:r>
                </w:p>
              </w:tc>
            </w:tr>
            <w:tr w14:paraId="68503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674" w:type="pct"/>
                  <w:tcBorders>
                    <w:tl2br w:val="nil"/>
                    <w:tr2bl w:val="nil"/>
                  </w:tcBorders>
                  <w:noWrap w:val="0"/>
                  <w:vAlign w:val="center"/>
                </w:tcPr>
                <w:p w14:paraId="0A8A9E55">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处理措施</w:t>
                  </w:r>
                </w:p>
              </w:tc>
              <w:tc>
                <w:tcPr>
                  <w:tcW w:w="4325" w:type="pct"/>
                  <w:gridSpan w:val="5"/>
                  <w:tcBorders>
                    <w:tl2br w:val="nil"/>
                    <w:tr2bl w:val="nil"/>
                  </w:tcBorders>
                  <w:noWrap w:val="0"/>
                  <w:vAlign w:val="center"/>
                </w:tcPr>
                <w:p w14:paraId="7D3891B9">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依托厂区现有的化粪池处理达标后排入市政污水管网，最终进入</w:t>
                  </w:r>
                  <w:r>
                    <w:rPr>
                      <w:rFonts w:hint="eastAsia" w:eastAsia="宋体" w:cs="Times New Roman"/>
                      <w:color w:val="auto"/>
                      <w:sz w:val="21"/>
                      <w:szCs w:val="21"/>
                      <w:lang w:val="en-US" w:eastAsia="zh-CN"/>
                    </w:rPr>
                    <w:t>福清市融元污水处理厂</w:t>
                  </w:r>
                  <w:r>
                    <w:rPr>
                      <w:rFonts w:hint="eastAsia" w:ascii="Times New Roman" w:hAnsi="Times New Roman" w:eastAsia="宋体" w:cs="Times New Roman"/>
                      <w:color w:val="auto"/>
                      <w:sz w:val="21"/>
                      <w:szCs w:val="21"/>
                      <w:highlight w:val="none"/>
                      <w:vertAlign w:val="baseline"/>
                      <w:lang w:val="en-US" w:eastAsia="zh-CN"/>
                    </w:rPr>
                    <w:t>进行处理</w:t>
                  </w:r>
                </w:p>
              </w:tc>
            </w:tr>
            <w:tr w14:paraId="65148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74" w:type="pct"/>
                  <w:vMerge w:val="restart"/>
                  <w:tcBorders>
                    <w:tl2br w:val="nil"/>
                    <w:tr2bl w:val="nil"/>
                  </w:tcBorders>
                  <w:noWrap w:val="0"/>
                  <w:vAlign w:val="center"/>
                </w:tcPr>
                <w:p w14:paraId="2B8E296B">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生活污水（</w:t>
                  </w:r>
                  <w:r>
                    <w:rPr>
                      <w:rFonts w:hint="eastAsia" w:ascii="Times New Roman" w:hAnsi="Times New Roman" w:eastAsia="宋体" w:cs="Times New Roman"/>
                      <w:color w:val="auto"/>
                      <w:sz w:val="21"/>
                      <w:szCs w:val="21"/>
                      <w:vertAlign w:val="baseline"/>
                      <w:lang w:val="en-US" w:eastAsia="zh-CN"/>
                    </w:rPr>
                    <w:t>360</w:t>
                  </w:r>
                  <w:r>
                    <w:rPr>
                      <w:rFonts w:hint="default" w:ascii="Times New Roman" w:hAnsi="Times New Roman" w:eastAsia="宋体" w:cs="Times New Roman"/>
                      <w:color w:val="auto"/>
                      <w:sz w:val="21"/>
                      <w:szCs w:val="21"/>
                      <w:vertAlign w:val="baseline"/>
                      <w:lang w:val="en-US" w:eastAsia="zh-CN"/>
                    </w:rPr>
                    <w:t>t/a）</w:t>
                  </w:r>
                </w:p>
              </w:tc>
              <w:tc>
                <w:tcPr>
                  <w:tcW w:w="2176" w:type="pct"/>
                  <w:tcBorders>
                    <w:tl2br w:val="nil"/>
                    <w:tr2bl w:val="nil"/>
                  </w:tcBorders>
                  <w:noWrap w:val="0"/>
                  <w:vAlign w:val="center"/>
                </w:tcPr>
                <w:p w14:paraId="53010DFD">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化粪池处理效率</w:t>
                  </w:r>
                </w:p>
              </w:tc>
              <w:tc>
                <w:tcPr>
                  <w:tcW w:w="564" w:type="pct"/>
                  <w:tcBorders>
                    <w:tl2br w:val="nil"/>
                    <w:tr2bl w:val="nil"/>
                  </w:tcBorders>
                  <w:noWrap w:val="0"/>
                  <w:vAlign w:val="center"/>
                </w:tcPr>
                <w:p w14:paraId="0176807A">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513" w:type="pct"/>
                  <w:tcBorders>
                    <w:tl2br w:val="nil"/>
                    <w:tr2bl w:val="nil"/>
                  </w:tcBorders>
                  <w:noWrap w:val="0"/>
                  <w:vAlign w:val="center"/>
                </w:tcPr>
                <w:p w14:paraId="3DABAA38">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579" w:type="pct"/>
                  <w:tcBorders>
                    <w:tl2br w:val="nil"/>
                    <w:tr2bl w:val="nil"/>
                  </w:tcBorders>
                  <w:noWrap w:val="0"/>
                  <w:vAlign w:val="center"/>
                </w:tcPr>
                <w:p w14:paraId="12E52C8D">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491" w:type="pct"/>
                  <w:tcBorders>
                    <w:tl2br w:val="nil"/>
                    <w:tr2bl w:val="nil"/>
                  </w:tcBorders>
                  <w:noWrap w:val="0"/>
                  <w:vAlign w:val="center"/>
                </w:tcPr>
                <w:p w14:paraId="2A567076">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1BE90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674" w:type="pct"/>
                  <w:vMerge w:val="continue"/>
                  <w:tcBorders>
                    <w:tl2br w:val="nil"/>
                    <w:tr2bl w:val="nil"/>
                  </w:tcBorders>
                  <w:noWrap w:val="0"/>
                  <w:vAlign w:val="center"/>
                </w:tcPr>
                <w:p w14:paraId="2A5D1FD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176" w:type="pct"/>
                  <w:tcBorders>
                    <w:tl2br w:val="nil"/>
                    <w:tr2bl w:val="nil"/>
                  </w:tcBorders>
                  <w:noWrap w:val="0"/>
                  <w:vAlign w:val="center"/>
                </w:tcPr>
                <w:p w14:paraId="4F36C6D0">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经化粪池处理后废水排放浓度（mg/L）</w:t>
                  </w:r>
                </w:p>
              </w:tc>
              <w:tc>
                <w:tcPr>
                  <w:tcW w:w="564" w:type="pct"/>
                  <w:tcBorders>
                    <w:tl2br w:val="nil"/>
                    <w:tr2bl w:val="nil"/>
                  </w:tcBorders>
                  <w:noWrap w:val="0"/>
                  <w:vAlign w:val="center"/>
                </w:tcPr>
                <w:p w14:paraId="46F2CB0E">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200</w:t>
                  </w:r>
                </w:p>
              </w:tc>
              <w:tc>
                <w:tcPr>
                  <w:tcW w:w="513" w:type="pct"/>
                  <w:tcBorders>
                    <w:tl2br w:val="nil"/>
                    <w:tr2bl w:val="nil"/>
                  </w:tcBorders>
                  <w:noWrap w:val="0"/>
                  <w:vAlign w:val="center"/>
                </w:tcPr>
                <w:p w14:paraId="2D584260">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93.5</w:t>
                  </w:r>
                </w:p>
              </w:tc>
              <w:tc>
                <w:tcPr>
                  <w:tcW w:w="579" w:type="pct"/>
                  <w:tcBorders>
                    <w:tl2br w:val="nil"/>
                    <w:tr2bl w:val="nil"/>
                  </w:tcBorders>
                  <w:noWrap w:val="0"/>
                  <w:vAlign w:val="center"/>
                </w:tcPr>
                <w:p w14:paraId="1D360E6F">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70</w:t>
                  </w:r>
                </w:p>
              </w:tc>
              <w:tc>
                <w:tcPr>
                  <w:tcW w:w="491" w:type="pct"/>
                  <w:tcBorders>
                    <w:tl2br w:val="nil"/>
                    <w:tr2bl w:val="nil"/>
                  </w:tcBorders>
                  <w:noWrap w:val="0"/>
                  <w:vAlign w:val="center"/>
                </w:tcPr>
                <w:p w14:paraId="155169CE">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r>
            <w:tr w14:paraId="516A0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4" w:type="pct"/>
                  <w:vMerge w:val="continue"/>
                  <w:tcBorders>
                    <w:tl2br w:val="nil"/>
                    <w:tr2bl w:val="nil"/>
                  </w:tcBorders>
                  <w:noWrap w:val="0"/>
                  <w:vAlign w:val="center"/>
                </w:tcPr>
                <w:p w14:paraId="61AF04C2">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176" w:type="pct"/>
                  <w:tcBorders>
                    <w:tl2br w:val="nil"/>
                    <w:tr2bl w:val="nil"/>
                  </w:tcBorders>
                  <w:noWrap w:val="0"/>
                  <w:vAlign w:val="center"/>
                </w:tcPr>
                <w:p w14:paraId="7E55DF71">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经化粪池处理后废水排放量（t/a）</w:t>
                  </w:r>
                </w:p>
              </w:tc>
              <w:tc>
                <w:tcPr>
                  <w:tcW w:w="564" w:type="pct"/>
                  <w:tcBorders>
                    <w:tl2br w:val="nil"/>
                    <w:tr2bl w:val="nil"/>
                  </w:tcBorders>
                  <w:noWrap w:val="0"/>
                  <w:vAlign w:val="center"/>
                </w:tcPr>
                <w:p w14:paraId="2D273A3F">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72</w:t>
                  </w:r>
                </w:p>
              </w:tc>
              <w:tc>
                <w:tcPr>
                  <w:tcW w:w="513" w:type="pct"/>
                  <w:tcBorders>
                    <w:tl2br w:val="nil"/>
                    <w:tr2bl w:val="nil"/>
                  </w:tcBorders>
                  <w:noWrap w:val="0"/>
                  <w:vAlign w:val="center"/>
                </w:tcPr>
                <w:p w14:paraId="1184B656">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337</w:t>
                  </w:r>
                </w:p>
              </w:tc>
              <w:tc>
                <w:tcPr>
                  <w:tcW w:w="579" w:type="pct"/>
                  <w:tcBorders>
                    <w:tl2br w:val="nil"/>
                    <w:tr2bl w:val="nil"/>
                  </w:tcBorders>
                  <w:noWrap w:val="0"/>
                  <w:vAlign w:val="center"/>
                </w:tcPr>
                <w:p w14:paraId="3F2EF79A">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252</w:t>
                  </w:r>
                </w:p>
              </w:tc>
              <w:tc>
                <w:tcPr>
                  <w:tcW w:w="491" w:type="pct"/>
                  <w:tcBorders>
                    <w:tl2br w:val="nil"/>
                    <w:tr2bl w:val="nil"/>
                  </w:tcBorders>
                  <w:noWrap w:val="0"/>
                  <w:vAlign w:val="center"/>
                </w:tcPr>
                <w:p w14:paraId="11A249F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086</w:t>
                  </w:r>
                </w:p>
              </w:tc>
            </w:tr>
            <w:tr w14:paraId="6883C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850" w:type="pct"/>
                  <w:gridSpan w:val="2"/>
                  <w:tcBorders>
                    <w:tl2br w:val="nil"/>
                    <w:tr2bl w:val="nil"/>
                  </w:tcBorders>
                  <w:noWrap w:val="0"/>
                  <w:vAlign w:val="center"/>
                </w:tcPr>
                <w:p w14:paraId="532FE66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lang w:val="en-US" w:eastAsia="zh-CN"/>
                    </w:rPr>
                    <w:t>福清市融元污水处理厂</w:t>
                  </w:r>
                  <w:r>
                    <w:rPr>
                      <w:rFonts w:hint="default" w:ascii="Times New Roman" w:hAnsi="Times New Roman" w:eastAsia="宋体" w:cs="Times New Roman"/>
                      <w:color w:val="auto"/>
                      <w:sz w:val="21"/>
                      <w:szCs w:val="21"/>
                      <w:vertAlign w:val="baseline"/>
                      <w:lang w:val="en-US" w:eastAsia="zh-CN"/>
                    </w:rPr>
                    <w:t>纳污指</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mg/L</w:t>
                  </w:r>
                  <w:r>
                    <w:rPr>
                      <w:rFonts w:hint="eastAsia" w:ascii="Times New Roman" w:hAnsi="Times New Roman" w:eastAsia="宋体" w:cs="Times New Roman"/>
                      <w:color w:val="auto"/>
                      <w:sz w:val="21"/>
                      <w:szCs w:val="21"/>
                      <w:vertAlign w:val="baseline"/>
                      <w:lang w:val="en-US" w:eastAsia="zh-CN"/>
                    </w:rPr>
                    <w:t>）</w:t>
                  </w:r>
                </w:p>
              </w:tc>
              <w:tc>
                <w:tcPr>
                  <w:tcW w:w="564" w:type="pct"/>
                  <w:tcBorders>
                    <w:tl2br w:val="nil"/>
                    <w:tr2bl w:val="nil"/>
                  </w:tcBorders>
                  <w:noWrap w:val="0"/>
                  <w:vAlign w:val="center"/>
                </w:tcPr>
                <w:p w14:paraId="751BE123">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400</w:t>
                  </w:r>
                </w:p>
              </w:tc>
              <w:tc>
                <w:tcPr>
                  <w:tcW w:w="513" w:type="pct"/>
                  <w:tcBorders>
                    <w:tl2br w:val="nil"/>
                    <w:tr2bl w:val="nil"/>
                  </w:tcBorders>
                  <w:noWrap w:val="0"/>
                  <w:vAlign w:val="center"/>
                </w:tcPr>
                <w:p w14:paraId="0EFE3FCE">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220</w:t>
                  </w:r>
                </w:p>
              </w:tc>
              <w:tc>
                <w:tcPr>
                  <w:tcW w:w="579" w:type="pct"/>
                  <w:tcBorders>
                    <w:tl2br w:val="nil"/>
                    <w:tr2bl w:val="nil"/>
                  </w:tcBorders>
                  <w:noWrap w:val="0"/>
                  <w:vAlign w:val="center"/>
                </w:tcPr>
                <w:p w14:paraId="47738F86">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≤2</w:t>
                  </w:r>
                  <w:r>
                    <w:rPr>
                      <w:rFonts w:hint="eastAsia" w:ascii="Times New Roman" w:hAnsi="Times New Roman" w:eastAsia="宋体" w:cs="Times New Roman"/>
                      <w:color w:val="auto"/>
                      <w:kern w:val="0"/>
                      <w:sz w:val="20"/>
                      <w:szCs w:val="20"/>
                      <w:lang w:val="en-US" w:eastAsia="zh-CN" w:bidi="ar"/>
                    </w:rPr>
                    <w:t>8</w:t>
                  </w:r>
                  <w:r>
                    <w:rPr>
                      <w:rFonts w:hint="default" w:ascii="Times New Roman" w:hAnsi="Times New Roman" w:eastAsia="宋体" w:cs="Times New Roman"/>
                      <w:color w:val="auto"/>
                      <w:kern w:val="0"/>
                      <w:sz w:val="20"/>
                      <w:szCs w:val="20"/>
                      <w:lang w:val="en-US" w:eastAsia="zh-CN" w:bidi="ar"/>
                    </w:rPr>
                    <w:t>0</w:t>
                  </w:r>
                </w:p>
              </w:tc>
              <w:tc>
                <w:tcPr>
                  <w:tcW w:w="491" w:type="pct"/>
                  <w:tcBorders>
                    <w:tl2br w:val="nil"/>
                    <w:tr2bl w:val="nil"/>
                  </w:tcBorders>
                  <w:noWrap w:val="0"/>
                  <w:vAlign w:val="center"/>
                </w:tcPr>
                <w:p w14:paraId="46E5CEE0">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37</w:t>
                  </w:r>
                </w:p>
              </w:tc>
            </w:tr>
            <w:tr w14:paraId="7F6EF0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850" w:type="pct"/>
                  <w:gridSpan w:val="2"/>
                  <w:tcBorders>
                    <w:tl2br w:val="nil"/>
                    <w:tr2bl w:val="nil"/>
                  </w:tcBorders>
                  <w:noWrap w:val="0"/>
                  <w:vAlign w:val="center"/>
                </w:tcPr>
                <w:p w14:paraId="338AD4F5">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lang w:val="en-US" w:eastAsia="zh-CN"/>
                    </w:rPr>
                    <w:t>福清市融元污水处理厂</w:t>
                  </w:r>
                  <w:r>
                    <w:rPr>
                      <w:rFonts w:hint="eastAsia" w:ascii="Times New Roman" w:hAnsi="Times New Roman" w:eastAsia="宋体" w:cs="Times New Roman"/>
                      <w:color w:val="auto"/>
                      <w:sz w:val="21"/>
                      <w:szCs w:val="21"/>
                      <w:vertAlign w:val="baseline"/>
                      <w:lang w:val="en-US" w:eastAsia="zh-CN"/>
                    </w:rPr>
                    <w:t>尾水排放指标（</w:t>
                  </w:r>
                  <w:r>
                    <w:rPr>
                      <w:rFonts w:hint="default" w:ascii="Times New Roman" w:hAnsi="Times New Roman" w:eastAsia="宋体" w:cs="Times New Roman"/>
                      <w:color w:val="auto"/>
                      <w:sz w:val="21"/>
                      <w:szCs w:val="21"/>
                      <w:vertAlign w:val="baseline"/>
                      <w:lang w:val="en-US" w:eastAsia="zh-CN"/>
                    </w:rPr>
                    <w:t>mg/L</w:t>
                  </w:r>
                  <w:r>
                    <w:rPr>
                      <w:rFonts w:hint="eastAsia" w:ascii="Times New Roman" w:hAnsi="Times New Roman" w:eastAsia="宋体" w:cs="Times New Roman"/>
                      <w:color w:val="auto"/>
                      <w:sz w:val="21"/>
                      <w:szCs w:val="21"/>
                      <w:vertAlign w:val="baseline"/>
                      <w:lang w:val="en-US" w:eastAsia="zh-CN"/>
                    </w:rPr>
                    <w:t>）</w:t>
                  </w:r>
                </w:p>
              </w:tc>
              <w:tc>
                <w:tcPr>
                  <w:tcW w:w="564" w:type="pct"/>
                  <w:tcBorders>
                    <w:tl2br w:val="nil"/>
                    <w:tr2bl w:val="nil"/>
                  </w:tcBorders>
                  <w:noWrap w:val="0"/>
                  <w:vAlign w:val="center"/>
                </w:tcPr>
                <w:p w14:paraId="46D27B3D">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50</w:t>
                  </w:r>
                </w:p>
              </w:tc>
              <w:tc>
                <w:tcPr>
                  <w:tcW w:w="513" w:type="pct"/>
                  <w:tcBorders>
                    <w:tl2br w:val="nil"/>
                    <w:tr2bl w:val="nil"/>
                  </w:tcBorders>
                  <w:noWrap w:val="0"/>
                  <w:vAlign w:val="center"/>
                </w:tcPr>
                <w:p w14:paraId="58B567DA">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10</w:t>
                  </w:r>
                </w:p>
              </w:tc>
              <w:tc>
                <w:tcPr>
                  <w:tcW w:w="579" w:type="pct"/>
                  <w:tcBorders>
                    <w:tl2br w:val="nil"/>
                    <w:tr2bl w:val="nil"/>
                  </w:tcBorders>
                  <w:noWrap w:val="0"/>
                  <w:vAlign w:val="center"/>
                </w:tcPr>
                <w:p w14:paraId="69972B88">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10</w:t>
                  </w:r>
                </w:p>
              </w:tc>
              <w:tc>
                <w:tcPr>
                  <w:tcW w:w="491" w:type="pct"/>
                  <w:tcBorders>
                    <w:tl2br w:val="nil"/>
                    <w:tr2bl w:val="nil"/>
                  </w:tcBorders>
                  <w:noWrap w:val="0"/>
                  <w:vAlign w:val="center"/>
                </w:tcPr>
                <w:p w14:paraId="6445E4B7">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5</w:t>
                  </w:r>
                </w:p>
              </w:tc>
            </w:tr>
            <w:tr w14:paraId="019D2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850" w:type="pct"/>
                  <w:gridSpan w:val="2"/>
                  <w:tcBorders>
                    <w:tl2br w:val="nil"/>
                    <w:tr2bl w:val="nil"/>
                  </w:tcBorders>
                  <w:noWrap w:val="0"/>
                  <w:vAlign w:val="center"/>
                </w:tcPr>
                <w:p w14:paraId="1F6C3774">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排口排放达标分析</w:t>
                  </w:r>
                </w:p>
              </w:tc>
              <w:tc>
                <w:tcPr>
                  <w:tcW w:w="564" w:type="pct"/>
                  <w:tcBorders>
                    <w:tl2br w:val="nil"/>
                    <w:tr2bl w:val="nil"/>
                  </w:tcBorders>
                  <w:noWrap w:val="0"/>
                  <w:vAlign w:val="center"/>
                </w:tcPr>
                <w:p w14:paraId="565FC165">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513" w:type="pct"/>
                  <w:tcBorders>
                    <w:tl2br w:val="nil"/>
                    <w:tr2bl w:val="nil"/>
                  </w:tcBorders>
                  <w:noWrap w:val="0"/>
                  <w:vAlign w:val="center"/>
                </w:tcPr>
                <w:p w14:paraId="7B463F63">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579" w:type="pct"/>
                  <w:tcBorders>
                    <w:tl2br w:val="nil"/>
                    <w:tr2bl w:val="nil"/>
                  </w:tcBorders>
                  <w:noWrap w:val="0"/>
                  <w:vAlign w:val="center"/>
                </w:tcPr>
                <w:p w14:paraId="3B61A0E5">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491" w:type="pct"/>
                  <w:tcBorders>
                    <w:tl2br w:val="nil"/>
                    <w:tr2bl w:val="nil"/>
                  </w:tcBorders>
                  <w:noWrap w:val="0"/>
                  <w:vAlign w:val="center"/>
                </w:tcPr>
                <w:p w14:paraId="2819D059">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r>
          </w:tbl>
          <w:p w14:paraId="613594C5">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en-US" w:eastAsia="zh-CN"/>
              </w:rPr>
            </w:pPr>
            <w:bookmarkStart w:id="110" w:name="_Toc19668"/>
            <w:bookmarkStart w:id="111" w:name="_Toc16893"/>
            <w:bookmarkStart w:id="112" w:name="_Toc14541"/>
          </w:p>
          <w:p w14:paraId="0FEAD7F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13" w:name="_Toc16752"/>
            <w:r>
              <w:rPr>
                <w:rFonts w:hint="eastAsia"/>
                <w:b/>
                <w:color w:val="262626"/>
                <w:kern w:val="0"/>
                <w:sz w:val="24"/>
                <w:lang w:val="en-US" w:eastAsia="zh-CN"/>
              </w:rPr>
              <w:t>4.2.2</w:t>
            </w:r>
            <w:r>
              <w:rPr>
                <w:rFonts w:hint="default"/>
                <w:b/>
                <w:color w:val="262626"/>
                <w:kern w:val="0"/>
                <w:sz w:val="24"/>
                <w:lang w:val="en-US" w:eastAsia="zh-CN"/>
              </w:rPr>
              <w:t>运营期水环境影响及污染防治措施可行性分析</w:t>
            </w:r>
            <w:bookmarkEnd w:id="113"/>
          </w:p>
          <w:p w14:paraId="2FD3CE07">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（1）化粪池依托处理可行性分析</w:t>
            </w:r>
          </w:p>
          <w:p w14:paraId="31C88857">
            <w:pPr>
              <w:widowControl/>
              <w:spacing w:line="360" w:lineRule="auto"/>
              <w:ind w:firstLine="480" w:firstLineChars="200"/>
              <w:jc w:val="left"/>
              <w:rPr>
                <w:rFonts w:hint="default" w:ascii="Times New Roman" w:hAnsi="Times New Roman" w:eastAsia="宋体" w:cs="Times New Roman"/>
                <w:strike w:val="0"/>
                <w:dstrike w:val="0"/>
                <w:color w:val="auto"/>
                <w:sz w:val="24"/>
              </w:rPr>
            </w:pPr>
            <w:r>
              <w:rPr>
                <w:rFonts w:hint="default" w:ascii="Times New Roman" w:hAnsi="Times New Roman" w:eastAsia="宋体" w:cs="Times New Roman"/>
                <w:b w:val="0"/>
                <w:bCs w:val="0"/>
                <w:strike w:val="0"/>
                <w:dstrike w:val="0"/>
                <w:color w:val="auto"/>
                <w:sz w:val="24"/>
                <w:szCs w:val="24"/>
                <w:highlight w:val="none"/>
                <w:lang w:val="en-US" w:eastAsia="zh-CN"/>
              </w:rPr>
              <w:t>项目</w:t>
            </w:r>
            <w:r>
              <w:rPr>
                <w:rFonts w:hint="default" w:ascii="Times New Roman" w:hAnsi="Times New Roman" w:eastAsia="宋体" w:cs="Times New Roman"/>
                <w:strike w:val="0"/>
                <w:dstrike w:val="0"/>
                <w:color w:val="auto"/>
                <w:sz w:val="24"/>
                <w:szCs w:val="24"/>
                <w:lang w:val="en-US" w:eastAsia="zh-CN"/>
              </w:rPr>
              <w:t>生产废水为冷却塔用水，循环使用不外排</w:t>
            </w:r>
            <w:r>
              <w:rPr>
                <w:rFonts w:hint="default" w:ascii="Times New Roman" w:hAnsi="Times New Roman" w:eastAsia="宋体" w:cs="Times New Roman"/>
                <w:b w:val="0"/>
                <w:bCs w:val="0"/>
                <w:strike w:val="0"/>
                <w:dstrike w:val="0"/>
                <w:color w:val="auto"/>
                <w:sz w:val="24"/>
                <w:szCs w:val="24"/>
                <w:highlight w:val="none"/>
                <w:lang w:val="en-US" w:eastAsia="zh-CN"/>
              </w:rPr>
              <w:t>，运营期外排废水为生活污水，依托厂区内现有化粪池处理后，排入市政污水管网，送往</w:t>
            </w:r>
            <w:r>
              <w:rPr>
                <w:rFonts w:hint="default" w:ascii="Times New Roman" w:hAnsi="Times New Roman" w:eastAsia="宋体" w:cs="Times New Roman"/>
                <w:strike w:val="0"/>
                <w:dstrike w:val="0"/>
                <w:color w:val="auto"/>
                <w:sz w:val="24"/>
                <w:szCs w:val="24"/>
                <w:lang w:val="en-US" w:eastAsia="zh-CN"/>
              </w:rPr>
              <w:t>福清市融元污水处理厂集</w:t>
            </w:r>
            <w:r>
              <w:rPr>
                <w:rFonts w:hint="default" w:ascii="Times New Roman" w:hAnsi="Times New Roman" w:eastAsia="宋体" w:cs="Times New Roman"/>
                <w:b w:val="0"/>
                <w:bCs w:val="0"/>
                <w:strike w:val="0"/>
                <w:dstrike w:val="0"/>
                <w:color w:val="auto"/>
                <w:sz w:val="24"/>
                <w:szCs w:val="24"/>
                <w:highlight w:val="none"/>
                <w:lang w:val="en-US" w:eastAsia="zh-CN"/>
              </w:rPr>
              <w:t>中进行处理，污水处理厂尾水排入龙江，所处龙江“南门桥水闸至龙江入海口”断面。生活污水依托厂区（均和云谷·福清科技港园区）现有的化粪池（50m</w:t>
            </w:r>
            <w:r>
              <w:rPr>
                <w:rFonts w:hint="default" w:ascii="Times New Roman" w:hAnsi="Times New Roman" w:eastAsia="宋体" w:cs="Times New Roman"/>
                <w:b w:val="0"/>
                <w:bCs w:val="0"/>
                <w:strike w:val="0"/>
                <w:dstrike w:val="0"/>
                <w:color w:val="auto"/>
                <w:sz w:val="24"/>
                <w:szCs w:val="24"/>
                <w:highlight w:val="none"/>
                <w:vertAlign w:val="superscript"/>
                <w:lang w:val="en-US" w:eastAsia="zh-CN"/>
              </w:rPr>
              <w:t>3</w:t>
            </w:r>
            <w:r>
              <w:rPr>
                <w:rFonts w:hint="default" w:ascii="Times New Roman" w:hAnsi="Times New Roman" w:eastAsia="宋体" w:cs="Times New Roman"/>
                <w:b w:val="0"/>
                <w:bCs w:val="0"/>
                <w:strike w:val="0"/>
                <w:dstrike w:val="0"/>
                <w:color w:val="auto"/>
                <w:sz w:val="24"/>
                <w:szCs w:val="24"/>
                <w:highlight w:val="none"/>
                <w:lang w:val="en-US" w:eastAsia="zh-CN"/>
              </w:rPr>
              <w:t>）处理后进入市政管网。据建设单位提供资料，</w:t>
            </w:r>
            <w:r>
              <w:rPr>
                <w:rFonts w:hint="default" w:ascii="Times New Roman" w:hAnsi="Times New Roman" w:eastAsia="宋体" w:cs="Times New Roman"/>
                <w:strike w:val="0"/>
                <w:dstrike w:val="0"/>
                <w:color w:val="auto"/>
                <w:sz w:val="24"/>
                <w:lang w:val="en-GB"/>
              </w:rPr>
              <w:t>项目所在的</w:t>
            </w:r>
            <w:r>
              <w:rPr>
                <w:rFonts w:hint="default" w:ascii="Times New Roman" w:hAnsi="Times New Roman" w:eastAsia="宋体" w:cs="Times New Roman"/>
                <w:strike w:val="0"/>
                <w:dstrike w:val="0"/>
                <w:color w:val="auto"/>
                <w:sz w:val="24"/>
              </w:rPr>
              <w:t>均和云谷</w:t>
            </w:r>
            <w:r>
              <w:rPr>
                <w:rFonts w:hint="eastAsia" w:ascii="宋体" w:hAnsi="宋体" w:eastAsia="宋体" w:cs="宋体"/>
                <w:strike w:val="0"/>
                <w:dstrike w:val="0"/>
                <w:color w:val="auto"/>
                <w:sz w:val="24"/>
              </w:rPr>
              <w:t>·</w:t>
            </w:r>
            <w:r>
              <w:rPr>
                <w:rFonts w:hint="default" w:ascii="Times New Roman" w:hAnsi="Times New Roman" w:eastAsia="宋体" w:cs="Times New Roman"/>
                <w:strike w:val="0"/>
                <w:dstrike w:val="0"/>
                <w:color w:val="auto"/>
                <w:sz w:val="24"/>
              </w:rPr>
              <w:t>福清科技港园区</w:t>
            </w:r>
            <w:r>
              <w:rPr>
                <w:rFonts w:hint="default" w:ascii="Times New Roman" w:hAnsi="Times New Roman" w:eastAsia="宋体" w:cs="Times New Roman"/>
                <w:strike w:val="0"/>
                <w:dstrike w:val="0"/>
                <w:color w:val="auto"/>
                <w:sz w:val="24"/>
                <w:lang w:val="en-US" w:eastAsia="zh-CN"/>
              </w:rPr>
              <w:t>西</w:t>
            </w:r>
            <w:r>
              <w:rPr>
                <w:rFonts w:hint="default" w:ascii="Times New Roman" w:hAnsi="Times New Roman" w:eastAsia="宋体" w:cs="Times New Roman"/>
                <w:strike w:val="0"/>
                <w:dstrike w:val="0"/>
                <w:color w:val="auto"/>
                <w:sz w:val="24"/>
              </w:rPr>
              <w:t>北侧</w:t>
            </w:r>
            <w:r>
              <w:rPr>
                <w:rFonts w:hint="default" w:ascii="Times New Roman" w:hAnsi="Times New Roman" w:eastAsia="宋体" w:cs="Times New Roman"/>
                <w:strike w:val="0"/>
                <w:dstrike w:val="0"/>
                <w:color w:val="auto"/>
                <w:sz w:val="24"/>
                <w:lang w:val="en-GB"/>
              </w:rPr>
              <w:t>设有一个有效容积约为50m</w:t>
            </w:r>
            <w:r>
              <w:rPr>
                <w:rFonts w:hint="default" w:ascii="Times New Roman" w:hAnsi="Times New Roman" w:eastAsia="宋体" w:cs="Times New Roman"/>
                <w:strike w:val="0"/>
                <w:dstrike w:val="0"/>
                <w:color w:val="auto"/>
                <w:sz w:val="24"/>
                <w:vertAlign w:val="superscript"/>
                <w:lang w:val="en-GB"/>
              </w:rPr>
              <w:t>3</w:t>
            </w:r>
            <w:r>
              <w:rPr>
                <w:rFonts w:hint="default" w:ascii="Times New Roman" w:hAnsi="Times New Roman" w:eastAsia="宋体" w:cs="Times New Roman"/>
                <w:strike w:val="0"/>
                <w:dstrike w:val="0"/>
                <w:color w:val="auto"/>
                <w:sz w:val="24"/>
                <w:lang w:val="en-GB"/>
              </w:rPr>
              <w:t>化粪池供</w:t>
            </w:r>
            <w:r>
              <w:rPr>
                <w:rFonts w:hint="default" w:ascii="Times New Roman" w:hAnsi="Times New Roman" w:eastAsia="宋体" w:cs="Times New Roman"/>
                <w:strike w:val="0"/>
                <w:dstrike w:val="0"/>
                <w:color w:val="auto"/>
                <w:sz w:val="24"/>
              </w:rPr>
              <w:t>整个厂区</w:t>
            </w:r>
            <w:r>
              <w:rPr>
                <w:rFonts w:hint="default" w:ascii="Times New Roman" w:hAnsi="Times New Roman" w:eastAsia="宋体" w:cs="Times New Roman"/>
                <w:strike w:val="0"/>
                <w:dstrike w:val="0"/>
                <w:color w:val="auto"/>
                <w:sz w:val="24"/>
                <w:lang w:val="en-GB"/>
              </w:rPr>
              <w:t>生活污水</w:t>
            </w:r>
            <w:r>
              <w:rPr>
                <w:rFonts w:hint="default" w:ascii="Times New Roman" w:hAnsi="Times New Roman" w:eastAsia="宋体" w:cs="Times New Roman"/>
                <w:strike w:val="0"/>
                <w:dstrike w:val="0"/>
                <w:color w:val="auto"/>
                <w:sz w:val="24"/>
                <w:lang w:val="en-US" w:eastAsia="zh-CN"/>
              </w:rPr>
              <w:t>处理</w:t>
            </w:r>
            <w:r>
              <w:rPr>
                <w:rFonts w:hint="default" w:ascii="Times New Roman" w:hAnsi="Times New Roman" w:eastAsia="宋体" w:cs="Times New Roman"/>
                <w:strike w:val="0"/>
                <w:dstrike w:val="0"/>
                <w:color w:val="auto"/>
                <w:sz w:val="24"/>
                <w:lang w:val="en-GB"/>
              </w:rPr>
              <w:t>使用</w:t>
            </w:r>
            <w:r>
              <w:rPr>
                <w:rFonts w:hint="default" w:ascii="Times New Roman" w:hAnsi="Times New Roman" w:eastAsia="宋体" w:cs="Times New Roman"/>
                <w:strike w:val="0"/>
                <w:dstrike w:val="0"/>
                <w:color w:val="auto"/>
                <w:sz w:val="24"/>
                <w:lang w:val="en-GB" w:eastAsia="zh-CN"/>
              </w:rPr>
              <w:t>，</w:t>
            </w:r>
            <w:r>
              <w:rPr>
                <w:rFonts w:hint="default" w:ascii="Times New Roman" w:hAnsi="Times New Roman" w:eastAsia="宋体" w:cs="Times New Roman"/>
                <w:strike w:val="0"/>
                <w:dstrike w:val="0"/>
                <w:color w:val="auto"/>
                <w:sz w:val="24"/>
                <w:lang w:val="en-US" w:eastAsia="zh-CN"/>
              </w:rPr>
              <w:t>化粪池管理、维护均由均和物业管理服务（福州）有限公司全权负责</w:t>
            </w:r>
            <w:r>
              <w:rPr>
                <w:rFonts w:hint="default" w:ascii="Times New Roman" w:hAnsi="Times New Roman" w:eastAsia="宋体" w:cs="Times New Roman"/>
                <w:strike w:val="0"/>
                <w:dstrike w:val="0"/>
                <w:color w:val="auto"/>
                <w:sz w:val="24"/>
                <w:lang w:val="en-GB"/>
              </w:rPr>
              <w:t>。根据均和产业发展（福清）有限公司提</w:t>
            </w:r>
            <w:r>
              <w:rPr>
                <w:rFonts w:hint="eastAsia" w:cs="Times New Roman"/>
                <w:strike w:val="0"/>
                <w:dstrike w:val="0"/>
                <w:color w:val="auto"/>
                <w:sz w:val="24"/>
                <w:lang w:val="en-GB" w:eastAsia="zh-CN"/>
              </w:rPr>
              <w:t>供的</w:t>
            </w:r>
            <w:r>
              <w:rPr>
                <w:rFonts w:hint="default" w:ascii="Times New Roman" w:hAnsi="Times New Roman" w:eastAsia="宋体" w:cs="Times New Roman"/>
                <w:strike w:val="0"/>
                <w:dstrike w:val="0"/>
                <w:color w:val="auto"/>
                <w:sz w:val="24"/>
                <w:lang w:val="en-GB"/>
              </w:rPr>
              <w:t>证明材料</w:t>
            </w:r>
            <w:r>
              <w:rPr>
                <w:rFonts w:hint="default" w:ascii="Times New Roman" w:hAnsi="Times New Roman" w:eastAsia="宋体" w:cs="Times New Roman"/>
                <w:bCs/>
                <w:strike w:val="0"/>
                <w:dstrike w:val="0"/>
                <w:color w:val="auto"/>
                <w:sz w:val="24"/>
                <w:szCs w:val="24"/>
                <w:lang w:val="en-US" w:eastAsia="zh-CN"/>
              </w:rPr>
              <w:t>（目前仅</w:t>
            </w:r>
            <w:r>
              <w:rPr>
                <w:rFonts w:hint="default" w:ascii="Times New Roman" w:hAnsi="Times New Roman" w:eastAsia="宋体" w:cs="Times New Roman"/>
                <w:bCs/>
                <w:strike w:val="0"/>
                <w:dstrike w:val="0"/>
                <w:color w:val="auto"/>
                <w:sz w:val="24"/>
                <w:szCs w:val="24"/>
              </w:rPr>
              <w:t>福州睿信模具有限公司</w:t>
            </w:r>
            <w:r>
              <w:rPr>
                <w:rFonts w:hint="default" w:ascii="Times New Roman" w:hAnsi="Times New Roman" w:eastAsia="宋体" w:cs="Times New Roman"/>
                <w:bCs/>
                <w:strike w:val="0"/>
                <w:dstrike w:val="0"/>
                <w:color w:val="auto"/>
                <w:sz w:val="24"/>
                <w:szCs w:val="24"/>
                <w:lang w:val="en-US" w:eastAsia="zh-CN"/>
              </w:rPr>
              <w:t>排放的生活污水1.575t/d、福州融耀智造科技有限公司排放的生活污水2.25t/d、福州塑颜新材料有限公司排放的生活污水0.6t/d、</w:t>
            </w:r>
            <w:r>
              <w:rPr>
                <w:rFonts w:hint="default" w:ascii="Times New Roman" w:hAnsi="Times New Roman" w:eastAsia="宋体" w:cs="Times New Roman"/>
                <w:strike w:val="0"/>
                <w:dstrike w:val="0"/>
                <w:color w:val="auto"/>
                <w:sz w:val="24"/>
                <w:szCs w:val="24"/>
                <w:highlight w:val="none"/>
                <w:lang w:eastAsia="zh-CN"/>
              </w:rPr>
              <w:t>福清市鑫汉电子科技有限公</w:t>
            </w:r>
            <w:r>
              <w:rPr>
                <w:rFonts w:hint="default" w:ascii="Times New Roman" w:hAnsi="Times New Roman" w:eastAsia="宋体" w:cs="Times New Roman"/>
                <w:bCs/>
                <w:strike w:val="0"/>
                <w:dstrike w:val="0"/>
                <w:color w:val="auto"/>
                <w:sz w:val="24"/>
                <w:szCs w:val="24"/>
                <w:lang w:val="en-US" w:eastAsia="zh-CN"/>
              </w:rPr>
              <w:t>司排放的生活污水1.28t/d、福州格霖灌溉设备有限公司排放的生活污水1.6t/d、福州闽新新材料科技有限公司排放的生活污水0.9t/d、</w:t>
            </w:r>
            <w:bookmarkStart w:id="114" w:name="项目名称"/>
            <w:r>
              <w:rPr>
                <w:rFonts w:hint="default" w:ascii="Times New Roman" w:hAnsi="Times New Roman" w:eastAsia="宋体" w:cs="Times New Roman"/>
                <w:bCs/>
                <w:strike w:val="0"/>
                <w:dstrike w:val="0"/>
                <w:color w:val="auto"/>
                <w:sz w:val="24"/>
                <w:szCs w:val="24"/>
                <w:lang w:val="en-US" w:eastAsia="zh-CN"/>
              </w:rPr>
              <w:t>福州利鑫新材料科技有限公司</w:t>
            </w:r>
            <w:bookmarkEnd w:id="114"/>
            <w:r>
              <w:rPr>
                <w:rFonts w:hint="default" w:ascii="Times New Roman" w:hAnsi="Times New Roman" w:eastAsia="宋体" w:cs="Times New Roman"/>
                <w:bCs/>
                <w:strike w:val="0"/>
                <w:dstrike w:val="0"/>
                <w:color w:val="auto"/>
                <w:sz w:val="24"/>
                <w:szCs w:val="24"/>
                <w:lang w:val="en-US" w:eastAsia="zh-CN"/>
              </w:rPr>
              <w:t>排放的生活污水0.6t/d、三辉新材料科技有限公司0.6t/d）</w:t>
            </w:r>
            <w:r>
              <w:rPr>
                <w:rFonts w:hint="default" w:ascii="Times New Roman" w:hAnsi="Times New Roman" w:eastAsia="宋体" w:cs="Times New Roman"/>
                <w:bCs/>
                <w:strike w:val="0"/>
                <w:dstrike w:val="0"/>
                <w:color w:val="auto"/>
                <w:sz w:val="24"/>
                <w:szCs w:val="24"/>
                <w:lang w:val="en-GB" w:eastAsia="zh-CN"/>
              </w:rPr>
              <w:t>，</w:t>
            </w:r>
            <w:r>
              <w:rPr>
                <w:rFonts w:hint="default" w:ascii="Times New Roman" w:hAnsi="Times New Roman" w:eastAsia="宋体" w:cs="Times New Roman"/>
                <w:strike w:val="0"/>
                <w:dstrike w:val="0"/>
                <w:color w:val="auto"/>
                <w:sz w:val="24"/>
                <w:lang w:val="en-GB"/>
              </w:rPr>
              <w:t>项目化粪池尚有</w:t>
            </w:r>
            <w:r>
              <w:rPr>
                <w:rFonts w:hint="default" w:ascii="Times New Roman" w:hAnsi="Times New Roman" w:eastAsia="宋体" w:cs="Times New Roman"/>
                <w:strike w:val="0"/>
                <w:dstrike w:val="0"/>
                <w:color w:val="auto"/>
                <w:sz w:val="24"/>
                <w:lang w:val="en-US" w:eastAsia="zh-CN"/>
              </w:rPr>
              <w:t>41.795</w:t>
            </w:r>
            <w:r>
              <w:rPr>
                <w:rFonts w:hint="default" w:ascii="Times New Roman" w:hAnsi="Times New Roman" w:eastAsia="宋体" w:cs="Times New Roman"/>
                <w:strike w:val="0"/>
                <w:dstrike w:val="0"/>
                <w:color w:val="auto"/>
                <w:sz w:val="24"/>
                <w:lang w:val="en-GB"/>
              </w:rPr>
              <w:t>m</w:t>
            </w:r>
            <w:r>
              <w:rPr>
                <w:rFonts w:hint="default" w:ascii="Times New Roman" w:hAnsi="Times New Roman" w:eastAsia="宋体" w:cs="Times New Roman"/>
                <w:strike w:val="0"/>
                <w:dstrike w:val="0"/>
                <w:color w:val="auto"/>
                <w:sz w:val="24"/>
                <w:vertAlign w:val="superscript"/>
                <w:lang w:val="en-GB"/>
              </w:rPr>
              <w:t>3</w:t>
            </w:r>
            <w:r>
              <w:rPr>
                <w:rFonts w:hint="default" w:ascii="Times New Roman" w:hAnsi="Times New Roman" w:eastAsia="宋体" w:cs="Times New Roman"/>
                <w:strike w:val="0"/>
                <w:dstrike w:val="0"/>
                <w:color w:val="auto"/>
                <w:sz w:val="24"/>
                <w:lang w:val="en-GB"/>
              </w:rPr>
              <w:t>/d余量给本项目使用，</w:t>
            </w:r>
            <w:r>
              <w:rPr>
                <w:rFonts w:hint="default" w:ascii="Times New Roman" w:hAnsi="Times New Roman" w:eastAsia="宋体" w:cs="Times New Roman"/>
                <w:strike w:val="0"/>
                <w:dstrike w:val="0"/>
                <w:color w:val="auto"/>
                <w:sz w:val="24"/>
              </w:rPr>
              <w:t>本项目生活污水排放量约为</w:t>
            </w:r>
            <w:r>
              <w:rPr>
                <w:rFonts w:hint="default" w:ascii="Times New Roman" w:hAnsi="Times New Roman" w:eastAsia="宋体" w:cs="Times New Roman"/>
                <w:strike w:val="0"/>
                <w:dstrike w:val="0"/>
                <w:color w:val="auto"/>
                <w:sz w:val="24"/>
                <w:lang w:val="en-US" w:eastAsia="zh-CN"/>
              </w:rPr>
              <w:t>1.2</w:t>
            </w:r>
            <w:r>
              <w:rPr>
                <w:rFonts w:hint="default" w:ascii="Times New Roman" w:hAnsi="Times New Roman" w:eastAsia="宋体" w:cs="Times New Roman"/>
                <w:strike w:val="0"/>
                <w:dstrike w:val="0"/>
                <w:color w:val="auto"/>
                <w:sz w:val="24"/>
              </w:rPr>
              <w:t>t/d，约占剩余化粪池处理量</w:t>
            </w:r>
            <w:r>
              <w:rPr>
                <w:rFonts w:hint="default" w:ascii="Times New Roman" w:hAnsi="Times New Roman" w:eastAsia="宋体" w:cs="Times New Roman"/>
                <w:strike w:val="0"/>
                <w:dstrike w:val="0"/>
                <w:color w:val="auto"/>
                <w:sz w:val="24"/>
                <w:lang w:val="en-US" w:eastAsia="zh-CN"/>
              </w:rPr>
              <w:t>14.63</w:t>
            </w:r>
            <w:r>
              <w:rPr>
                <w:rFonts w:hint="default" w:ascii="Times New Roman" w:hAnsi="Times New Roman" w:eastAsia="宋体" w:cs="Times New Roman"/>
                <w:strike w:val="0"/>
                <w:dstrike w:val="0"/>
                <w:color w:val="auto"/>
                <w:sz w:val="24"/>
              </w:rPr>
              <w:t>%，因此本项目生活污水依托均和云谷·福清科技港园区已建的化粪池进行处理可行。</w:t>
            </w:r>
            <w:r>
              <w:rPr>
                <w:rFonts w:hint="default" w:ascii="Times New Roman" w:hAnsi="Times New Roman" w:eastAsia="宋体" w:cs="Times New Roman"/>
                <w:strike w:val="0"/>
                <w:dstrike w:val="0"/>
                <w:color w:val="auto"/>
                <w:sz w:val="24"/>
                <w:lang w:val="en-US" w:eastAsia="zh-CN"/>
              </w:rPr>
              <w:t>根据现场勘查，目前厂区市政污水管网已经接入厂区西北侧岁金配套路市政污水管网</w:t>
            </w:r>
            <w:r>
              <w:rPr>
                <w:rFonts w:hint="eastAsia" w:cs="Times New Roman"/>
                <w:strike w:val="0"/>
                <w:dstrike w:val="0"/>
                <w:color w:val="auto"/>
                <w:sz w:val="24"/>
                <w:highlight w:val="none"/>
                <w:lang w:val="en-US" w:eastAsia="zh-CN"/>
              </w:rPr>
              <w:t>（</w:t>
            </w:r>
            <w:r>
              <w:rPr>
                <w:rFonts w:hint="default" w:ascii="Times New Roman" w:hAnsi="Times New Roman" w:eastAsia="宋体" w:cs="Times New Roman"/>
                <w:strike w:val="0"/>
                <w:dstrike w:val="0"/>
                <w:color w:val="auto"/>
                <w:sz w:val="24"/>
                <w:highlight w:val="none"/>
                <w:lang w:val="en-US" w:eastAsia="zh-CN"/>
              </w:rPr>
              <w:t>详见</w:t>
            </w:r>
            <w:r>
              <w:rPr>
                <w:rFonts w:hint="default" w:ascii="Times New Roman" w:hAnsi="Times New Roman" w:eastAsia="宋体" w:cs="Times New Roman"/>
                <w:b/>
                <w:bCs/>
                <w:strike w:val="0"/>
                <w:dstrike w:val="0"/>
                <w:color w:val="auto"/>
                <w:sz w:val="24"/>
                <w:highlight w:val="none"/>
                <w:lang w:val="en-US" w:eastAsia="zh-CN"/>
              </w:rPr>
              <w:t>附件</w:t>
            </w:r>
            <w:r>
              <w:rPr>
                <w:rFonts w:hint="eastAsia" w:cs="Times New Roman"/>
                <w:b/>
                <w:bCs/>
                <w:strike w:val="0"/>
                <w:dstrike w:val="0"/>
                <w:color w:val="auto"/>
                <w:sz w:val="24"/>
                <w:highlight w:val="none"/>
                <w:lang w:val="en-US" w:eastAsia="zh-CN"/>
              </w:rPr>
              <w:t>八</w:t>
            </w:r>
            <w:r>
              <w:rPr>
                <w:rFonts w:hint="eastAsia" w:cs="Times New Roman"/>
                <w:strike w:val="0"/>
                <w:dstrike w:val="0"/>
                <w:color w:val="auto"/>
                <w:sz w:val="24"/>
                <w:highlight w:val="none"/>
                <w:lang w:val="en-US" w:eastAsia="zh-CN"/>
              </w:rPr>
              <w:t>）</w:t>
            </w:r>
            <w:r>
              <w:rPr>
                <w:rFonts w:hint="default" w:ascii="Times New Roman" w:hAnsi="Times New Roman" w:eastAsia="宋体" w:cs="Times New Roman"/>
                <w:strike w:val="0"/>
                <w:dstrike w:val="0"/>
                <w:color w:val="auto"/>
                <w:sz w:val="24"/>
                <w:lang w:val="en-US" w:eastAsia="zh-CN"/>
              </w:rPr>
              <w:t>。</w:t>
            </w:r>
          </w:p>
          <w:p w14:paraId="01C0BF83">
            <w:pPr>
              <w:widowControl/>
              <w:spacing w:line="360" w:lineRule="auto"/>
              <w:ind w:firstLine="480" w:firstLineChars="200"/>
              <w:jc w:val="left"/>
              <w:rPr>
                <w:rFonts w:hint="eastAsia"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（2）依托集中污水处理厂的可行性分析</w:t>
            </w:r>
          </w:p>
          <w:p w14:paraId="2D85C058">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根据《建设项目环境影响报告表编制技术指南</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污染影响类</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试行</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环办环评〔2020〕33号</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要求，废水间接排放的建设项目应从处理能力、处理工艺、设计进出水水质等方面，分析依托集中污水处理厂的可行性。</w:t>
            </w:r>
          </w:p>
          <w:p w14:paraId="530877FA">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①福清市融元污水处理厂基本情况</w:t>
            </w:r>
          </w:p>
          <w:p w14:paraId="374AF3F5">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A.设计进出水水质</w:t>
            </w:r>
          </w:p>
          <w:p w14:paraId="64535B1B">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根据《福清市融元污水处理厂提标及改造工程环境影响报告书</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报批稿</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可知，</w:t>
            </w:r>
            <w:r>
              <w:rPr>
                <w:rFonts w:hint="eastAsia" w:ascii="Times New Roman" w:hAnsi="Times New Roman" w:eastAsia="宋体" w:cs="Times New Roman"/>
                <w:b w:val="0"/>
                <w:bCs w:val="0"/>
                <w:strike w:val="0"/>
                <w:dstrike w:val="0"/>
                <w:color w:val="auto"/>
                <w:sz w:val="24"/>
                <w:szCs w:val="24"/>
                <w:highlight w:val="none"/>
                <w:lang w:val="en-US" w:eastAsia="zh-CN"/>
              </w:rPr>
              <w:t>福清市融元污水处理厂</w:t>
            </w:r>
            <w:r>
              <w:rPr>
                <w:rFonts w:hint="default" w:ascii="Times New Roman" w:hAnsi="Times New Roman" w:eastAsia="宋体" w:cs="Times New Roman"/>
                <w:b w:val="0"/>
                <w:bCs w:val="0"/>
                <w:strike w:val="0"/>
                <w:dstrike w:val="0"/>
                <w:color w:val="auto"/>
                <w:sz w:val="24"/>
                <w:szCs w:val="24"/>
                <w:highlight w:val="none"/>
                <w:lang w:val="en-US" w:eastAsia="zh-CN"/>
              </w:rPr>
              <w:t>进出水水质见表</w:t>
            </w:r>
            <w:r>
              <w:rPr>
                <w:rFonts w:hint="eastAsia" w:ascii="Times New Roman" w:hAnsi="Times New Roman" w:eastAsia="宋体" w:cs="Times New Roman"/>
                <w:b w:val="0"/>
                <w:bCs w:val="0"/>
                <w:strike w:val="0"/>
                <w:dstrike w:val="0"/>
                <w:color w:val="auto"/>
                <w:sz w:val="24"/>
                <w:szCs w:val="24"/>
                <w:highlight w:val="none"/>
                <w:lang w:val="en-US" w:eastAsia="zh-CN"/>
              </w:rPr>
              <w:t>4.2-2</w:t>
            </w:r>
            <w:r>
              <w:rPr>
                <w:rFonts w:hint="default" w:ascii="Times New Roman" w:hAnsi="Times New Roman" w:eastAsia="宋体" w:cs="Times New Roman"/>
                <w:b w:val="0"/>
                <w:bCs w:val="0"/>
                <w:strike w:val="0"/>
                <w:dstrike w:val="0"/>
                <w:color w:val="auto"/>
                <w:sz w:val="24"/>
                <w:szCs w:val="24"/>
                <w:highlight w:val="none"/>
                <w:lang w:val="en-US" w:eastAsia="zh-CN"/>
              </w:rPr>
              <w:t>。</w:t>
            </w:r>
          </w:p>
          <w:p w14:paraId="0846DC46">
            <w:pPr>
              <w:pStyle w:val="50"/>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p>
          <w:p w14:paraId="4B0813EC">
            <w:pPr>
              <w:pStyle w:val="50"/>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p>
          <w:p w14:paraId="4E0B49BE">
            <w:pPr>
              <w:pStyle w:val="50"/>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 污水处理厂</w:t>
            </w:r>
            <w:r>
              <w:rPr>
                <w:rFonts w:hint="default" w:ascii="Times New Roman" w:hAnsi="Times New Roman" w:eastAsia="宋体" w:cs="Times New Roman"/>
                <w:color w:val="auto"/>
                <w:sz w:val="24"/>
                <w:szCs w:val="24"/>
                <w:highlight w:val="none"/>
                <w:lang w:val="en-US" w:eastAsia="zh-CN"/>
              </w:rPr>
              <w:t>进出水水质标准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mg/L</w:t>
            </w:r>
            <w:r>
              <w:rPr>
                <w:rFonts w:hint="eastAsia" w:ascii="Times New Roman" w:hAnsi="Times New Roman" w:eastAsia="宋体" w:cs="Times New Roman"/>
                <w:color w:val="auto"/>
                <w:sz w:val="24"/>
                <w:szCs w:val="24"/>
                <w:highlight w:val="none"/>
                <w:lang w:val="en-US" w:eastAsia="zh-CN"/>
              </w:rPr>
              <w:t xml:space="preserve"> pH除外</w:t>
            </w:r>
            <w:r>
              <w:rPr>
                <w:rFonts w:hint="eastAsia" w:cs="Times New Roman"/>
                <w:color w:val="auto"/>
                <w:sz w:val="24"/>
                <w:szCs w:val="24"/>
                <w:highlight w:val="none"/>
                <w:lang w:val="en-US" w:eastAsia="zh-CN"/>
              </w:rPr>
              <w:t>）</w:t>
            </w:r>
          </w:p>
          <w:tbl>
            <w:tblPr>
              <w:tblStyle w:val="5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27"/>
              <w:gridCol w:w="1375"/>
              <w:gridCol w:w="1119"/>
              <w:gridCol w:w="1012"/>
              <w:gridCol w:w="1077"/>
              <w:gridCol w:w="998"/>
              <w:gridCol w:w="998"/>
              <w:gridCol w:w="891"/>
            </w:tblGrid>
            <w:tr w14:paraId="4ABF0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97" w:hRule="atLeast"/>
              </w:trPr>
              <w:tc>
                <w:tcPr>
                  <w:tcW w:w="655" w:type="pct"/>
                  <w:noWrap w:val="0"/>
                  <w:vAlign w:val="center"/>
                </w:tcPr>
                <w:p w14:paraId="537D65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水质指标</w:t>
                  </w:r>
                </w:p>
              </w:tc>
              <w:tc>
                <w:tcPr>
                  <w:tcW w:w="799" w:type="pct"/>
                  <w:noWrap w:val="0"/>
                  <w:vAlign w:val="center"/>
                </w:tcPr>
                <w:p w14:paraId="6080A8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pH</w:t>
                  </w:r>
                </w:p>
              </w:tc>
              <w:tc>
                <w:tcPr>
                  <w:tcW w:w="650" w:type="pct"/>
                  <w:noWrap w:val="0"/>
                  <w:vAlign w:val="center"/>
                </w:tcPr>
                <w:p w14:paraId="5AC000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COD</w:t>
                  </w:r>
                </w:p>
              </w:tc>
              <w:tc>
                <w:tcPr>
                  <w:tcW w:w="588" w:type="pct"/>
                  <w:noWrap w:val="0"/>
                  <w:vAlign w:val="center"/>
                </w:tcPr>
                <w:p w14:paraId="3316FE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BOD5</w:t>
                  </w:r>
                </w:p>
              </w:tc>
              <w:tc>
                <w:tcPr>
                  <w:tcW w:w="626" w:type="pct"/>
                  <w:noWrap w:val="0"/>
                  <w:vAlign w:val="center"/>
                </w:tcPr>
                <w:p w14:paraId="1CE7AD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SS</w:t>
                  </w:r>
                </w:p>
              </w:tc>
              <w:tc>
                <w:tcPr>
                  <w:tcW w:w="580" w:type="pct"/>
                  <w:noWrap w:val="0"/>
                  <w:vAlign w:val="center"/>
                </w:tcPr>
                <w:p w14:paraId="06C2DA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NH3-N</w:t>
                  </w:r>
                </w:p>
              </w:tc>
              <w:tc>
                <w:tcPr>
                  <w:tcW w:w="580" w:type="pct"/>
                  <w:noWrap w:val="0"/>
                  <w:vAlign w:val="center"/>
                </w:tcPr>
                <w:p w14:paraId="3FB458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TN</w:t>
                  </w:r>
                </w:p>
              </w:tc>
              <w:tc>
                <w:tcPr>
                  <w:tcW w:w="518" w:type="pct"/>
                  <w:noWrap w:val="0"/>
                  <w:vAlign w:val="center"/>
                </w:tcPr>
                <w:p w14:paraId="78566F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TP</w:t>
                  </w:r>
                </w:p>
              </w:tc>
            </w:tr>
            <w:tr w14:paraId="45631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12" w:hRule="atLeast"/>
              </w:trPr>
              <w:tc>
                <w:tcPr>
                  <w:tcW w:w="655" w:type="pct"/>
                  <w:noWrap w:val="0"/>
                  <w:vAlign w:val="center"/>
                </w:tcPr>
                <w:p w14:paraId="557A93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进水水质</w:t>
                  </w:r>
                </w:p>
              </w:tc>
              <w:tc>
                <w:tcPr>
                  <w:tcW w:w="799" w:type="pct"/>
                  <w:noWrap w:val="0"/>
                  <w:vAlign w:val="center"/>
                </w:tcPr>
                <w:p w14:paraId="105341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6~9</w:t>
                  </w:r>
                  <w:r>
                    <w:rPr>
                      <w:rFonts w:hint="eastAsia" w:cs="Times New Roman"/>
                      <w:b w:val="0"/>
                      <w:bCs w:val="0"/>
                      <w:strike w:val="0"/>
                      <w:dstrike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z w:val="21"/>
                      <w:szCs w:val="21"/>
                      <w:highlight w:val="none"/>
                      <w:lang w:val="en-US" w:eastAsia="zh-CN"/>
                    </w:rPr>
                    <w:t>无量纲</w:t>
                  </w:r>
                  <w:r>
                    <w:rPr>
                      <w:rFonts w:hint="eastAsia" w:cs="Times New Roman"/>
                      <w:b w:val="0"/>
                      <w:bCs w:val="0"/>
                      <w:strike w:val="0"/>
                      <w:dstrike w:val="0"/>
                      <w:color w:val="auto"/>
                      <w:sz w:val="21"/>
                      <w:szCs w:val="21"/>
                      <w:highlight w:val="none"/>
                      <w:lang w:val="en-US" w:eastAsia="zh-CN"/>
                    </w:rPr>
                    <w:t>）</w:t>
                  </w:r>
                </w:p>
              </w:tc>
              <w:tc>
                <w:tcPr>
                  <w:tcW w:w="650" w:type="pct"/>
                  <w:noWrap w:val="0"/>
                  <w:vAlign w:val="center"/>
                </w:tcPr>
                <w:p w14:paraId="681B8B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≤400</w:t>
                  </w:r>
                </w:p>
              </w:tc>
              <w:tc>
                <w:tcPr>
                  <w:tcW w:w="588" w:type="pct"/>
                  <w:noWrap w:val="0"/>
                  <w:vAlign w:val="center"/>
                </w:tcPr>
                <w:p w14:paraId="47DDB1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≤220</w:t>
                  </w:r>
                </w:p>
              </w:tc>
              <w:tc>
                <w:tcPr>
                  <w:tcW w:w="626" w:type="pct"/>
                  <w:noWrap w:val="0"/>
                  <w:vAlign w:val="center"/>
                </w:tcPr>
                <w:p w14:paraId="099386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≤280</w:t>
                  </w:r>
                </w:p>
              </w:tc>
              <w:tc>
                <w:tcPr>
                  <w:tcW w:w="580" w:type="pct"/>
                  <w:noWrap w:val="0"/>
                  <w:vAlign w:val="center"/>
                </w:tcPr>
                <w:p w14:paraId="12C97B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≤37</w:t>
                  </w:r>
                </w:p>
              </w:tc>
              <w:tc>
                <w:tcPr>
                  <w:tcW w:w="580" w:type="pct"/>
                  <w:noWrap w:val="0"/>
                  <w:vAlign w:val="center"/>
                </w:tcPr>
                <w:p w14:paraId="0EDFF3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≤54</w:t>
                  </w:r>
                </w:p>
              </w:tc>
              <w:tc>
                <w:tcPr>
                  <w:tcW w:w="518" w:type="pct"/>
                  <w:noWrap w:val="0"/>
                  <w:vAlign w:val="center"/>
                </w:tcPr>
                <w:p w14:paraId="7E565F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≤4</w:t>
                  </w:r>
                </w:p>
              </w:tc>
            </w:tr>
            <w:tr w14:paraId="27479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2" w:hRule="atLeast"/>
              </w:trPr>
              <w:tc>
                <w:tcPr>
                  <w:tcW w:w="655" w:type="pct"/>
                  <w:noWrap w:val="0"/>
                  <w:vAlign w:val="center"/>
                </w:tcPr>
                <w:p w14:paraId="37B2B4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出水标准</w:t>
                  </w:r>
                </w:p>
              </w:tc>
              <w:tc>
                <w:tcPr>
                  <w:tcW w:w="799" w:type="pct"/>
                  <w:noWrap w:val="0"/>
                  <w:vAlign w:val="center"/>
                </w:tcPr>
                <w:p w14:paraId="366DA6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6~9</w:t>
                  </w:r>
                  <w:r>
                    <w:rPr>
                      <w:rFonts w:hint="eastAsia" w:cs="Times New Roman"/>
                      <w:b w:val="0"/>
                      <w:bCs w:val="0"/>
                      <w:strike w:val="0"/>
                      <w:dstrike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z w:val="21"/>
                      <w:szCs w:val="21"/>
                      <w:highlight w:val="none"/>
                      <w:lang w:val="en-US" w:eastAsia="zh-CN"/>
                    </w:rPr>
                    <w:t>无量纲</w:t>
                  </w:r>
                  <w:r>
                    <w:rPr>
                      <w:rFonts w:hint="eastAsia" w:cs="Times New Roman"/>
                      <w:b w:val="0"/>
                      <w:bCs w:val="0"/>
                      <w:strike w:val="0"/>
                      <w:dstrike w:val="0"/>
                      <w:color w:val="auto"/>
                      <w:sz w:val="21"/>
                      <w:szCs w:val="21"/>
                      <w:highlight w:val="none"/>
                      <w:lang w:val="en-US" w:eastAsia="zh-CN"/>
                    </w:rPr>
                    <w:t>）</w:t>
                  </w:r>
                </w:p>
              </w:tc>
              <w:tc>
                <w:tcPr>
                  <w:tcW w:w="650" w:type="pct"/>
                  <w:noWrap w:val="0"/>
                  <w:vAlign w:val="center"/>
                </w:tcPr>
                <w:p w14:paraId="106B05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≤50</w:t>
                  </w:r>
                </w:p>
              </w:tc>
              <w:tc>
                <w:tcPr>
                  <w:tcW w:w="588" w:type="pct"/>
                  <w:noWrap w:val="0"/>
                  <w:vAlign w:val="center"/>
                </w:tcPr>
                <w:p w14:paraId="730F3B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≤10</w:t>
                  </w:r>
                </w:p>
              </w:tc>
              <w:tc>
                <w:tcPr>
                  <w:tcW w:w="626" w:type="pct"/>
                  <w:noWrap w:val="0"/>
                  <w:vAlign w:val="center"/>
                </w:tcPr>
                <w:p w14:paraId="0A117F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≤10</w:t>
                  </w:r>
                </w:p>
              </w:tc>
              <w:tc>
                <w:tcPr>
                  <w:tcW w:w="580" w:type="pct"/>
                  <w:noWrap w:val="0"/>
                  <w:vAlign w:val="center"/>
                </w:tcPr>
                <w:p w14:paraId="4EF7EE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w:t>
                  </w:r>
                </w:p>
              </w:tc>
              <w:tc>
                <w:tcPr>
                  <w:tcW w:w="580" w:type="pct"/>
                  <w:noWrap w:val="0"/>
                  <w:vAlign w:val="center"/>
                </w:tcPr>
                <w:p w14:paraId="21ABA8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≤15</w:t>
                  </w:r>
                </w:p>
              </w:tc>
              <w:tc>
                <w:tcPr>
                  <w:tcW w:w="518" w:type="pct"/>
                  <w:noWrap w:val="0"/>
                  <w:vAlign w:val="center"/>
                </w:tcPr>
                <w:p w14:paraId="0642B8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≤0.5</w:t>
                  </w:r>
                </w:p>
              </w:tc>
            </w:tr>
          </w:tbl>
          <w:p w14:paraId="6E76E4FE">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B.</w:t>
            </w:r>
            <w:r>
              <w:rPr>
                <w:rFonts w:hint="default" w:ascii="Times New Roman" w:hAnsi="Times New Roman" w:eastAsia="宋体" w:cs="Times New Roman"/>
                <w:b w:val="0"/>
                <w:bCs w:val="0"/>
                <w:strike w:val="0"/>
                <w:dstrike w:val="0"/>
                <w:color w:val="auto"/>
                <w:sz w:val="24"/>
                <w:szCs w:val="24"/>
                <w:highlight w:val="none"/>
                <w:lang w:val="en-US" w:eastAsia="zh-CN"/>
              </w:rPr>
              <w:t>处理工艺</w:t>
            </w:r>
          </w:p>
          <w:p w14:paraId="6CAE1082">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福清市融元污水处理厂</w:t>
            </w:r>
            <w:r>
              <w:rPr>
                <w:rFonts w:hint="default" w:ascii="Times New Roman" w:hAnsi="Times New Roman" w:eastAsia="宋体" w:cs="Times New Roman"/>
                <w:b w:val="0"/>
                <w:bCs w:val="0"/>
                <w:strike w:val="0"/>
                <w:dstrike w:val="0"/>
                <w:color w:val="auto"/>
                <w:sz w:val="24"/>
                <w:szCs w:val="24"/>
                <w:highlight w:val="none"/>
                <w:lang w:val="en-US" w:eastAsia="zh-CN"/>
              </w:rPr>
              <w:t>采用</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A2/O生化反应工艺</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处理工艺，属于城镇污水处理厂通用工艺，污水处理工艺流程详见图</w:t>
            </w:r>
            <w:r>
              <w:rPr>
                <w:rFonts w:hint="eastAsia" w:ascii="Times New Roman" w:hAnsi="Times New Roman" w:eastAsia="宋体" w:cs="Times New Roman"/>
                <w:b w:val="0"/>
                <w:bCs w:val="0"/>
                <w:strike w:val="0"/>
                <w:dstrike w:val="0"/>
                <w:color w:val="auto"/>
                <w:sz w:val="24"/>
                <w:szCs w:val="24"/>
                <w:highlight w:val="none"/>
                <w:lang w:val="en-US" w:eastAsia="zh-CN"/>
              </w:rPr>
              <w:t>4.2-1</w:t>
            </w:r>
            <w:r>
              <w:rPr>
                <w:rFonts w:hint="default" w:ascii="Times New Roman" w:hAnsi="Times New Roman" w:eastAsia="宋体" w:cs="Times New Roman"/>
                <w:b w:val="0"/>
                <w:bCs w:val="0"/>
                <w:strike w:val="0"/>
                <w:dstrike w:val="0"/>
                <w:color w:val="auto"/>
                <w:sz w:val="24"/>
                <w:szCs w:val="24"/>
                <w:highlight w:val="none"/>
                <w:lang w:val="en-US" w:eastAsia="zh-CN"/>
              </w:rPr>
              <w:t>。</w:t>
            </w:r>
          </w:p>
          <w:p w14:paraId="62C5F2D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object>
                <v:shape id="_x0000_i1025" o:spt="75" type="#_x0000_t75" style="height:307.15pt;width:440.15pt;" o:ole="t" filled="f" o:preferrelative="t" stroked="f" coordsize="21600,21600">
                  <v:path/>
                  <v:fill on="f" focussize="0,0"/>
                  <v:stroke on="f"/>
                  <v:imagedata r:id="rId27" o:title=""/>
                  <o:lock v:ext="edit" aspectratio="t"/>
                  <w10:wrap type="none"/>
                  <w10:anchorlock/>
                </v:shape>
                <o:OLEObject Type="Embed" ProgID="Visio.Drawing.11" ShapeID="_x0000_i1025" DrawAspect="Content" ObjectID="_1468075725" r:id="rId26">
                  <o:LockedField>false</o:LockedField>
                </o:OLEObject>
              </w:object>
            </w:r>
          </w:p>
          <w:p w14:paraId="5FC7194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w:t>
            </w:r>
            <w:r>
              <w:rPr>
                <w:rFonts w:hint="eastAsia" w:ascii="Times New Roman" w:hAnsi="Times New Roman" w:eastAsia="宋体" w:cs="Times New Roman"/>
                <w:b/>
                <w:bCs/>
                <w:color w:val="auto"/>
                <w:sz w:val="24"/>
                <w:szCs w:val="24"/>
                <w:highlight w:val="none"/>
                <w:lang w:val="en-US" w:eastAsia="zh-CN"/>
              </w:rPr>
              <w:t xml:space="preserve">4.2-1 </w:t>
            </w:r>
            <w:r>
              <w:rPr>
                <w:rFonts w:hint="default" w:ascii="Times New Roman" w:hAnsi="Times New Roman" w:eastAsia="宋体" w:cs="Times New Roman"/>
                <w:b/>
                <w:bCs/>
                <w:color w:val="auto"/>
                <w:sz w:val="24"/>
                <w:szCs w:val="24"/>
                <w:highlight w:val="none"/>
                <w:lang w:val="en-US" w:eastAsia="zh-CN"/>
              </w:rPr>
              <w:t>污水处理厂处理工艺流程图</w:t>
            </w:r>
          </w:p>
          <w:p w14:paraId="45C99D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②</w:t>
            </w:r>
            <w:r>
              <w:rPr>
                <w:rFonts w:hint="default" w:ascii="Times New Roman" w:hAnsi="Times New Roman" w:eastAsia="宋体" w:cs="Times New Roman"/>
                <w:b w:val="0"/>
                <w:bCs w:val="0"/>
                <w:strike w:val="0"/>
                <w:dstrike w:val="0"/>
                <w:color w:val="auto"/>
                <w:sz w:val="24"/>
                <w:szCs w:val="24"/>
                <w:highlight w:val="none"/>
                <w:lang w:val="en-US" w:eastAsia="zh-CN"/>
              </w:rPr>
              <w:t>依托可行性分析</w:t>
            </w:r>
          </w:p>
          <w:p w14:paraId="540C7C95">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A.</w:t>
            </w:r>
            <w:r>
              <w:rPr>
                <w:rFonts w:hint="default" w:ascii="Times New Roman" w:hAnsi="Times New Roman" w:eastAsia="宋体" w:cs="Times New Roman"/>
                <w:b w:val="0"/>
                <w:bCs w:val="0"/>
                <w:strike w:val="0"/>
                <w:dstrike w:val="0"/>
                <w:color w:val="auto"/>
                <w:sz w:val="24"/>
                <w:szCs w:val="24"/>
                <w:highlight w:val="none"/>
                <w:lang w:val="en-US" w:eastAsia="zh-CN"/>
              </w:rPr>
              <w:t>接管可行性</w:t>
            </w:r>
          </w:p>
          <w:p w14:paraId="19856300">
            <w:pPr>
              <w:widowControl/>
              <w:spacing w:line="360" w:lineRule="auto"/>
              <w:ind w:firstLine="480" w:firstLineChars="200"/>
              <w:jc w:val="left"/>
              <w:rPr>
                <w:rFonts w:hint="default"/>
                <w:lang w:val="en-US" w:eastAsia="zh-CN"/>
              </w:rPr>
            </w:pPr>
            <w:r>
              <w:rPr>
                <w:rFonts w:hint="eastAsia" w:cs="Times New Roman"/>
                <w:strike w:val="0"/>
                <w:dstrike w:val="0"/>
                <w:color w:val="auto"/>
                <w:sz w:val="24"/>
                <w:lang w:val="en-US" w:eastAsia="zh-CN"/>
              </w:rPr>
              <w:t>根据调查，</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主要负责</w:t>
            </w:r>
            <w:r>
              <w:rPr>
                <w:rFonts w:hint="eastAsia" w:ascii="Times New Roman" w:hAnsi="Times New Roman" w:eastAsia="宋体" w:cs="Times New Roman"/>
                <w:strike w:val="0"/>
                <w:dstrike w:val="0"/>
                <w:color w:val="auto"/>
                <w:sz w:val="24"/>
                <w:lang w:val="en-US" w:eastAsia="zh-CN"/>
              </w:rPr>
              <w:t>城关区和洪宽区</w:t>
            </w:r>
            <w:r>
              <w:rPr>
                <w:rFonts w:hint="eastAsia" w:cs="Times New Roman"/>
                <w:strike w:val="0"/>
                <w:dstrike w:val="0"/>
                <w:color w:val="auto"/>
                <w:sz w:val="24"/>
                <w:lang w:val="en-US" w:eastAsia="zh-CN"/>
              </w:rPr>
              <w:t>（</w:t>
            </w:r>
            <w:r>
              <w:rPr>
                <w:rFonts w:hint="eastAsia" w:ascii="Times New Roman" w:hAnsi="Times New Roman" w:eastAsia="宋体" w:cs="Times New Roman"/>
                <w:strike w:val="0"/>
                <w:dstrike w:val="0"/>
                <w:color w:val="auto"/>
                <w:sz w:val="24"/>
                <w:lang w:val="en-US" w:eastAsia="zh-CN"/>
              </w:rPr>
              <w:t>增加京东方和东旭光电项目</w:t>
            </w:r>
            <w:r>
              <w:rPr>
                <w:rFonts w:hint="eastAsia" w:cs="Times New Roman"/>
                <w:strike w:val="0"/>
                <w:dstrike w:val="0"/>
                <w:color w:val="auto"/>
                <w:sz w:val="24"/>
                <w:lang w:val="en-US" w:eastAsia="zh-CN"/>
              </w:rPr>
              <w:t>）</w:t>
            </w:r>
            <w:r>
              <w:rPr>
                <w:rFonts w:hint="eastAsia" w:ascii="Times New Roman" w:hAnsi="Times New Roman" w:eastAsia="宋体" w:cs="Times New Roman"/>
                <w:strike w:val="0"/>
                <w:dstrike w:val="0"/>
                <w:color w:val="auto"/>
                <w:sz w:val="24"/>
                <w:lang w:val="en-US" w:eastAsia="zh-CN"/>
              </w:rPr>
              <w:t>的生活污水和工业污水。</w:t>
            </w:r>
            <w:r>
              <w:rPr>
                <w:rFonts w:hint="default" w:ascii="Times New Roman" w:hAnsi="Times New Roman" w:eastAsia="宋体" w:cs="Times New Roman"/>
                <w:strike w:val="0"/>
                <w:dstrike w:val="0"/>
                <w:color w:val="auto"/>
                <w:sz w:val="24"/>
                <w:lang w:val="en-US" w:eastAsia="zh-CN"/>
              </w:rPr>
              <w:t>本项目位于</w:t>
            </w:r>
            <w:r>
              <w:rPr>
                <w:rFonts w:hint="eastAsia" w:ascii="Times New Roman" w:hAnsi="Times New Roman" w:eastAsia="宋体" w:cs="Times New Roman"/>
                <w:strike w:val="0"/>
                <w:dstrike w:val="0"/>
                <w:color w:val="auto"/>
                <w:sz w:val="24"/>
                <w:lang w:val="en-US" w:eastAsia="zh-CN"/>
              </w:rPr>
              <w:t>福清市融侨经济技术开发区</w:t>
            </w:r>
            <w:r>
              <w:rPr>
                <w:rFonts w:hint="default" w:ascii="Times New Roman" w:hAnsi="Times New Roman" w:eastAsia="宋体" w:cs="Times New Roman"/>
                <w:strike w:val="0"/>
                <w:dstrike w:val="0"/>
                <w:color w:val="auto"/>
                <w:sz w:val="24"/>
                <w:lang w:val="en-US" w:eastAsia="zh-CN"/>
              </w:rPr>
              <w:t>，属于</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服务范围内，根据现场勘查，目前</w:t>
            </w:r>
            <w:r>
              <w:rPr>
                <w:rFonts w:hint="eastAsia" w:ascii="Times New Roman" w:hAnsi="Times New Roman" w:eastAsia="宋体" w:cs="Times New Roman"/>
                <w:strike w:val="0"/>
                <w:dstrike w:val="0"/>
                <w:color w:val="auto"/>
                <w:sz w:val="24"/>
                <w:lang w:val="en-US" w:eastAsia="zh-CN"/>
              </w:rPr>
              <w:t>厂区周边的</w:t>
            </w:r>
            <w:r>
              <w:rPr>
                <w:rFonts w:hint="default" w:ascii="Times New Roman" w:hAnsi="Times New Roman" w:eastAsia="宋体" w:cs="Times New Roman"/>
                <w:strike w:val="0"/>
                <w:dstrike w:val="0"/>
                <w:color w:val="auto"/>
                <w:sz w:val="24"/>
                <w:lang w:val="en-US" w:eastAsia="zh-CN"/>
              </w:rPr>
              <w:t>市政污水管网已经铺设完成并已经投入正常运行，本项目厂区污水总排口已经接入</w:t>
            </w:r>
            <w:r>
              <w:rPr>
                <w:rFonts w:hint="eastAsia" w:ascii="Times New Roman" w:hAnsi="Times New Roman" w:eastAsia="宋体" w:cs="Times New Roman"/>
                <w:strike w:val="0"/>
                <w:dstrike w:val="0"/>
                <w:color w:val="auto"/>
                <w:sz w:val="24"/>
                <w:lang w:val="en-US" w:eastAsia="zh-CN"/>
              </w:rPr>
              <w:t>岁金</w:t>
            </w:r>
            <w:r>
              <w:rPr>
                <w:rFonts w:hint="eastAsia" w:cs="Times New Roman"/>
                <w:strike w:val="0"/>
                <w:dstrike w:val="0"/>
                <w:color w:val="auto"/>
                <w:sz w:val="24"/>
                <w:lang w:val="en-US" w:eastAsia="zh-CN"/>
              </w:rPr>
              <w:t>配套</w:t>
            </w:r>
            <w:r>
              <w:rPr>
                <w:rFonts w:hint="default" w:ascii="Times New Roman" w:hAnsi="Times New Roman" w:eastAsia="宋体" w:cs="Times New Roman"/>
                <w:strike w:val="0"/>
                <w:dstrike w:val="0"/>
                <w:color w:val="auto"/>
                <w:sz w:val="24"/>
                <w:lang w:val="en-US" w:eastAsia="zh-CN"/>
              </w:rPr>
              <w:t>市政污水管网</w:t>
            </w:r>
            <w:r>
              <w:rPr>
                <w:rFonts w:hint="eastAsia" w:ascii="Times New Roman" w:hAnsi="Times New Roman" w:eastAsia="宋体" w:cs="Times New Roman"/>
                <w:strike w:val="0"/>
                <w:dstrike w:val="0"/>
                <w:color w:val="auto"/>
                <w:sz w:val="24"/>
                <w:lang w:val="en-US" w:eastAsia="zh-CN"/>
              </w:rPr>
              <w:t>，项目污水排口位于厂区的西北侧区域</w:t>
            </w:r>
            <w:r>
              <w:rPr>
                <w:rFonts w:hint="default" w:ascii="Times New Roman" w:hAnsi="Times New Roman" w:eastAsia="宋体" w:cs="Times New Roman"/>
                <w:strike w:val="0"/>
                <w:dstrike w:val="0"/>
                <w:color w:val="auto"/>
                <w:sz w:val="24"/>
                <w:lang w:val="en-US" w:eastAsia="zh-CN"/>
              </w:rPr>
              <w:t>。</w:t>
            </w:r>
            <w:r>
              <w:rPr>
                <w:color w:val="auto"/>
              </w:rPr>
              <w:drawing>
                <wp:inline distT="0" distB="0" distL="114300" distR="114300">
                  <wp:extent cx="5427345" cy="3825240"/>
                  <wp:effectExtent l="0" t="0" r="13335" b="0"/>
                  <wp:docPr id="1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4"/>
                          <pic:cNvPicPr>
                            <a:picLocks noChangeAspect="1"/>
                          </pic:cNvPicPr>
                        </pic:nvPicPr>
                        <pic:blipFill>
                          <a:blip r:embed="rId28"/>
                          <a:stretch>
                            <a:fillRect/>
                          </a:stretch>
                        </pic:blipFill>
                        <pic:spPr>
                          <a:xfrm>
                            <a:off x="0" y="0"/>
                            <a:ext cx="5427345" cy="3825240"/>
                          </a:xfrm>
                          <a:prstGeom prst="rect">
                            <a:avLst/>
                          </a:prstGeom>
                          <a:noFill/>
                          <a:ln>
                            <a:noFill/>
                          </a:ln>
                        </pic:spPr>
                      </pic:pic>
                    </a:graphicData>
                  </a:graphic>
                </wp:inline>
              </w:drawing>
            </w:r>
          </w:p>
          <w:p w14:paraId="296396FE">
            <w:pPr>
              <w:pStyle w:val="40"/>
              <w:keepNext w:val="0"/>
              <w:keepLines w:val="0"/>
              <w:pageBreakBefore w:val="0"/>
              <w:widowControl w:val="0"/>
              <w:kinsoku/>
              <w:wordWrap/>
              <w:overflowPunct/>
              <w:topLinePunct w:val="0"/>
              <w:autoSpaceDE w:val="0"/>
              <w:autoSpaceDN w:val="0"/>
              <w:bidi w:val="0"/>
              <w:adjustRightInd w:val="0"/>
              <w:snapToGrid w:val="0"/>
              <w:spacing w:before="0" w:beforeLines="0" w:after="163" w:afterLines="50"/>
              <w:ind w:left="0" w:leftChars="0" w:firstLine="0" w:firstLineChars="0"/>
              <w:jc w:val="center"/>
              <w:textAlignment w:val="baseline"/>
              <w:rPr>
                <w:rFonts w:hint="default" w:ascii="Times New Roman" w:hAnsi="Times New Roman" w:eastAsia="宋体" w:cs="Times New Roman"/>
                <w:b/>
                <w:bCs/>
                <w:strike w:val="0"/>
                <w:dstrike w:val="0"/>
                <w:color w:val="auto"/>
                <w:sz w:val="24"/>
                <w:szCs w:val="24"/>
                <w:lang w:val="en-US" w:eastAsia="zh-CN"/>
              </w:rPr>
            </w:pPr>
            <w:r>
              <w:rPr>
                <w:rFonts w:hint="default" w:ascii="Times New Roman" w:hAnsi="Times New Roman" w:eastAsia="宋体" w:cs="Times New Roman"/>
                <w:b/>
                <w:bCs/>
                <w:color w:val="auto"/>
                <w:sz w:val="24"/>
                <w:szCs w:val="24"/>
              </w:rPr>
              <w:t>图4.</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 xml:space="preserve"> 污水工程规划图</w:t>
            </w:r>
          </w:p>
          <w:p w14:paraId="2215E0B4">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B.</w:t>
            </w:r>
            <w:r>
              <w:rPr>
                <w:rFonts w:hint="default" w:ascii="Times New Roman" w:hAnsi="Times New Roman" w:eastAsia="宋体" w:cs="Times New Roman"/>
                <w:strike w:val="0"/>
                <w:dstrike w:val="0"/>
                <w:color w:val="auto"/>
                <w:sz w:val="24"/>
                <w:lang w:val="en-US" w:eastAsia="zh-CN"/>
              </w:rPr>
              <w:t>水质负荷</w:t>
            </w:r>
          </w:p>
          <w:p w14:paraId="7BFB5F66">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本项目</w:t>
            </w:r>
            <w:r>
              <w:rPr>
                <w:rFonts w:hint="default" w:ascii="Times New Roman" w:hAnsi="Times New Roman" w:eastAsia="宋体" w:cs="Times New Roman"/>
                <w:strike w:val="0"/>
                <w:dstrike w:val="0"/>
                <w:color w:val="auto"/>
                <w:sz w:val="24"/>
                <w:lang w:val="en-US" w:eastAsia="zh-CN"/>
              </w:rPr>
              <w:t>生活污水直接经化粪池预处理</w:t>
            </w:r>
            <w:r>
              <w:rPr>
                <w:rFonts w:hint="eastAsia" w:ascii="Times New Roman" w:hAnsi="Times New Roman" w:eastAsia="宋体" w:cs="Times New Roman"/>
                <w:strike w:val="0"/>
                <w:dstrike w:val="0"/>
                <w:color w:val="auto"/>
                <w:sz w:val="24"/>
                <w:lang w:val="en-US" w:eastAsia="zh-CN"/>
              </w:rPr>
              <w:t>直接依托厂区污水总排口</w:t>
            </w:r>
            <w:r>
              <w:rPr>
                <w:rFonts w:hint="default" w:ascii="Times New Roman" w:hAnsi="Times New Roman" w:eastAsia="宋体" w:cs="Times New Roman"/>
                <w:strike w:val="0"/>
                <w:dstrike w:val="0"/>
                <w:color w:val="auto"/>
                <w:sz w:val="24"/>
                <w:lang w:val="en-US" w:eastAsia="zh-CN"/>
              </w:rPr>
              <w:t>排入市政污水管网</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根据</w:t>
            </w:r>
            <w:r>
              <w:rPr>
                <w:rFonts w:hint="eastAsia" w:ascii="Times New Roman" w:hAnsi="Times New Roman" w:eastAsia="宋体" w:cs="Times New Roman"/>
                <w:strike w:val="0"/>
                <w:dstrike w:val="0"/>
                <w:color w:val="auto"/>
                <w:sz w:val="24"/>
                <w:lang w:val="en-US" w:eastAsia="zh-CN"/>
              </w:rPr>
              <w:t>前文</w:t>
            </w:r>
            <w:r>
              <w:rPr>
                <w:rFonts w:hint="default" w:ascii="Times New Roman" w:hAnsi="Times New Roman" w:eastAsia="宋体" w:cs="Times New Roman"/>
                <w:strike w:val="0"/>
                <w:dstrike w:val="0"/>
                <w:color w:val="auto"/>
                <w:sz w:val="24"/>
                <w:lang w:val="en-US" w:eastAsia="zh-CN"/>
              </w:rPr>
              <w:t>分析预测可知</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本项目生活污水</w:t>
            </w:r>
            <w:r>
              <w:rPr>
                <w:rFonts w:hint="eastAsia" w:ascii="Times New Roman" w:hAnsi="Times New Roman" w:eastAsia="宋体" w:cs="Times New Roman"/>
                <w:strike w:val="0"/>
                <w:dstrike w:val="0"/>
                <w:color w:val="auto"/>
                <w:sz w:val="24"/>
                <w:lang w:val="en-US" w:eastAsia="zh-CN"/>
              </w:rPr>
              <w:t>经化粪池预处理后</w:t>
            </w:r>
            <w:r>
              <w:rPr>
                <w:rFonts w:hint="default" w:ascii="Times New Roman" w:hAnsi="Times New Roman" w:eastAsia="宋体" w:cs="Times New Roman"/>
                <w:strike w:val="0"/>
                <w:dstrike w:val="0"/>
                <w:color w:val="auto"/>
                <w:sz w:val="24"/>
                <w:lang w:val="en-US" w:eastAsia="zh-CN"/>
              </w:rPr>
              <w:t>主要污染物排放浓度均能满足《污水综合排放标准》</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GB8978-1996</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表4三级标准及《污水排入城镇下水道水质标准》</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GB/T 31962-2015</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表1中B级标准限值</w:t>
            </w:r>
            <w:r>
              <w:rPr>
                <w:rFonts w:hint="eastAsia" w:ascii="Times New Roman" w:hAnsi="Times New Roman" w:eastAsia="宋体" w:cs="Times New Roman"/>
                <w:strike w:val="0"/>
                <w:dstrike w:val="0"/>
                <w:color w:val="auto"/>
                <w:sz w:val="24"/>
                <w:lang w:val="en-US" w:eastAsia="zh-CN"/>
              </w:rPr>
              <w:t>，也可以符合污水处理厂进水水质标准。</w:t>
            </w:r>
            <w:r>
              <w:rPr>
                <w:rFonts w:hint="default" w:ascii="Times New Roman" w:hAnsi="Times New Roman" w:eastAsia="宋体" w:cs="Times New Roman"/>
                <w:strike w:val="0"/>
                <w:dstrike w:val="0"/>
                <w:color w:val="auto"/>
                <w:sz w:val="24"/>
                <w:lang w:val="en-US" w:eastAsia="zh-CN"/>
              </w:rPr>
              <w:t>项目</w:t>
            </w:r>
            <w:r>
              <w:rPr>
                <w:rFonts w:hint="eastAsia" w:ascii="Times New Roman" w:hAnsi="Times New Roman" w:eastAsia="宋体" w:cs="Times New Roman"/>
                <w:strike w:val="0"/>
                <w:dstrike w:val="0"/>
                <w:color w:val="auto"/>
                <w:sz w:val="24"/>
                <w:lang w:val="en-US" w:eastAsia="zh-CN"/>
              </w:rPr>
              <w:t>生活污水</w:t>
            </w:r>
            <w:r>
              <w:rPr>
                <w:rFonts w:hint="default" w:ascii="Times New Roman" w:hAnsi="Times New Roman" w:eastAsia="宋体" w:cs="Times New Roman"/>
                <w:strike w:val="0"/>
                <w:dstrike w:val="0"/>
                <w:color w:val="auto"/>
                <w:sz w:val="24"/>
                <w:lang w:val="en-US" w:eastAsia="zh-CN"/>
              </w:rPr>
              <w:t>不涉及有毒有害污染物，不涉及持久性、重金属，也不含有腐蚀成分，因此，从水质方面分析，项目</w:t>
            </w:r>
            <w:r>
              <w:rPr>
                <w:rFonts w:hint="eastAsia" w:ascii="Times New Roman" w:hAnsi="Times New Roman" w:eastAsia="宋体" w:cs="Times New Roman"/>
                <w:strike w:val="0"/>
                <w:dstrike w:val="0"/>
                <w:color w:val="auto"/>
                <w:sz w:val="24"/>
                <w:lang w:val="en-US" w:eastAsia="zh-CN"/>
              </w:rPr>
              <w:t>生活污水</w:t>
            </w:r>
            <w:r>
              <w:rPr>
                <w:rFonts w:hint="default" w:ascii="Times New Roman" w:hAnsi="Times New Roman" w:eastAsia="宋体" w:cs="Times New Roman"/>
                <w:strike w:val="0"/>
                <w:dstrike w:val="0"/>
                <w:color w:val="auto"/>
                <w:sz w:val="24"/>
                <w:lang w:val="en-US" w:eastAsia="zh-CN"/>
              </w:rPr>
              <w:t>经处理达标后，</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可接纳项目</w:t>
            </w:r>
            <w:r>
              <w:rPr>
                <w:rFonts w:hint="eastAsia" w:ascii="Times New Roman" w:hAnsi="Times New Roman" w:eastAsia="宋体" w:cs="Times New Roman"/>
                <w:strike w:val="0"/>
                <w:dstrike w:val="0"/>
                <w:color w:val="auto"/>
                <w:sz w:val="24"/>
                <w:lang w:val="en-US" w:eastAsia="zh-CN"/>
              </w:rPr>
              <w:t>污水</w:t>
            </w:r>
            <w:r>
              <w:rPr>
                <w:rFonts w:hint="default" w:ascii="Times New Roman" w:hAnsi="Times New Roman" w:eastAsia="宋体" w:cs="Times New Roman"/>
                <w:strike w:val="0"/>
                <w:dstrike w:val="0"/>
                <w:color w:val="auto"/>
                <w:sz w:val="24"/>
                <w:lang w:val="en-US" w:eastAsia="zh-CN"/>
              </w:rPr>
              <w:t>水质，不会对</w:t>
            </w:r>
            <w:r>
              <w:rPr>
                <w:rFonts w:hint="eastAsia" w:ascii="Times New Roman" w:hAnsi="Times New Roman" w:eastAsia="宋体" w:cs="Times New Roman"/>
                <w:strike w:val="0"/>
                <w:dstrike w:val="0"/>
                <w:color w:val="auto"/>
                <w:sz w:val="24"/>
                <w:lang w:val="en-US" w:eastAsia="zh-CN"/>
              </w:rPr>
              <w:t>污水处理厂</w:t>
            </w:r>
            <w:r>
              <w:rPr>
                <w:rFonts w:hint="default" w:ascii="Times New Roman" w:hAnsi="Times New Roman" w:eastAsia="宋体" w:cs="Times New Roman"/>
                <w:strike w:val="0"/>
                <w:dstrike w:val="0"/>
                <w:color w:val="auto"/>
                <w:sz w:val="24"/>
                <w:lang w:val="en-US" w:eastAsia="zh-CN"/>
              </w:rPr>
              <w:t>水质负荷造成冲击。</w:t>
            </w:r>
          </w:p>
          <w:p w14:paraId="2EACF1A2">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C.水量负荷</w:t>
            </w:r>
          </w:p>
          <w:p w14:paraId="63FC75E3">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根据调查，目前福清</w:t>
            </w:r>
            <w:r>
              <w:rPr>
                <w:rFonts w:hint="default" w:ascii="Times New Roman" w:hAnsi="Times New Roman" w:eastAsia="宋体" w:cs="Times New Roman"/>
                <w:strike w:val="0"/>
                <w:dstrike w:val="0"/>
                <w:color w:val="auto"/>
                <w:sz w:val="24"/>
                <w:lang w:val="en-US" w:eastAsia="zh-CN"/>
              </w:rPr>
              <w:t>市融元污水处理厂厂内提标及改造工程已经完成并正常使用，平均处理规模约为11.85万m³/d，剩余处理能力1500m³/d。本项目生活污水排放量</w:t>
            </w:r>
            <w:r>
              <w:rPr>
                <w:rFonts w:hint="eastAsia" w:ascii="Times New Roman" w:hAnsi="Times New Roman" w:eastAsia="宋体" w:cs="Times New Roman"/>
                <w:strike w:val="0"/>
                <w:dstrike w:val="0"/>
                <w:color w:val="auto"/>
                <w:sz w:val="24"/>
                <w:lang w:val="en-US" w:eastAsia="zh-CN"/>
              </w:rPr>
              <w:t>1.2</w:t>
            </w:r>
            <w:r>
              <w:rPr>
                <w:rFonts w:hint="default" w:ascii="Times New Roman" w:hAnsi="Times New Roman" w:eastAsia="宋体" w:cs="Times New Roman"/>
                <w:strike w:val="0"/>
                <w:dstrike w:val="0"/>
                <w:color w:val="auto"/>
                <w:sz w:val="24"/>
                <w:lang w:val="en-US" w:eastAsia="zh-CN"/>
              </w:rPr>
              <w:t>t/d，仅占福清市融元污水处理厂剩余处理规模的0.0</w:t>
            </w:r>
            <w:r>
              <w:rPr>
                <w:rFonts w:hint="eastAsia" w:ascii="Times New Roman" w:hAnsi="Times New Roman" w:eastAsia="宋体" w:cs="Times New Roman"/>
                <w:strike w:val="0"/>
                <w:dstrike w:val="0"/>
                <w:color w:val="auto"/>
                <w:sz w:val="24"/>
                <w:lang w:val="en-US" w:eastAsia="zh-CN"/>
              </w:rPr>
              <w:t>8</w:t>
            </w:r>
            <w:r>
              <w:rPr>
                <w:rFonts w:hint="default" w:ascii="Times New Roman" w:hAnsi="Times New Roman" w:eastAsia="宋体" w:cs="Times New Roman"/>
                <w:strike w:val="0"/>
                <w:dstrike w:val="0"/>
                <w:color w:val="auto"/>
                <w:sz w:val="24"/>
                <w:lang w:val="en-US" w:eastAsia="zh-CN"/>
              </w:rPr>
              <w:t>%</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因此，从处理能力及处理工艺分析，</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可接纳项目废水排放量，不会对</w:t>
            </w:r>
            <w:r>
              <w:rPr>
                <w:rFonts w:hint="eastAsia" w:ascii="Times New Roman" w:hAnsi="Times New Roman" w:eastAsia="宋体" w:cs="Times New Roman"/>
                <w:strike w:val="0"/>
                <w:dstrike w:val="0"/>
                <w:color w:val="auto"/>
                <w:sz w:val="24"/>
                <w:lang w:val="en-US" w:eastAsia="zh-CN"/>
              </w:rPr>
              <w:t>污水处理厂</w:t>
            </w:r>
            <w:r>
              <w:rPr>
                <w:rFonts w:hint="default" w:ascii="Times New Roman" w:hAnsi="Times New Roman" w:eastAsia="宋体" w:cs="Times New Roman"/>
                <w:strike w:val="0"/>
                <w:dstrike w:val="0"/>
                <w:color w:val="auto"/>
                <w:sz w:val="24"/>
                <w:lang w:val="en-US" w:eastAsia="zh-CN"/>
              </w:rPr>
              <w:t>水量</w:t>
            </w:r>
            <w:r>
              <w:rPr>
                <w:rFonts w:hint="eastAsia" w:ascii="Times New Roman" w:hAnsi="Times New Roman" w:eastAsia="宋体" w:cs="Times New Roman"/>
                <w:strike w:val="0"/>
                <w:dstrike w:val="0"/>
                <w:color w:val="auto"/>
                <w:sz w:val="24"/>
                <w:lang w:val="en-US" w:eastAsia="zh-CN"/>
              </w:rPr>
              <w:t>、水质</w:t>
            </w:r>
            <w:r>
              <w:rPr>
                <w:rFonts w:hint="default" w:ascii="Times New Roman" w:hAnsi="Times New Roman" w:eastAsia="宋体" w:cs="Times New Roman"/>
                <w:strike w:val="0"/>
                <w:dstrike w:val="0"/>
                <w:color w:val="auto"/>
                <w:sz w:val="24"/>
                <w:lang w:val="en-US" w:eastAsia="zh-CN"/>
              </w:rPr>
              <w:t>负荷造成冲击。</w:t>
            </w:r>
          </w:p>
          <w:p w14:paraId="33170766">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15" w:name="_Toc16026"/>
            <w:r>
              <w:rPr>
                <w:rFonts w:hint="eastAsia" w:ascii="Times New Roman" w:hAnsi="Times New Roman" w:eastAsia="宋体" w:cs="Times New Roman"/>
                <w:color w:val="auto"/>
                <w:sz w:val="28"/>
                <w:szCs w:val="28"/>
                <w:u w:val="none"/>
                <w:lang w:val="en-US" w:eastAsia="zh-CN"/>
              </w:rPr>
              <w:t>4.3噪声环境影响分析和污染防治措施</w:t>
            </w:r>
            <w:bookmarkEnd w:id="115"/>
          </w:p>
          <w:p w14:paraId="78F6E399">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16" w:name="_Toc21918"/>
            <w:r>
              <w:rPr>
                <w:rFonts w:hint="default"/>
                <w:b/>
                <w:color w:val="262626"/>
                <w:kern w:val="0"/>
                <w:sz w:val="24"/>
                <w:lang w:val="en-US" w:eastAsia="zh-CN"/>
              </w:rPr>
              <w:t>4.3.1噪声源强分析</w:t>
            </w:r>
            <w:bookmarkEnd w:id="116"/>
          </w:p>
          <w:p w14:paraId="5EE9123B">
            <w:pPr>
              <w:pStyle w:val="56"/>
              <w:spacing w:line="360" w:lineRule="auto"/>
              <w:ind w:firstLine="480"/>
              <w:rPr>
                <w:rFonts w:ascii="Times New Roman" w:hAnsi="Times New Roman"/>
                <w:bCs w:val="0"/>
                <w:color w:val="000000"/>
                <w:szCs w:val="24"/>
              </w:rPr>
            </w:pPr>
            <w:r>
              <w:rPr>
                <w:rFonts w:ascii="Times New Roman" w:hAnsi="Times New Roman"/>
                <w:bCs w:val="0"/>
                <w:color w:val="000000"/>
                <w:szCs w:val="24"/>
              </w:rPr>
              <w:t>项目的噪声源主要为项目运营时机械设备运转产生的噪声，其噪声级及治理措施见表4.3-1。</w:t>
            </w:r>
          </w:p>
          <w:p w14:paraId="2D587277">
            <w:pPr>
              <w:keepNext w:val="0"/>
              <w:keepLines w:val="0"/>
              <w:pageBreakBefore w:val="0"/>
              <w:widowControl w:val="0"/>
              <w:tabs>
                <w:tab w:val="left" w:pos="482"/>
              </w:tabs>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sz w:val="24"/>
                <w:szCs w:val="24"/>
              </w:rPr>
              <w:t>表4.3-1 噪声源强调查清单（室内声源）</w:t>
            </w:r>
          </w:p>
          <w:tbl>
            <w:tblPr>
              <w:tblStyle w:val="22"/>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06"/>
              <w:gridCol w:w="370"/>
              <w:gridCol w:w="570"/>
              <w:gridCol w:w="388"/>
              <w:gridCol w:w="529"/>
              <w:gridCol w:w="613"/>
              <w:gridCol w:w="507"/>
              <w:gridCol w:w="592"/>
              <w:gridCol w:w="373"/>
              <w:gridCol w:w="519"/>
              <w:gridCol w:w="477"/>
              <w:gridCol w:w="663"/>
              <w:gridCol w:w="599"/>
              <w:gridCol w:w="726"/>
              <w:gridCol w:w="649"/>
              <w:gridCol w:w="704"/>
            </w:tblGrid>
            <w:tr w14:paraId="4148A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78" w:type="pct"/>
                  <w:vMerge w:val="restart"/>
                  <w:noWrap w:val="0"/>
                  <w:vAlign w:val="center"/>
                </w:tcPr>
                <w:p w14:paraId="62FA156E">
                  <w:pPr>
                    <w:jc w:val="center"/>
                    <w:rPr>
                      <w:rFonts w:hint="eastAsia"/>
                      <w:szCs w:val="21"/>
                    </w:rPr>
                  </w:pPr>
                  <w:r>
                    <w:rPr>
                      <w:rFonts w:hint="eastAsia"/>
                      <w:szCs w:val="21"/>
                    </w:rPr>
                    <w:t>序号</w:t>
                  </w:r>
                </w:p>
              </w:tc>
              <w:tc>
                <w:tcPr>
                  <w:tcW w:w="215" w:type="pct"/>
                  <w:vMerge w:val="restart"/>
                  <w:noWrap w:val="0"/>
                  <w:vAlign w:val="center"/>
                </w:tcPr>
                <w:p w14:paraId="1E78D581">
                  <w:pPr>
                    <w:jc w:val="center"/>
                    <w:rPr>
                      <w:rFonts w:hint="eastAsia"/>
                      <w:szCs w:val="21"/>
                    </w:rPr>
                  </w:pPr>
                  <w:r>
                    <w:rPr>
                      <w:rFonts w:hint="eastAsia"/>
                      <w:szCs w:val="21"/>
                    </w:rPr>
                    <w:t>建筑物名称</w:t>
                  </w:r>
                </w:p>
              </w:tc>
              <w:tc>
                <w:tcPr>
                  <w:tcW w:w="331" w:type="pct"/>
                  <w:vMerge w:val="restart"/>
                  <w:noWrap w:val="0"/>
                  <w:vAlign w:val="center"/>
                </w:tcPr>
                <w:p w14:paraId="7874F41E">
                  <w:pPr>
                    <w:jc w:val="center"/>
                    <w:rPr>
                      <w:rFonts w:hint="eastAsia"/>
                      <w:szCs w:val="21"/>
                    </w:rPr>
                  </w:pPr>
                  <w:r>
                    <w:rPr>
                      <w:rFonts w:hint="eastAsia"/>
                      <w:szCs w:val="21"/>
                    </w:rPr>
                    <w:t>声源名称</w:t>
                  </w:r>
                </w:p>
              </w:tc>
              <w:tc>
                <w:tcPr>
                  <w:tcW w:w="225" w:type="pct"/>
                  <w:vMerge w:val="restart"/>
                  <w:noWrap w:val="0"/>
                  <w:vAlign w:val="center"/>
                </w:tcPr>
                <w:p w14:paraId="2ED653C8">
                  <w:pPr>
                    <w:jc w:val="center"/>
                    <w:rPr>
                      <w:rFonts w:hint="eastAsia"/>
                      <w:szCs w:val="21"/>
                    </w:rPr>
                  </w:pPr>
                  <w:r>
                    <w:rPr>
                      <w:rFonts w:hint="eastAsia"/>
                      <w:szCs w:val="21"/>
                    </w:rPr>
                    <w:t>台/套数</w:t>
                  </w:r>
                </w:p>
              </w:tc>
              <w:tc>
                <w:tcPr>
                  <w:tcW w:w="308" w:type="pct"/>
                  <w:vMerge w:val="restart"/>
                  <w:noWrap w:val="0"/>
                  <w:vAlign w:val="center"/>
                </w:tcPr>
                <w:p w14:paraId="55821A3C">
                  <w:pPr>
                    <w:jc w:val="center"/>
                    <w:rPr>
                      <w:rFonts w:hint="eastAsia"/>
                      <w:szCs w:val="21"/>
                    </w:rPr>
                  </w:pPr>
                  <w:r>
                    <w:rPr>
                      <w:rFonts w:hint="eastAsia"/>
                      <w:szCs w:val="21"/>
                    </w:rPr>
                    <w:t>声功率级</w:t>
                  </w:r>
                </w:p>
                <w:p w14:paraId="5BF14801">
                  <w:pPr>
                    <w:jc w:val="center"/>
                    <w:rPr>
                      <w:rFonts w:hint="eastAsia"/>
                      <w:szCs w:val="21"/>
                    </w:rPr>
                  </w:pPr>
                  <w:r>
                    <w:rPr>
                      <w:rFonts w:hint="eastAsia"/>
                      <w:szCs w:val="21"/>
                    </w:rPr>
                    <w:t>/dB(A)</w:t>
                  </w:r>
                </w:p>
              </w:tc>
              <w:tc>
                <w:tcPr>
                  <w:tcW w:w="357" w:type="pct"/>
                  <w:vMerge w:val="restart"/>
                  <w:noWrap w:val="0"/>
                  <w:vAlign w:val="center"/>
                </w:tcPr>
                <w:p w14:paraId="7903167C">
                  <w:pPr>
                    <w:jc w:val="center"/>
                    <w:rPr>
                      <w:rFonts w:hint="eastAsia"/>
                      <w:szCs w:val="21"/>
                    </w:rPr>
                  </w:pPr>
                  <w:r>
                    <w:rPr>
                      <w:rFonts w:hint="eastAsia"/>
                      <w:szCs w:val="21"/>
                    </w:rPr>
                    <w:t>声源控制措施</w:t>
                  </w:r>
                </w:p>
              </w:tc>
              <w:tc>
                <w:tcPr>
                  <w:tcW w:w="857" w:type="pct"/>
                  <w:gridSpan w:val="3"/>
                  <w:noWrap w:val="0"/>
                  <w:vAlign w:val="center"/>
                </w:tcPr>
                <w:p w14:paraId="51CBB0C0">
                  <w:pPr>
                    <w:jc w:val="center"/>
                    <w:rPr>
                      <w:rFonts w:hint="eastAsia"/>
                      <w:szCs w:val="21"/>
                    </w:rPr>
                  </w:pPr>
                  <w:r>
                    <w:rPr>
                      <w:rFonts w:hint="eastAsia"/>
                      <w:szCs w:val="21"/>
                    </w:rPr>
                    <w:t>空间相对位置/m</w:t>
                  </w:r>
                </w:p>
              </w:tc>
              <w:tc>
                <w:tcPr>
                  <w:tcW w:w="580" w:type="pct"/>
                  <w:gridSpan w:val="2"/>
                  <w:vMerge w:val="restart"/>
                  <w:noWrap w:val="0"/>
                  <w:vAlign w:val="center"/>
                </w:tcPr>
                <w:p w14:paraId="369DC476">
                  <w:pPr>
                    <w:jc w:val="center"/>
                    <w:rPr>
                      <w:rFonts w:hint="eastAsia"/>
                      <w:szCs w:val="21"/>
                    </w:rPr>
                  </w:pPr>
                  <w:r>
                    <w:rPr>
                      <w:rFonts w:hint="eastAsia"/>
                      <w:szCs w:val="21"/>
                    </w:rPr>
                    <w:t>距室内边界距离/m</w:t>
                  </w:r>
                </w:p>
              </w:tc>
              <w:tc>
                <w:tcPr>
                  <w:tcW w:w="386" w:type="pct"/>
                  <w:vMerge w:val="restart"/>
                  <w:noWrap w:val="0"/>
                  <w:vAlign w:val="center"/>
                </w:tcPr>
                <w:p w14:paraId="3BD05F07">
                  <w:pPr>
                    <w:jc w:val="center"/>
                    <w:rPr>
                      <w:rFonts w:hint="eastAsia"/>
                      <w:szCs w:val="21"/>
                    </w:rPr>
                  </w:pPr>
                  <w:r>
                    <w:rPr>
                      <w:rFonts w:hint="eastAsia"/>
                      <w:szCs w:val="21"/>
                    </w:rPr>
                    <w:t>室内边界声级</w:t>
                  </w:r>
                </w:p>
                <w:p w14:paraId="01D05D15">
                  <w:pPr>
                    <w:jc w:val="center"/>
                    <w:rPr>
                      <w:rFonts w:hint="eastAsia"/>
                      <w:szCs w:val="21"/>
                    </w:rPr>
                  </w:pPr>
                  <w:r>
                    <w:rPr>
                      <w:rFonts w:hint="eastAsia"/>
                      <w:szCs w:val="21"/>
                    </w:rPr>
                    <w:t>/dB(A)</w:t>
                  </w:r>
                </w:p>
              </w:tc>
              <w:tc>
                <w:tcPr>
                  <w:tcW w:w="348" w:type="pct"/>
                  <w:vMerge w:val="restart"/>
                  <w:noWrap w:val="0"/>
                  <w:vAlign w:val="center"/>
                </w:tcPr>
                <w:p w14:paraId="3431DE61">
                  <w:pPr>
                    <w:jc w:val="center"/>
                    <w:rPr>
                      <w:rFonts w:hint="eastAsia"/>
                      <w:szCs w:val="21"/>
                    </w:rPr>
                  </w:pPr>
                  <w:r>
                    <w:rPr>
                      <w:rFonts w:hint="eastAsia"/>
                      <w:szCs w:val="21"/>
                    </w:rPr>
                    <w:t>运行时段</w:t>
                  </w:r>
                </w:p>
              </w:tc>
              <w:tc>
                <w:tcPr>
                  <w:tcW w:w="422" w:type="pct"/>
                  <w:vMerge w:val="restart"/>
                  <w:noWrap w:val="0"/>
                  <w:vAlign w:val="center"/>
                </w:tcPr>
                <w:p w14:paraId="12F67225">
                  <w:pPr>
                    <w:jc w:val="center"/>
                    <w:rPr>
                      <w:rFonts w:hint="eastAsia"/>
                      <w:szCs w:val="21"/>
                    </w:rPr>
                  </w:pPr>
                  <w:r>
                    <w:rPr>
                      <w:rFonts w:hint="eastAsia"/>
                      <w:szCs w:val="21"/>
                    </w:rPr>
                    <w:t>建筑物插入损失/dB(A)</w:t>
                  </w:r>
                </w:p>
              </w:tc>
              <w:tc>
                <w:tcPr>
                  <w:tcW w:w="788" w:type="pct"/>
                  <w:gridSpan w:val="2"/>
                  <w:noWrap w:val="0"/>
                  <w:vAlign w:val="center"/>
                </w:tcPr>
                <w:p w14:paraId="1123375D">
                  <w:pPr>
                    <w:jc w:val="center"/>
                    <w:rPr>
                      <w:rFonts w:hint="eastAsia"/>
                      <w:szCs w:val="21"/>
                    </w:rPr>
                  </w:pPr>
                  <w:r>
                    <w:rPr>
                      <w:rFonts w:hint="eastAsia"/>
                      <w:szCs w:val="21"/>
                    </w:rPr>
                    <w:t>建筑物外噪声</w:t>
                  </w:r>
                </w:p>
              </w:tc>
            </w:tr>
            <w:tr w14:paraId="0613C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178" w:type="pct"/>
                  <w:vMerge w:val="continue"/>
                  <w:noWrap w:val="0"/>
                  <w:vAlign w:val="center"/>
                </w:tcPr>
                <w:p w14:paraId="2A56588D">
                  <w:pPr>
                    <w:jc w:val="center"/>
                    <w:rPr>
                      <w:rFonts w:hint="eastAsia"/>
                      <w:szCs w:val="21"/>
                    </w:rPr>
                  </w:pPr>
                </w:p>
              </w:tc>
              <w:tc>
                <w:tcPr>
                  <w:tcW w:w="215" w:type="pct"/>
                  <w:vMerge w:val="continue"/>
                  <w:noWrap w:val="0"/>
                  <w:vAlign w:val="center"/>
                </w:tcPr>
                <w:p w14:paraId="71B354A8">
                  <w:pPr>
                    <w:jc w:val="center"/>
                    <w:rPr>
                      <w:rFonts w:hint="eastAsia"/>
                      <w:szCs w:val="21"/>
                    </w:rPr>
                  </w:pPr>
                </w:p>
              </w:tc>
              <w:tc>
                <w:tcPr>
                  <w:tcW w:w="331" w:type="pct"/>
                  <w:vMerge w:val="continue"/>
                  <w:noWrap w:val="0"/>
                  <w:vAlign w:val="center"/>
                </w:tcPr>
                <w:p w14:paraId="26391101">
                  <w:pPr>
                    <w:jc w:val="center"/>
                    <w:rPr>
                      <w:rFonts w:hint="eastAsia"/>
                      <w:szCs w:val="21"/>
                    </w:rPr>
                  </w:pPr>
                </w:p>
              </w:tc>
              <w:tc>
                <w:tcPr>
                  <w:tcW w:w="225" w:type="pct"/>
                  <w:vMerge w:val="continue"/>
                  <w:noWrap w:val="0"/>
                  <w:vAlign w:val="center"/>
                </w:tcPr>
                <w:p w14:paraId="4EC4C098">
                  <w:pPr>
                    <w:jc w:val="center"/>
                    <w:rPr>
                      <w:rFonts w:hint="eastAsia"/>
                      <w:szCs w:val="21"/>
                    </w:rPr>
                  </w:pPr>
                </w:p>
              </w:tc>
              <w:tc>
                <w:tcPr>
                  <w:tcW w:w="308" w:type="pct"/>
                  <w:vMerge w:val="continue"/>
                  <w:noWrap w:val="0"/>
                  <w:vAlign w:val="center"/>
                </w:tcPr>
                <w:p w14:paraId="72455F16">
                  <w:pPr>
                    <w:jc w:val="center"/>
                    <w:rPr>
                      <w:rFonts w:hint="eastAsia"/>
                      <w:szCs w:val="21"/>
                    </w:rPr>
                  </w:pPr>
                </w:p>
              </w:tc>
              <w:tc>
                <w:tcPr>
                  <w:tcW w:w="357" w:type="pct"/>
                  <w:vMerge w:val="continue"/>
                  <w:noWrap w:val="0"/>
                  <w:vAlign w:val="center"/>
                </w:tcPr>
                <w:p w14:paraId="07BA0A6E">
                  <w:pPr>
                    <w:jc w:val="center"/>
                    <w:rPr>
                      <w:rFonts w:hint="eastAsia"/>
                      <w:szCs w:val="21"/>
                    </w:rPr>
                  </w:pPr>
                </w:p>
              </w:tc>
              <w:tc>
                <w:tcPr>
                  <w:tcW w:w="295" w:type="pct"/>
                  <w:noWrap w:val="0"/>
                  <w:vAlign w:val="center"/>
                </w:tcPr>
                <w:p w14:paraId="7A391080">
                  <w:pPr>
                    <w:jc w:val="center"/>
                    <w:rPr>
                      <w:rFonts w:hint="eastAsia"/>
                      <w:szCs w:val="21"/>
                    </w:rPr>
                  </w:pPr>
                  <w:r>
                    <w:rPr>
                      <w:rFonts w:hint="eastAsia"/>
                      <w:szCs w:val="21"/>
                    </w:rPr>
                    <w:t>X</w:t>
                  </w:r>
                </w:p>
              </w:tc>
              <w:tc>
                <w:tcPr>
                  <w:tcW w:w="344" w:type="pct"/>
                  <w:noWrap w:val="0"/>
                  <w:vAlign w:val="center"/>
                </w:tcPr>
                <w:p w14:paraId="6A09235D">
                  <w:pPr>
                    <w:jc w:val="center"/>
                    <w:rPr>
                      <w:rFonts w:hint="eastAsia"/>
                      <w:szCs w:val="21"/>
                    </w:rPr>
                  </w:pPr>
                  <w:r>
                    <w:rPr>
                      <w:rFonts w:hint="eastAsia"/>
                      <w:szCs w:val="21"/>
                    </w:rPr>
                    <w:t>Y</w:t>
                  </w:r>
                </w:p>
              </w:tc>
              <w:tc>
                <w:tcPr>
                  <w:tcW w:w="217" w:type="pct"/>
                  <w:noWrap w:val="0"/>
                  <w:vAlign w:val="center"/>
                </w:tcPr>
                <w:p w14:paraId="31AD39D7">
                  <w:pPr>
                    <w:jc w:val="center"/>
                    <w:rPr>
                      <w:rFonts w:hint="eastAsia"/>
                      <w:szCs w:val="21"/>
                    </w:rPr>
                  </w:pPr>
                  <w:r>
                    <w:rPr>
                      <w:rFonts w:hint="eastAsia"/>
                      <w:szCs w:val="21"/>
                    </w:rPr>
                    <w:t>Z</w:t>
                  </w:r>
                </w:p>
              </w:tc>
              <w:tc>
                <w:tcPr>
                  <w:tcW w:w="580" w:type="pct"/>
                  <w:gridSpan w:val="2"/>
                  <w:vMerge w:val="continue"/>
                  <w:noWrap w:val="0"/>
                  <w:vAlign w:val="center"/>
                </w:tcPr>
                <w:p w14:paraId="62F09364">
                  <w:pPr>
                    <w:jc w:val="center"/>
                    <w:rPr>
                      <w:rFonts w:hint="eastAsia"/>
                      <w:szCs w:val="21"/>
                    </w:rPr>
                  </w:pPr>
                </w:p>
              </w:tc>
              <w:tc>
                <w:tcPr>
                  <w:tcW w:w="386" w:type="pct"/>
                  <w:vMerge w:val="continue"/>
                  <w:noWrap w:val="0"/>
                  <w:vAlign w:val="center"/>
                </w:tcPr>
                <w:p w14:paraId="013391F1">
                  <w:pPr>
                    <w:jc w:val="center"/>
                    <w:rPr>
                      <w:rFonts w:hint="eastAsia"/>
                      <w:szCs w:val="21"/>
                    </w:rPr>
                  </w:pPr>
                </w:p>
              </w:tc>
              <w:tc>
                <w:tcPr>
                  <w:tcW w:w="348" w:type="pct"/>
                  <w:vMerge w:val="continue"/>
                  <w:noWrap w:val="0"/>
                  <w:vAlign w:val="center"/>
                </w:tcPr>
                <w:p w14:paraId="3A1B1726">
                  <w:pPr>
                    <w:jc w:val="center"/>
                    <w:rPr>
                      <w:rFonts w:hint="eastAsia"/>
                      <w:szCs w:val="21"/>
                    </w:rPr>
                  </w:pPr>
                </w:p>
              </w:tc>
              <w:tc>
                <w:tcPr>
                  <w:tcW w:w="422" w:type="pct"/>
                  <w:vMerge w:val="continue"/>
                  <w:noWrap w:val="0"/>
                  <w:vAlign w:val="center"/>
                </w:tcPr>
                <w:p w14:paraId="74132505">
                  <w:pPr>
                    <w:jc w:val="center"/>
                    <w:rPr>
                      <w:rFonts w:hint="eastAsia"/>
                      <w:szCs w:val="21"/>
                    </w:rPr>
                  </w:pPr>
                </w:p>
              </w:tc>
              <w:tc>
                <w:tcPr>
                  <w:tcW w:w="377" w:type="pct"/>
                  <w:noWrap w:val="0"/>
                  <w:vAlign w:val="center"/>
                </w:tcPr>
                <w:p w14:paraId="5669A91D">
                  <w:pPr>
                    <w:jc w:val="center"/>
                    <w:rPr>
                      <w:rFonts w:hint="eastAsia"/>
                      <w:szCs w:val="21"/>
                    </w:rPr>
                  </w:pPr>
                  <w:r>
                    <w:rPr>
                      <w:rFonts w:hint="eastAsia"/>
                      <w:szCs w:val="21"/>
                    </w:rPr>
                    <w:t>声压级</w:t>
                  </w:r>
                </w:p>
                <w:p w14:paraId="41B58377">
                  <w:pPr>
                    <w:jc w:val="center"/>
                    <w:rPr>
                      <w:rFonts w:hint="eastAsia"/>
                      <w:szCs w:val="21"/>
                    </w:rPr>
                  </w:pPr>
                  <w:r>
                    <w:rPr>
                      <w:rFonts w:hint="eastAsia"/>
                      <w:szCs w:val="21"/>
                    </w:rPr>
                    <w:t>/dB(A)</w:t>
                  </w:r>
                </w:p>
              </w:tc>
              <w:tc>
                <w:tcPr>
                  <w:tcW w:w="410" w:type="pct"/>
                  <w:noWrap w:val="0"/>
                  <w:vAlign w:val="center"/>
                </w:tcPr>
                <w:p w14:paraId="121D7657">
                  <w:pPr>
                    <w:jc w:val="center"/>
                    <w:rPr>
                      <w:rFonts w:hint="eastAsia"/>
                      <w:szCs w:val="21"/>
                    </w:rPr>
                  </w:pPr>
                  <w:r>
                    <w:rPr>
                      <w:rFonts w:hint="eastAsia"/>
                      <w:szCs w:val="21"/>
                    </w:rPr>
                    <w:t>建筑物外距离</w:t>
                  </w:r>
                </w:p>
              </w:tc>
            </w:tr>
            <w:tr w14:paraId="05B4B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78" w:type="pct"/>
                  <w:vMerge w:val="restart"/>
                  <w:noWrap w:val="0"/>
                  <w:vAlign w:val="center"/>
                </w:tcPr>
                <w:p w14:paraId="20900564">
                  <w:pPr>
                    <w:jc w:val="center"/>
                    <w:rPr>
                      <w:rFonts w:hint="eastAsia"/>
                      <w:szCs w:val="21"/>
                    </w:rPr>
                  </w:pPr>
                  <w:r>
                    <w:rPr>
                      <w:rFonts w:hint="eastAsia"/>
                      <w:szCs w:val="21"/>
                    </w:rPr>
                    <w:t>1</w:t>
                  </w:r>
                </w:p>
              </w:tc>
              <w:tc>
                <w:tcPr>
                  <w:tcW w:w="215" w:type="pct"/>
                  <w:vMerge w:val="restart"/>
                  <w:noWrap w:val="0"/>
                  <w:vAlign w:val="center"/>
                </w:tcPr>
                <w:p w14:paraId="0BF64E75">
                  <w:pPr>
                    <w:jc w:val="center"/>
                    <w:rPr>
                      <w:rFonts w:hint="default" w:eastAsia="宋体"/>
                      <w:szCs w:val="21"/>
                      <w:lang w:val="en-US" w:eastAsia="zh-CN"/>
                    </w:rPr>
                  </w:pPr>
                  <w:r>
                    <w:rPr>
                      <w:rFonts w:hint="eastAsia"/>
                      <w:szCs w:val="21"/>
                      <w:lang w:val="en-US" w:eastAsia="zh-CN"/>
                    </w:rPr>
                    <w:t>一层厂房内</w:t>
                  </w:r>
                </w:p>
              </w:tc>
              <w:tc>
                <w:tcPr>
                  <w:tcW w:w="331" w:type="pct"/>
                  <w:vMerge w:val="restart"/>
                  <w:noWrap w:val="0"/>
                  <w:vAlign w:val="center"/>
                </w:tcPr>
                <w:p w14:paraId="2A13FBC5">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注塑机</w:t>
                  </w:r>
                </w:p>
              </w:tc>
              <w:tc>
                <w:tcPr>
                  <w:tcW w:w="225" w:type="pct"/>
                  <w:vMerge w:val="restart"/>
                  <w:noWrap w:val="0"/>
                  <w:vAlign w:val="center"/>
                </w:tcPr>
                <w:p w14:paraId="0CE18594">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308" w:type="pct"/>
                  <w:vMerge w:val="restart"/>
                  <w:noWrap w:val="0"/>
                  <w:vAlign w:val="center"/>
                </w:tcPr>
                <w:p w14:paraId="770758CF">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70-75</w:t>
                  </w:r>
                </w:p>
              </w:tc>
              <w:tc>
                <w:tcPr>
                  <w:tcW w:w="357" w:type="pct"/>
                  <w:vMerge w:val="restart"/>
                  <w:noWrap w:val="0"/>
                  <w:vAlign w:val="center"/>
                </w:tcPr>
                <w:p w14:paraId="47621061">
                  <w:pPr>
                    <w:jc w:val="center"/>
                    <w:rPr>
                      <w:szCs w:val="21"/>
                    </w:rPr>
                  </w:pPr>
                  <w:r>
                    <w:rPr>
                      <w:rFonts w:hint="eastAsia"/>
                      <w:szCs w:val="21"/>
                    </w:rPr>
                    <w:t>减震垫，墙体隔声</w:t>
                  </w:r>
                </w:p>
              </w:tc>
              <w:tc>
                <w:tcPr>
                  <w:tcW w:w="295" w:type="pct"/>
                  <w:vMerge w:val="restart"/>
                  <w:noWrap w:val="0"/>
                  <w:vAlign w:val="center"/>
                </w:tcPr>
                <w:p w14:paraId="3C19E2DB">
                  <w:pPr>
                    <w:jc w:val="center"/>
                    <w:rPr>
                      <w:rFonts w:hint="default" w:eastAsia="宋体"/>
                      <w:szCs w:val="21"/>
                      <w:lang w:val="en-US" w:eastAsia="zh-CN"/>
                    </w:rPr>
                  </w:pPr>
                  <w:r>
                    <w:rPr>
                      <w:rFonts w:hint="eastAsia"/>
                      <w:szCs w:val="21"/>
                      <w:lang w:val="en-US" w:eastAsia="zh-CN"/>
                    </w:rPr>
                    <w:t>1-22</w:t>
                  </w:r>
                </w:p>
              </w:tc>
              <w:tc>
                <w:tcPr>
                  <w:tcW w:w="344" w:type="pct"/>
                  <w:vMerge w:val="restart"/>
                  <w:noWrap w:val="0"/>
                  <w:vAlign w:val="center"/>
                </w:tcPr>
                <w:p w14:paraId="4936935D">
                  <w:pPr>
                    <w:jc w:val="center"/>
                    <w:rPr>
                      <w:rFonts w:hint="default" w:eastAsia="宋体"/>
                      <w:szCs w:val="21"/>
                      <w:lang w:val="en-US" w:eastAsia="zh-CN"/>
                    </w:rPr>
                  </w:pPr>
                  <w:r>
                    <w:rPr>
                      <w:rFonts w:hint="eastAsia" w:eastAsia="宋体"/>
                      <w:szCs w:val="21"/>
                      <w:lang w:val="en-US" w:eastAsia="zh-CN"/>
                    </w:rPr>
                    <w:t>0.7-11</w:t>
                  </w:r>
                </w:p>
              </w:tc>
              <w:tc>
                <w:tcPr>
                  <w:tcW w:w="217" w:type="pct"/>
                  <w:vMerge w:val="restart"/>
                  <w:noWrap w:val="0"/>
                  <w:vAlign w:val="center"/>
                </w:tcPr>
                <w:p w14:paraId="553ED1B7">
                  <w:pPr>
                    <w:jc w:val="center"/>
                    <w:rPr>
                      <w:rFonts w:hint="default" w:eastAsia="宋体"/>
                      <w:szCs w:val="21"/>
                      <w:lang w:val="en-US" w:eastAsia="zh-CN"/>
                    </w:rPr>
                  </w:pPr>
                  <w:r>
                    <w:rPr>
                      <w:rFonts w:hint="eastAsia" w:eastAsia="宋体"/>
                      <w:szCs w:val="21"/>
                      <w:lang w:val="en-US" w:eastAsia="zh-CN"/>
                    </w:rPr>
                    <w:t>1.2</w:t>
                  </w:r>
                </w:p>
              </w:tc>
              <w:tc>
                <w:tcPr>
                  <w:tcW w:w="302" w:type="pct"/>
                  <w:tcBorders>
                    <w:right w:val="single" w:color="000000" w:sz="4" w:space="0"/>
                  </w:tcBorders>
                  <w:noWrap w:val="0"/>
                  <w:vAlign w:val="center"/>
                </w:tcPr>
                <w:p w14:paraId="50762D2A">
                  <w:pPr>
                    <w:jc w:val="center"/>
                    <w:rPr>
                      <w:rFonts w:hint="eastAsia" w:eastAsia="宋体"/>
                      <w:szCs w:val="21"/>
                      <w:lang w:val="en-US" w:eastAsia="zh-CN"/>
                    </w:rPr>
                  </w:pPr>
                  <w:r>
                    <w:rPr>
                      <w:rFonts w:hint="eastAsia"/>
                      <w:szCs w:val="21"/>
                      <w:lang w:val="en-US" w:eastAsia="zh-CN"/>
                    </w:rPr>
                    <w:t>西北</w:t>
                  </w:r>
                </w:p>
              </w:tc>
              <w:tc>
                <w:tcPr>
                  <w:tcW w:w="277" w:type="pct"/>
                  <w:tcBorders>
                    <w:left w:val="single" w:color="000000" w:sz="4" w:space="0"/>
                  </w:tcBorders>
                  <w:noWrap w:val="0"/>
                  <w:vAlign w:val="center"/>
                </w:tcPr>
                <w:p w14:paraId="0D13013A">
                  <w:pPr>
                    <w:jc w:val="center"/>
                    <w:rPr>
                      <w:rFonts w:hint="default" w:eastAsia="宋体"/>
                      <w:szCs w:val="21"/>
                      <w:lang w:val="en-US" w:eastAsia="zh-CN"/>
                    </w:rPr>
                  </w:pPr>
                  <w:r>
                    <w:rPr>
                      <w:rFonts w:hint="eastAsia" w:eastAsia="宋体"/>
                      <w:szCs w:val="21"/>
                      <w:lang w:val="en-US" w:eastAsia="zh-CN"/>
                    </w:rPr>
                    <w:t>0.7</w:t>
                  </w:r>
                </w:p>
              </w:tc>
              <w:tc>
                <w:tcPr>
                  <w:tcW w:w="386" w:type="pct"/>
                  <w:noWrap w:val="0"/>
                  <w:vAlign w:val="center"/>
                </w:tcPr>
                <w:p w14:paraId="2C478B7E">
                  <w:pPr>
                    <w:jc w:val="center"/>
                    <w:rPr>
                      <w:rFonts w:hint="default" w:eastAsia="宋体"/>
                      <w:szCs w:val="21"/>
                      <w:lang w:val="en-US" w:eastAsia="zh-CN"/>
                    </w:rPr>
                  </w:pPr>
                  <w:r>
                    <w:rPr>
                      <w:rFonts w:hint="eastAsia"/>
                      <w:szCs w:val="21"/>
                      <w:lang w:val="en-US" w:eastAsia="zh-CN"/>
                    </w:rPr>
                    <w:t>65.2</w:t>
                  </w:r>
                </w:p>
              </w:tc>
              <w:tc>
                <w:tcPr>
                  <w:tcW w:w="348" w:type="pct"/>
                  <w:vMerge w:val="restart"/>
                  <w:noWrap w:val="0"/>
                  <w:vAlign w:val="center"/>
                </w:tcPr>
                <w:p w14:paraId="092B136B">
                  <w:pPr>
                    <w:jc w:val="center"/>
                    <w:rPr>
                      <w:rFonts w:hint="eastAsia"/>
                      <w:szCs w:val="21"/>
                    </w:rPr>
                  </w:pPr>
                  <w:r>
                    <w:rPr>
                      <w:rFonts w:hint="eastAsia"/>
                      <w:snapToGrid w:val="0"/>
                      <w:szCs w:val="21"/>
                      <w:lang w:val="en-US" w:eastAsia="zh-CN"/>
                    </w:rPr>
                    <w:t>24</w:t>
                  </w:r>
                  <w:r>
                    <w:rPr>
                      <w:snapToGrid w:val="0"/>
                      <w:szCs w:val="21"/>
                    </w:rPr>
                    <w:t>h</w:t>
                  </w:r>
                  <w:r>
                    <w:rPr>
                      <w:rFonts w:hint="eastAsia"/>
                      <w:snapToGrid w:val="0"/>
                      <w:szCs w:val="21"/>
                    </w:rPr>
                    <w:t>/d</w:t>
                  </w:r>
                </w:p>
              </w:tc>
              <w:tc>
                <w:tcPr>
                  <w:tcW w:w="422" w:type="pct"/>
                  <w:vMerge w:val="restart"/>
                  <w:noWrap w:val="0"/>
                  <w:vAlign w:val="center"/>
                </w:tcPr>
                <w:p w14:paraId="0EA9C8DD">
                  <w:pPr>
                    <w:jc w:val="center"/>
                    <w:rPr>
                      <w:rFonts w:hint="eastAsia"/>
                      <w:szCs w:val="21"/>
                    </w:rPr>
                  </w:pPr>
                  <w:r>
                    <w:rPr>
                      <w:rFonts w:hint="eastAsia"/>
                      <w:szCs w:val="21"/>
                    </w:rPr>
                    <w:t>-15</w:t>
                  </w:r>
                </w:p>
              </w:tc>
              <w:tc>
                <w:tcPr>
                  <w:tcW w:w="377" w:type="pct"/>
                  <w:noWrap w:val="0"/>
                  <w:vAlign w:val="center"/>
                </w:tcPr>
                <w:p w14:paraId="27DE4437">
                  <w:pPr>
                    <w:jc w:val="center"/>
                    <w:rPr>
                      <w:rFonts w:hint="default" w:eastAsia="宋体"/>
                      <w:szCs w:val="21"/>
                      <w:lang w:val="en-US" w:eastAsia="zh-CN"/>
                    </w:rPr>
                  </w:pPr>
                  <w:r>
                    <w:rPr>
                      <w:rFonts w:hint="eastAsia" w:eastAsia="宋体"/>
                      <w:szCs w:val="21"/>
                      <w:lang w:val="en-US" w:eastAsia="zh-CN"/>
                    </w:rPr>
                    <w:t>50.2</w:t>
                  </w:r>
                </w:p>
              </w:tc>
              <w:tc>
                <w:tcPr>
                  <w:tcW w:w="410" w:type="pct"/>
                  <w:vMerge w:val="restart"/>
                  <w:noWrap w:val="0"/>
                  <w:vAlign w:val="center"/>
                </w:tcPr>
                <w:p w14:paraId="00B18668">
                  <w:pPr>
                    <w:jc w:val="center"/>
                    <w:rPr>
                      <w:rFonts w:hint="eastAsia"/>
                      <w:szCs w:val="21"/>
                    </w:rPr>
                  </w:pPr>
                  <w:r>
                    <w:rPr>
                      <w:rFonts w:hint="eastAsia"/>
                      <w:szCs w:val="21"/>
                    </w:rPr>
                    <w:t>1</w:t>
                  </w:r>
                </w:p>
              </w:tc>
            </w:tr>
            <w:tr w14:paraId="19BF6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78" w:type="pct"/>
                  <w:vMerge w:val="continue"/>
                  <w:noWrap w:val="0"/>
                  <w:vAlign w:val="center"/>
                </w:tcPr>
                <w:p w14:paraId="0F224AB7">
                  <w:pPr>
                    <w:jc w:val="center"/>
                    <w:rPr>
                      <w:rFonts w:hint="eastAsia"/>
                      <w:szCs w:val="21"/>
                    </w:rPr>
                  </w:pPr>
                </w:p>
              </w:tc>
              <w:tc>
                <w:tcPr>
                  <w:tcW w:w="215" w:type="pct"/>
                  <w:vMerge w:val="continue"/>
                  <w:noWrap w:val="0"/>
                  <w:vAlign w:val="center"/>
                </w:tcPr>
                <w:p w14:paraId="034489CB">
                  <w:pPr>
                    <w:jc w:val="center"/>
                    <w:rPr>
                      <w:rFonts w:hint="eastAsia"/>
                      <w:szCs w:val="21"/>
                    </w:rPr>
                  </w:pPr>
                </w:p>
              </w:tc>
              <w:tc>
                <w:tcPr>
                  <w:tcW w:w="331" w:type="pct"/>
                  <w:vMerge w:val="continue"/>
                  <w:noWrap w:val="0"/>
                  <w:vAlign w:val="center"/>
                </w:tcPr>
                <w:p w14:paraId="531F28F1">
                  <w:pPr>
                    <w:jc w:val="center"/>
                    <w:rPr>
                      <w:rFonts w:hint="eastAsia" w:ascii="Times New Roman" w:hAnsi="Times New Roman" w:eastAsia="宋体" w:cs="Times New Roman"/>
                      <w:szCs w:val="21"/>
                      <w:lang w:val="en-US" w:eastAsia="zh-CN"/>
                    </w:rPr>
                  </w:pPr>
                </w:p>
              </w:tc>
              <w:tc>
                <w:tcPr>
                  <w:tcW w:w="225" w:type="pct"/>
                  <w:vMerge w:val="continue"/>
                  <w:noWrap w:val="0"/>
                  <w:vAlign w:val="center"/>
                </w:tcPr>
                <w:p w14:paraId="55D33786">
                  <w:pPr>
                    <w:jc w:val="center"/>
                    <w:rPr>
                      <w:rFonts w:hint="eastAsia" w:ascii="Times New Roman" w:hAnsi="Times New Roman" w:eastAsia="宋体" w:cs="Times New Roman"/>
                      <w:szCs w:val="21"/>
                      <w:lang w:val="en-US" w:eastAsia="zh-CN"/>
                    </w:rPr>
                  </w:pPr>
                </w:p>
              </w:tc>
              <w:tc>
                <w:tcPr>
                  <w:tcW w:w="308" w:type="pct"/>
                  <w:vMerge w:val="continue"/>
                  <w:noWrap w:val="0"/>
                  <w:vAlign w:val="center"/>
                </w:tcPr>
                <w:p w14:paraId="5451AFF0">
                  <w:pPr>
                    <w:jc w:val="center"/>
                    <w:rPr>
                      <w:rFonts w:hint="eastAsia" w:ascii="Times New Roman" w:hAnsi="Times New Roman" w:eastAsia="宋体" w:cs="Times New Roman"/>
                      <w:szCs w:val="21"/>
                      <w:lang w:val="en-US" w:eastAsia="zh-CN"/>
                    </w:rPr>
                  </w:pPr>
                </w:p>
              </w:tc>
              <w:tc>
                <w:tcPr>
                  <w:tcW w:w="357" w:type="pct"/>
                  <w:vMerge w:val="continue"/>
                  <w:noWrap w:val="0"/>
                  <w:vAlign w:val="center"/>
                </w:tcPr>
                <w:p w14:paraId="1383C931">
                  <w:pPr>
                    <w:jc w:val="center"/>
                    <w:rPr>
                      <w:rFonts w:hint="eastAsia"/>
                      <w:szCs w:val="21"/>
                    </w:rPr>
                  </w:pPr>
                </w:p>
              </w:tc>
              <w:tc>
                <w:tcPr>
                  <w:tcW w:w="295" w:type="pct"/>
                  <w:vMerge w:val="continue"/>
                  <w:noWrap w:val="0"/>
                  <w:vAlign w:val="center"/>
                </w:tcPr>
                <w:p w14:paraId="20B09230">
                  <w:pPr>
                    <w:jc w:val="center"/>
                    <w:rPr>
                      <w:szCs w:val="21"/>
                    </w:rPr>
                  </w:pPr>
                </w:p>
              </w:tc>
              <w:tc>
                <w:tcPr>
                  <w:tcW w:w="344" w:type="pct"/>
                  <w:vMerge w:val="continue"/>
                  <w:noWrap w:val="0"/>
                  <w:vAlign w:val="center"/>
                </w:tcPr>
                <w:p w14:paraId="0929CF9A">
                  <w:pPr>
                    <w:jc w:val="center"/>
                    <w:rPr>
                      <w:szCs w:val="21"/>
                    </w:rPr>
                  </w:pPr>
                </w:p>
              </w:tc>
              <w:tc>
                <w:tcPr>
                  <w:tcW w:w="217" w:type="pct"/>
                  <w:vMerge w:val="continue"/>
                  <w:noWrap w:val="0"/>
                  <w:vAlign w:val="center"/>
                </w:tcPr>
                <w:p w14:paraId="63F6C3F7">
                  <w:pPr>
                    <w:jc w:val="center"/>
                    <w:rPr>
                      <w:rFonts w:hint="eastAsia"/>
                      <w:szCs w:val="21"/>
                    </w:rPr>
                  </w:pPr>
                </w:p>
              </w:tc>
              <w:tc>
                <w:tcPr>
                  <w:tcW w:w="302" w:type="pct"/>
                  <w:tcBorders>
                    <w:right w:val="single" w:color="000000" w:sz="4" w:space="0"/>
                  </w:tcBorders>
                  <w:noWrap w:val="0"/>
                  <w:vAlign w:val="center"/>
                </w:tcPr>
                <w:p w14:paraId="6B845918">
                  <w:pPr>
                    <w:jc w:val="center"/>
                    <w:rPr>
                      <w:rFonts w:hint="eastAsia" w:eastAsia="宋体"/>
                      <w:szCs w:val="21"/>
                      <w:lang w:val="en-US" w:eastAsia="zh-CN"/>
                    </w:rPr>
                  </w:pPr>
                  <w:r>
                    <w:rPr>
                      <w:rFonts w:hint="eastAsia"/>
                      <w:szCs w:val="21"/>
                      <w:lang w:val="en-US" w:eastAsia="zh-CN"/>
                    </w:rPr>
                    <w:t>西南</w:t>
                  </w:r>
                </w:p>
              </w:tc>
              <w:tc>
                <w:tcPr>
                  <w:tcW w:w="277" w:type="pct"/>
                  <w:tcBorders>
                    <w:left w:val="single" w:color="000000" w:sz="4" w:space="0"/>
                  </w:tcBorders>
                  <w:noWrap w:val="0"/>
                  <w:vAlign w:val="center"/>
                </w:tcPr>
                <w:p w14:paraId="527E7CA0">
                  <w:pPr>
                    <w:jc w:val="center"/>
                    <w:rPr>
                      <w:rFonts w:hint="default" w:eastAsia="宋体"/>
                      <w:szCs w:val="21"/>
                      <w:lang w:val="en-US" w:eastAsia="zh-CN"/>
                    </w:rPr>
                  </w:pPr>
                  <w:r>
                    <w:rPr>
                      <w:rFonts w:hint="eastAsia" w:eastAsia="宋体"/>
                      <w:szCs w:val="21"/>
                      <w:lang w:val="en-US" w:eastAsia="zh-CN"/>
                    </w:rPr>
                    <w:t>11</w:t>
                  </w:r>
                </w:p>
              </w:tc>
              <w:tc>
                <w:tcPr>
                  <w:tcW w:w="386" w:type="pct"/>
                  <w:noWrap w:val="0"/>
                  <w:vAlign w:val="center"/>
                </w:tcPr>
                <w:p w14:paraId="0A3FBEEA">
                  <w:pPr>
                    <w:jc w:val="center"/>
                    <w:rPr>
                      <w:rFonts w:hint="default" w:eastAsia="宋体"/>
                      <w:szCs w:val="21"/>
                      <w:lang w:val="en-US" w:eastAsia="zh-CN"/>
                    </w:rPr>
                  </w:pPr>
                  <w:r>
                    <w:rPr>
                      <w:rFonts w:hint="eastAsia"/>
                      <w:szCs w:val="21"/>
                      <w:lang w:val="en-US" w:eastAsia="zh-CN"/>
                    </w:rPr>
                    <w:t>52.1</w:t>
                  </w:r>
                </w:p>
              </w:tc>
              <w:tc>
                <w:tcPr>
                  <w:tcW w:w="348" w:type="pct"/>
                  <w:vMerge w:val="continue"/>
                  <w:noWrap w:val="0"/>
                  <w:vAlign w:val="center"/>
                </w:tcPr>
                <w:p w14:paraId="129114D9">
                  <w:pPr>
                    <w:jc w:val="center"/>
                    <w:rPr>
                      <w:rFonts w:hint="eastAsia"/>
                      <w:snapToGrid w:val="0"/>
                      <w:szCs w:val="21"/>
                      <w:lang w:val="en-US" w:eastAsia="zh-CN"/>
                    </w:rPr>
                  </w:pPr>
                </w:p>
              </w:tc>
              <w:tc>
                <w:tcPr>
                  <w:tcW w:w="422" w:type="pct"/>
                  <w:vMerge w:val="continue"/>
                  <w:noWrap w:val="0"/>
                  <w:vAlign w:val="center"/>
                </w:tcPr>
                <w:p w14:paraId="380C412F">
                  <w:pPr>
                    <w:jc w:val="center"/>
                    <w:rPr>
                      <w:rFonts w:hint="eastAsia"/>
                      <w:szCs w:val="21"/>
                    </w:rPr>
                  </w:pPr>
                </w:p>
              </w:tc>
              <w:tc>
                <w:tcPr>
                  <w:tcW w:w="377" w:type="pct"/>
                  <w:noWrap w:val="0"/>
                  <w:vAlign w:val="center"/>
                </w:tcPr>
                <w:p w14:paraId="4CF794A9">
                  <w:pPr>
                    <w:jc w:val="center"/>
                    <w:rPr>
                      <w:rFonts w:hint="default" w:eastAsia="宋体"/>
                      <w:szCs w:val="21"/>
                      <w:lang w:val="en-US" w:eastAsia="zh-CN"/>
                    </w:rPr>
                  </w:pPr>
                  <w:r>
                    <w:rPr>
                      <w:rFonts w:hint="eastAsia" w:eastAsia="宋体"/>
                      <w:szCs w:val="21"/>
                      <w:lang w:val="en-US" w:eastAsia="zh-CN"/>
                    </w:rPr>
                    <w:t>37.1</w:t>
                  </w:r>
                </w:p>
              </w:tc>
              <w:tc>
                <w:tcPr>
                  <w:tcW w:w="410" w:type="pct"/>
                  <w:vMerge w:val="continue"/>
                  <w:noWrap w:val="0"/>
                  <w:vAlign w:val="center"/>
                </w:tcPr>
                <w:p w14:paraId="4C959A22">
                  <w:pPr>
                    <w:jc w:val="center"/>
                    <w:rPr>
                      <w:rFonts w:hint="eastAsia"/>
                      <w:szCs w:val="21"/>
                    </w:rPr>
                  </w:pPr>
                </w:p>
              </w:tc>
            </w:tr>
            <w:tr w14:paraId="21D49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78" w:type="pct"/>
                  <w:vMerge w:val="continue"/>
                  <w:noWrap w:val="0"/>
                  <w:vAlign w:val="center"/>
                </w:tcPr>
                <w:p w14:paraId="36D34A22">
                  <w:pPr>
                    <w:jc w:val="center"/>
                    <w:rPr>
                      <w:rFonts w:hint="eastAsia"/>
                      <w:szCs w:val="21"/>
                    </w:rPr>
                  </w:pPr>
                </w:p>
              </w:tc>
              <w:tc>
                <w:tcPr>
                  <w:tcW w:w="215" w:type="pct"/>
                  <w:vMerge w:val="continue"/>
                  <w:noWrap w:val="0"/>
                  <w:vAlign w:val="center"/>
                </w:tcPr>
                <w:p w14:paraId="1EEF55F7">
                  <w:pPr>
                    <w:jc w:val="center"/>
                    <w:rPr>
                      <w:rFonts w:hint="eastAsia"/>
                      <w:szCs w:val="21"/>
                    </w:rPr>
                  </w:pPr>
                </w:p>
              </w:tc>
              <w:tc>
                <w:tcPr>
                  <w:tcW w:w="331" w:type="pct"/>
                  <w:vMerge w:val="continue"/>
                  <w:noWrap w:val="0"/>
                  <w:vAlign w:val="center"/>
                </w:tcPr>
                <w:p w14:paraId="7B64C734">
                  <w:pPr>
                    <w:jc w:val="center"/>
                    <w:rPr>
                      <w:rFonts w:hint="eastAsia" w:ascii="Times New Roman" w:hAnsi="Times New Roman" w:eastAsia="宋体" w:cs="Times New Roman"/>
                      <w:szCs w:val="21"/>
                      <w:lang w:val="en-US" w:eastAsia="zh-CN"/>
                    </w:rPr>
                  </w:pPr>
                </w:p>
              </w:tc>
              <w:tc>
                <w:tcPr>
                  <w:tcW w:w="225" w:type="pct"/>
                  <w:vMerge w:val="continue"/>
                  <w:noWrap w:val="0"/>
                  <w:vAlign w:val="center"/>
                </w:tcPr>
                <w:p w14:paraId="41A04AAC">
                  <w:pPr>
                    <w:jc w:val="center"/>
                    <w:rPr>
                      <w:rFonts w:hint="eastAsia" w:ascii="Times New Roman" w:hAnsi="Times New Roman" w:eastAsia="宋体" w:cs="Times New Roman"/>
                      <w:szCs w:val="21"/>
                      <w:lang w:val="en-US" w:eastAsia="zh-CN"/>
                    </w:rPr>
                  </w:pPr>
                </w:p>
              </w:tc>
              <w:tc>
                <w:tcPr>
                  <w:tcW w:w="308" w:type="pct"/>
                  <w:vMerge w:val="continue"/>
                  <w:noWrap w:val="0"/>
                  <w:vAlign w:val="center"/>
                </w:tcPr>
                <w:p w14:paraId="485AF579">
                  <w:pPr>
                    <w:jc w:val="center"/>
                    <w:rPr>
                      <w:rFonts w:hint="eastAsia" w:ascii="Times New Roman" w:hAnsi="Times New Roman" w:eastAsia="宋体" w:cs="Times New Roman"/>
                      <w:szCs w:val="21"/>
                      <w:lang w:val="en-US" w:eastAsia="zh-CN"/>
                    </w:rPr>
                  </w:pPr>
                </w:p>
              </w:tc>
              <w:tc>
                <w:tcPr>
                  <w:tcW w:w="357" w:type="pct"/>
                  <w:vMerge w:val="continue"/>
                  <w:noWrap w:val="0"/>
                  <w:vAlign w:val="center"/>
                </w:tcPr>
                <w:p w14:paraId="7FDBC0D4">
                  <w:pPr>
                    <w:jc w:val="center"/>
                    <w:rPr>
                      <w:rFonts w:hint="eastAsia"/>
                      <w:szCs w:val="21"/>
                    </w:rPr>
                  </w:pPr>
                </w:p>
              </w:tc>
              <w:tc>
                <w:tcPr>
                  <w:tcW w:w="295" w:type="pct"/>
                  <w:vMerge w:val="continue"/>
                  <w:noWrap w:val="0"/>
                  <w:vAlign w:val="center"/>
                </w:tcPr>
                <w:p w14:paraId="1821CE39">
                  <w:pPr>
                    <w:jc w:val="center"/>
                    <w:rPr>
                      <w:rFonts w:hint="eastAsia"/>
                      <w:szCs w:val="21"/>
                    </w:rPr>
                  </w:pPr>
                </w:p>
              </w:tc>
              <w:tc>
                <w:tcPr>
                  <w:tcW w:w="344" w:type="pct"/>
                  <w:vMerge w:val="continue"/>
                  <w:noWrap w:val="0"/>
                  <w:vAlign w:val="center"/>
                </w:tcPr>
                <w:p w14:paraId="1CF1EC50">
                  <w:pPr>
                    <w:jc w:val="center"/>
                    <w:rPr>
                      <w:rFonts w:hint="eastAsia"/>
                      <w:szCs w:val="21"/>
                    </w:rPr>
                  </w:pPr>
                </w:p>
              </w:tc>
              <w:tc>
                <w:tcPr>
                  <w:tcW w:w="217" w:type="pct"/>
                  <w:vMerge w:val="continue"/>
                  <w:noWrap w:val="0"/>
                  <w:vAlign w:val="center"/>
                </w:tcPr>
                <w:p w14:paraId="3C44B57A">
                  <w:pPr>
                    <w:jc w:val="center"/>
                    <w:rPr>
                      <w:rFonts w:hint="eastAsia"/>
                      <w:szCs w:val="21"/>
                    </w:rPr>
                  </w:pPr>
                </w:p>
              </w:tc>
              <w:tc>
                <w:tcPr>
                  <w:tcW w:w="302" w:type="pct"/>
                  <w:tcBorders>
                    <w:right w:val="single" w:color="000000" w:sz="4" w:space="0"/>
                  </w:tcBorders>
                  <w:noWrap w:val="0"/>
                  <w:vAlign w:val="center"/>
                </w:tcPr>
                <w:p w14:paraId="21DC38D7">
                  <w:pPr>
                    <w:jc w:val="center"/>
                    <w:rPr>
                      <w:rFonts w:hint="eastAsia" w:eastAsia="宋体"/>
                      <w:szCs w:val="21"/>
                      <w:lang w:val="en-US" w:eastAsia="zh-CN"/>
                    </w:rPr>
                  </w:pPr>
                  <w:r>
                    <w:rPr>
                      <w:rFonts w:hint="eastAsia"/>
                      <w:szCs w:val="21"/>
                      <w:lang w:val="en-US" w:eastAsia="zh-CN"/>
                    </w:rPr>
                    <w:t>东北</w:t>
                  </w:r>
                </w:p>
              </w:tc>
              <w:tc>
                <w:tcPr>
                  <w:tcW w:w="277" w:type="pct"/>
                  <w:tcBorders>
                    <w:left w:val="single" w:color="000000" w:sz="4" w:space="0"/>
                  </w:tcBorders>
                  <w:noWrap w:val="0"/>
                  <w:vAlign w:val="center"/>
                </w:tcPr>
                <w:p w14:paraId="41BB612A">
                  <w:pPr>
                    <w:jc w:val="center"/>
                    <w:rPr>
                      <w:rFonts w:hint="default" w:eastAsia="宋体"/>
                      <w:szCs w:val="21"/>
                      <w:lang w:val="en-US" w:eastAsia="zh-CN"/>
                    </w:rPr>
                  </w:pPr>
                  <w:r>
                    <w:rPr>
                      <w:rFonts w:hint="eastAsia" w:eastAsia="宋体"/>
                      <w:szCs w:val="21"/>
                      <w:lang w:val="en-US" w:eastAsia="zh-CN"/>
                    </w:rPr>
                    <w:t>1</w:t>
                  </w:r>
                </w:p>
              </w:tc>
              <w:tc>
                <w:tcPr>
                  <w:tcW w:w="386" w:type="pct"/>
                  <w:noWrap w:val="0"/>
                  <w:vAlign w:val="center"/>
                </w:tcPr>
                <w:p w14:paraId="7F84AF43">
                  <w:pPr>
                    <w:jc w:val="center"/>
                    <w:rPr>
                      <w:rFonts w:hint="default" w:eastAsia="宋体"/>
                      <w:szCs w:val="21"/>
                      <w:lang w:val="en-US" w:eastAsia="zh-CN"/>
                    </w:rPr>
                  </w:pPr>
                  <w:r>
                    <w:rPr>
                      <w:rFonts w:hint="eastAsia"/>
                      <w:szCs w:val="21"/>
                      <w:lang w:val="en-US" w:eastAsia="zh-CN"/>
                    </w:rPr>
                    <w:t>58.1</w:t>
                  </w:r>
                </w:p>
              </w:tc>
              <w:tc>
                <w:tcPr>
                  <w:tcW w:w="348" w:type="pct"/>
                  <w:vMerge w:val="continue"/>
                  <w:noWrap w:val="0"/>
                  <w:vAlign w:val="center"/>
                </w:tcPr>
                <w:p w14:paraId="4E9F3453">
                  <w:pPr>
                    <w:jc w:val="center"/>
                    <w:rPr>
                      <w:rFonts w:hint="eastAsia"/>
                      <w:szCs w:val="21"/>
                    </w:rPr>
                  </w:pPr>
                </w:p>
              </w:tc>
              <w:tc>
                <w:tcPr>
                  <w:tcW w:w="422" w:type="pct"/>
                  <w:vMerge w:val="continue"/>
                  <w:noWrap w:val="0"/>
                  <w:vAlign w:val="center"/>
                </w:tcPr>
                <w:p w14:paraId="7AC98529">
                  <w:pPr>
                    <w:jc w:val="center"/>
                    <w:rPr>
                      <w:rFonts w:hint="eastAsia"/>
                      <w:szCs w:val="21"/>
                    </w:rPr>
                  </w:pPr>
                </w:p>
              </w:tc>
              <w:tc>
                <w:tcPr>
                  <w:tcW w:w="377" w:type="pct"/>
                  <w:noWrap w:val="0"/>
                  <w:vAlign w:val="center"/>
                </w:tcPr>
                <w:p w14:paraId="593832D0">
                  <w:pPr>
                    <w:jc w:val="center"/>
                    <w:rPr>
                      <w:rFonts w:hint="default" w:eastAsia="宋体"/>
                      <w:szCs w:val="21"/>
                      <w:lang w:val="en-US" w:eastAsia="zh-CN"/>
                    </w:rPr>
                  </w:pPr>
                  <w:r>
                    <w:rPr>
                      <w:rFonts w:hint="eastAsia" w:eastAsia="宋体"/>
                      <w:szCs w:val="21"/>
                      <w:lang w:val="en-US" w:eastAsia="zh-CN"/>
                    </w:rPr>
                    <w:t>43.1</w:t>
                  </w:r>
                </w:p>
              </w:tc>
              <w:tc>
                <w:tcPr>
                  <w:tcW w:w="410" w:type="pct"/>
                  <w:vMerge w:val="continue"/>
                  <w:noWrap w:val="0"/>
                  <w:vAlign w:val="center"/>
                </w:tcPr>
                <w:p w14:paraId="34702E43">
                  <w:pPr>
                    <w:jc w:val="center"/>
                    <w:rPr>
                      <w:rFonts w:hint="eastAsia"/>
                      <w:szCs w:val="21"/>
                    </w:rPr>
                  </w:pPr>
                </w:p>
              </w:tc>
            </w:tr>
            <w:tr w14:paraId="1BF62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178" w:type="pct"/>
                  <w:vMerge w:val="continue"/>
                  <w:noWrap w:val="0"/>
                  <w:vAlign w:val="center"/>
                </w:tcPr>
                <w:p w14:paraId="23EA6699">
                  <w:pPr>
                    <w:jc w:val="center"/>
                    <w:rPr>
                      <w:rFonts w:hint="eastAsia"/>
                      <w:szCs w:val="21"/>
                    </w:rPr>
                  </w:pPr>
                </w:p>
              </w:tc>
              <w:tc>
                <w:tcPr>
                  <w:tcW w:w="215" w:type="pct"/>
                  <w:vMerge w:val="continue"/>
                  <w:noWrap w:val="0"/>
                  <w:vAlign w:val="center"/>
                </w:tcPr>
                <w:p w14:paraId="26B1D270">
                  <w:pPr>
                    <w:jc w:val="center"/>
                    <w:rPr>
                      <w:rFonts w:hint="eastAsia"/>
                      <w:szCs w:val="21"/>
                    </w:rPr>
                  </w:pPr>
                </w:p>
              </w:tc>
              <w:tc>
                <w:tcPr>
                  <w:tcW w:w="331" w:type="pct"/>
                  <w:vMerge w:val="continue"/>
                  <w:noWrap w:val="0"/>
                  <w:vAlign w:val="center"/>
                </w:tcPr>
                <w:p w14:paraId="26157CA7">
                  <w:pPr>
                    <w:jc w:val="center"/>
                    <w:rPr>
                      <w:rFonts w:hint="eastAsia" w:ascii="Times New Roman" w:hAnsi="Times New Roman" w:eastAsia="宋体" w:cs="Times New Roman"/>
                      <w:szCs w:val="21"/>
                      <w:lang w:val="en-US" w:eastAsia="zh-CN"/>
                    </w:rPr>
                  </w:pPr>
                </w:p>
              </w:tc>
              <w:tc>
                <w:tcPr>
                  <w:tcW w:w="225" w:type="pct"/>
                  <w:vMerge w:val="continue"/>
                  <w:noWrap w:val="0"/>
                  <w:vAlign w:val="center"/>
                </w:tcPr>
                <w:p w14:paraId="69745296">
                  <w:pPr>
                    <w:jc w:val="center"/>
                    <w:rPr>
                      <w:rFonts w:hint="eastAsia" w:ascii="Times New Roman" w:hAnsi="Times New Roman" w:eastAsia="宋体" w:cs="Times New Roman"/>
                      <w:szCs w:val="21"/>
                      <w:lang w:val="en-US" w:eastAsia="zh-CN"/>
                    </w:rPr>
                  </w:pPr>
                </w:p>
              </w:tc>
              <w:tc>
                <w:tcPr>
                  <w:tcW w:w="308" w:type="pct"/>
                  <w:vMerge w:val="continue"/>
                  <w:noWrap w:val="0"/>
                  <w:vAlign w:val="center"/>
                </w:tcPr>
                <w:p w14:paraId="6E4D2AF2">
                  <w:pPr>
                    <w:jc w:val="center"/>
                    <w:rPr>
                      <w:rFonts w:hint="eastAsia" w:ascii="Times New Roman" w:hAnsi="Times New Roman" w:eastAsia="宋体" w:cs="Times New Roman"/>
                      <w:szCs w:val="21"/>
                      <w:lang w:val="en-US" w:eastAsia="zh-CN"/>
                    </w:rPr>
                  </w:pPr>
                </w:p>
              </w:tc>
              <w:tc>
                <w:tcPr>
                  <w:tcW w:w="357" w:type="pct"/>
                  <w:vMerge w:val="continue"/>
                  <w:noWrap w:val="0"/>
                  <w:vAlign w:val="center"/>
                </w:tcPr>
                <w:p w14:paraId="63D3BDCE">
                  <w:pPr>
                    <w:jc w:val="center"/>
                    <w:rPr>
                      <w:rFonts w:hint="eastAsia"/>
                      <w:szCs w:val="21"/>
                    </w:rPr>
                  </w:pPr>
                </w:p>
              </w:tc>
              <w:tc>
                <w:tcPr>
                  <w:tcW w:w="295" w:type="pct"/>
                  <w:vMerge w:val="continue"/>
                  <w:noWrap w:val="0"/>
                  <w:vAlign w:val="center"/>
                </w:tcPr>
                <w:p w14:paraId="42F90A44">
                  <w:pPr>
                    <w:jc w:val="center"/>
                    <w:rPr>
                      <w:rFonts w:hint="eastAsia"/>
                      <w:szCs w:val="21"/>
                    </w:rPr>
                  </w:pPr>
                </w:p>
              </w:tc>
              <w:tc>
                <w:tcPr>
                  <w:tcW w:w="344" w:type="pct"/>
                  <w:vMerge w:val="continue"/>
                  <w:noWrap w:val="0"/>
                  <w:vAlign w:val="center"/>
                </w:tcPr>
                <w:p w14:paraId="0261B98F">
                  <w:pPr>
                    <w:jc w:val="center"/>
                    <w:rPr>
                      <w:rFonts w:hint="eastAsia"/>
                      <w:szCs w:val="21"/>
                    </w:rPr>
                  </w:pPr>
                </w:p>
              </w:tc>
              <w:tc>
                <w:tcPr>
                  <w:tcW w:w="217" w:type="pct"/>
                  <w:vMerge w:val="continue"/>
                  <w:noWrap w:val="0"/>
                  <w:vAlign w:val="center"/>
                </w:tcPr>
                <w:p w14:paraId="454D2B8C">
                  <w:pPr>
                    <w:jc w:val="center"/>
                    <w:rPr>
                      <w:rFonts w:hint="eastAsia"/>
                      <w:szCs w:val="21"/>
                    </w:rPr>
                  </w:pPr>
                </w:p>
              </w:tc>
              <w:tc>
                <w:tcPr>
                  <w:tcW w:w="302" w:type="pct"/>
                  <w:tcBorders>
                    <w:right w:val="single" w:color="000000" w:sz="4" w:space="0"/>
                  </w:tcBorders>
                  <w:noWrap w:val="0"/>
                  <w:vAlign w:val="center"/>
                </w:tcPr>
                <w:p w14:paraId="21C4F1D3">
                  <w:pPr>
                    <w:jc w:val="center"/>
                    <w:rPr>
                      <w:rFonts w:hint="eastAsia" w:eastAsia="宋体"/>
                      <w:szCs w:val="21"/>
                      <w:lang w:val="en-US" w:eastAsia="zh-CN"/>
                    </w:rPr>
                  </w:pPr>
                  <w:r>
                    <w:rPr>
                      <w:rFonts w:hint="eastAsia"/>
                      <w:szCs w:val="21"/>
                      <w:lang w:val="en-US" w:eastAsia="zh-CN"/>
                    </w:rPr>
                    <w:t>东南</w:t>
                  </w:r>
                </w:p>
              </w:tc>
              <w:tc>
                <w:tcPr>
                  <w:tcW w:w="277" w:type="pct"/>
                  <w:tcBorders>
                    <w:left w:val="single" w:color="000000" w:sz="4" w:space="0"/>
                  </w:tcBorders>
                  <w:noWrap w:val="0"/>
                  <w:vAlign w:val="center"/>
                </w:tcPr>
                <w:p w14:paraId="2D925FDF">
                  <w:pPr>
                    <w:jc w:val="center"/>
                    <w:rPr>
                      <w:rFonts w:hint="default" w:eastAsia="宋体"/>
                      <w:szCs w:val="21"/>
                      <w:lang w:val="en-US" w:eastAsia="zh-CN"/>
                    </w:rPr>
                  </w:pPr>
                  <w:r>
                    <w:rPr>
                      <w:rFonts w:hint="eastAsia" w:eastAsia="宋体"/>
                      <w:szCs w:val="21"/>
                      <w:lang w:val="en-US" w:eastAsia="zh-CN"/>
                    </w:rPr>
                    <w:t>1</w:t>
                  </w:r>
                </w:p>
              </w:tc>
              <w:tc>
                <w:tcPr>
                  <w:tcW w:w="386" w:type="pct"/>
                  <w:noWrap w:val="0"/>
                  <w:vAlign w:val="center"/>
                </w:tcPr>
                <w:p w14:paraId="314F5F85">
                  <w:pPr>
                    <w:jc w:val="center"/>
                    <w:rPr>
                      <w:rFonts w:hint="default" w:eastAsia="宋体"/>
                      <w:szCs w:val="21"/>
                      <w:lang w:val="en-US" w:eastAsia="zh-CN"/>
                    </w:rPr>
                  </w:pPr>
                  <w:r>
                    <w:rPr>
                      <w:rFonts w:hint="eastAsia"/>
                      <w:szCs w:val="21"/>
                      <w:lang w:val="en-US" w:eastAsia="zh-CN"/>
                    </w:rPr>
                    <w:t>51.5</w:t>
                  </w:r>
                </w:p>
              </w:tc>
              <w:tc>
                <w:tcPr>
                  <w:tcW w:w="348" w:type="pct"/>
                  <w:vMerge w:val="continue"/>
                  <w:noWrap w:val="0"/>
                  <w:vAlign w:val="center"/>
                </w:tcPr>
                <w:p w14:paraId="6EBA34F4">
                  <w:pPr>
                    <w:jc w:val="center"/>
                    <w:rPr>
                      <w:rFonts w:hint="eastAsia"/>
                      <w:szCs w:val="21"/>
                    </w:rPr>
                  </w:pPr>
                </w:p>
              </w:tc>
              <w:tc>
                <w:tcPr>
                  <w:tcW w:w="422" w:type="pct"/>
                  <w:vMerge w:val="continue"/>
                  <w:noWrap w:val="0"/>
                  <w:vAlign w:val="center"/>
                </w:tcPr>
                <w:p w14:paraId="2E5465F8">
                  <w:pPr>
                    <w:jc w:val="center"/>
                    <w:rPr>
                      <w:rFonts w:hint="eastAsia"/>
                      <w:szCs w:val="21"/>
                    </w:rPr>
                  </w:pPr>
                </w:p>
              </w:tc>
              <w:tc>
                <w:tcPr>
                  <w:tcW w:w="377" w:type="pct"/>
                  <w:noWrap w:val="0"/>
                  <w:vAlign w:val="center"/>
                </w:tcPr>
                <w:p w14:paraId="7BD87CF3">
                  <w:pPr>
                    <w:jc w:val="center"/>
                    <w:rPr>
                      <w:rFonts w:hint="default" w:eastAsia="宋体"/>
                      <w:szCs w:val="21"/>
                      <w:lang w:val="en-US" w:eastAsia="zh-CN"/>
                    </w:rPr>
                  </w:pPr>
                  <w:r>
                    <w:rPr>
                      <w:rFonts w:hint="eastAsia" w:eastAsia="宋体"/>
                      <w:szCs w:val="21"/>
                      <w:lang w:val="en-US" w:eastAsia="zh-CN"/>
                    </w:rPr>
                    <w:t>36.5</w:t>
                  </w:r>
                </w:p>
              </w:tc>
              <w:tc>
                <w:tcPr>
                  <w:tcW w:w="410" w:type="pct"/>
                  <w:vMerge w:val="continue"/>
                  <w:noWrap w:val="0"/>
                  <w:vAlign w:val="center"/>
                </w:tcPr>
                <w:p w14:paraId="401F0159">
                  <w:pPr>
                    <w:jc w:val="center"/>
                    <w:rPr>
                      <w:rFonts w:hint="eastAsia"/>
                      <w:szCs w:val="21"/>
                    </w:rPr>
                  </w:pPr>
                </w:p>
              </w:tc>
            </w:tr>
            <w:tr w14:paraId="432EF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636E321D">
                  <w:pPr>
                    <w:jc w:val="center"/>
                  </w:pPr>
                </w:p>
              </w:tc>
              <w:tc>
                <w:tcPr>
                  <w:tcW w:w="215" w:type="pct"/>
                  <w:vMerge w:val="continue"/>
                  <w:vAlign w:val="center"/>
                </w:tcPr>
                <w:p w14:paraId="45C06A68">
                  <w:pPr>
                    <w:jc w:val="center"/>
                  </w:pPr>
                </w:p>
              </w:tc>
              <w:tc>
                <w:tcPr>
                  <w:tcW w:w="331" w:type="pct"/>
                  <w:vMerge w:val="continue"/>
                  <w:shd w:val="clear" w:color="auto" w:fill="auto"/>
                  <w:vAlign w:val="center"/>
                </w:tcPr>
                <w:p w14:paraId="42429BFE">
                  <w:pPr>
                    <w:jc w:val="center"/>
                  </w:pPr>
                </w:p>
              </w:tc>
              <w:tc>
                <w:tcPr>
                  <w:tcW w:w="225" w:type="pct"/>
                  <w:vMerge w:val="continue"/>
                  <w:shd w:val="clear" w:color="auto" w:fill="auto"/>
                  <w:vAlign w:val="center"/>
                </w:tcPr>
                <w:p w14:paraId="31BFDFA4">
                  <w:pPr>
                    <w:jc w:val="center"/>
                  </w:pPr>
                </w:p>
              </w:tc>
              <w:tc>
                <w:tcPr>
                  <w:tcW w:w="308" w:type="pct"/>
                  <w:vMerge w:val="continue"/>
                  <w:vAlign w:val="center"/>
                </w:tcPr>
                <w:p w14:paraId="72532231">
                  <w:pPr>
                    <w:jc w:val="center"/>
                  </w:pPr>
                </w:p>
              </w:tc>
              <w:tc>
                <w:tcPr>
                  <w:tcW w:w="357" w:type="pct"/>
                  <w:vMerge w:val="continue"/>
                  <w:vAlign w:val="center"/>
                </w:tcPr>
                <w:p w14:paraId="3AEDF598">
                  <w:pPr>
                    <w:jc w:val="center"/>
                  </w:pPr>
                </w:p>
              </w:tc>
              <w:tc>
                <w:tcPr>
                  <w:tcW w:w="295" w:type="pct"/>
                  <w:vMerge w:val="continue"/>
                  <w:vAlign w:val="center"/>
                </w:tcPr>
                <w:p w14:paraId="38EAF528">
                  <w:pPr>
                    <w:jc w:val="center"/>
                  </w:pPr>
                </w:p>
              </w:tc>
              <w:tc>
                <w:tcPr>
                  <w:tcW w:w="344" w:type="pct"/>
                  <w:vMerge w:val="continue"/>
                  <w:vAlign w:val="center"/>
                </w:tcPr>
                <w:p w14:paraId="4DE22794">
                  <w:pPr>
                    <w:jc w:val="center"/>
                  </w:pPr>
                </w:p>
              </w:tc>
              <w:tc>
                <w:tcPr>
                  <w:tcW w:w="217" w:type="pct"/>
                  <w:vMerge w:val="continue"/>
                  <w:vAlign w:val="center"/>
                </w:tcPr>
                <w:p w14:paraId="089517CB">
                  <w:pPr>
                    <w:jc w:val="center"/>
                  </w:pPr>
                </w:p>
              </w:tc>
              <w:tc>
                <w:tcPr>
                  <w:tcW w:w="302" w:type="pct"/>
                  <w:shd w:val="clear" w:color="auto" w:fill="auto"/>
                  <w:vAlign w:val="center"/>
                </w:tcPr>
                <w:p w14:paraId="5784BE0C">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277" w:type="pct"/>
                  <w:shd w:val="clear" w:color="auto" w:fill="auto"/>
                  <w:vAlign w:val="center"/>
                </w:tcPr>
                <w:p w14:paraId="17925926">
                  <w:pPr>
                    <w:jc w:val="center"/>
                    <w:rPr>
                      <w:rFonts w:hint="eastAsia" w:ascii="Times New Roman" w:hAnsi="Times New Roman" w:eastAsia="宋体" w:cs="Times New Roman"/>
                      <w:kern w:val="2"/>
                      <w:sz w:val="21"/>
                      <w:szCs w:val="21"/>
                      <w:lang w:val="en-US" w:eastAsia="zh-CN" w:bidi="ar-SA"/>
                    </w:rPr>
                  </w:pPr>
                  <w:r>
                    <w:rPr>
                      <w:rFonts w:hint="eastAsia" w:eastAsia="宋体"/>
                      <w:szCs w:val="21"/>
                      <w:lang w:val="en-US" w:eastAsia="zh-CN"/>
                    </w:rPr>
                    <w:t>1</w:t>
                  </w:r>
                </w:p>
              </w:tc>
              <w:tc>
                <w:tcPr>
                  <w:tcW w:w="386" w:type="pct"/>
                  <w:vAlign w:val="center"/>
                </w:tcPr>
                <w:p w14:paraId="530BBF2A">
                  <w:pPr>
                    <w:jc w:val="center"/>
                    <w:rPr>
                      <w:rFonts w:hint="default"/>
                      <w:szCs w:val="21"/>
                      <w:lang w:val="en-US" w:eastAsia="zh-CN"/>
                    </w:rPr>
                  </w:pPr>
                  <w:r>
                    <w:rPr>
                      <w:rFonts w:hint="eastAsia"/>
                      <w:szCs w:val="21"/>
                      <w:lang w:val="en-US" w:eastAsia="zh-CN"/>
                    </w:rPr>
                    <w:t>56.1</w:t>
                  </w:r>
                </w:p>
              </w:tc>
              <w:tc>
                <w:tcPr>
                  <w:tcW w:w="348" w:type="pct"/>
                  <w:vMerge w:val="continue"/>
                  <w:vAlign w:val="center"/>
                </w:tcPr>
                <w:p w14:paraId="1041284C">
                  <w:pPr>
                    <w:jc w:val="center"/>
                    <w:rPr>
                      <w:rFonts w:hint="eastAsia"/>
                      <w:szCs w:val="21"/>
                      <w:lang w:val="en-US" w:eastAsia="zh-CN"/>
                    </w:rPr>
                  </w:pPr>
                </w:p>
              </w:tc>
              <w:tc>
                <w:tcPr>
                  <w:tcW w:w="422" w:type="pct"/>
                  <w:vMerge w:val="continue"/>
                  <w:vAlign w:val="center"/>
                </w:tcPr>
                <w:p w14:paraId="7E0DA793">
                  <w:pPr>
                    <w:jc w:val="center"/>
                    <w:rPr>
                      <w:rFonts w:hint="eastAsia"/>
                      <w:szCs w:val="21"/>
                      <w:lang w:val="en-US" w:eastAsia="zh-CN"/>
                    </w:rPr>
                  </w:pPr>
                </w:p>
              </w:tc>
              <w:tc>
                <w:tcPr>
                  <w:tcW w:w="377" w:type="pct"/>
                  <w:vAlign w:val="center"/>
                </w:tcPr>
                <w:p w14:paraId="14BE14B9">
                  <w:pPr>
                    <w:jc w:val="center"/>
                    <w:rPr>
                      <w:rFonts w:hint="default"/>
                      <w:szCs w:val="21"/>
                      <w:lang w:val="en-US" w:eastAsia="zh-CN"/>
                    </w:rPr>
                  </w:pPr>
                  <w:r>
                    <w:rPr>
                      <w:rFonts w:hint="eastAsia"/>
                      <w:szCs w:val="21"/>
                      <w:lang w:val="en-US" w:eastAsia="zh-CN"/>
                    </w:rPr>
                    <w:t>41.1</w:t>
                  </w:r>
                </w:p>
              </w:tc>
              <w:tc>
                <w:tcPr>
                  <w:tcW w:w="410" w:type="pct"/>
                  <w:vMerge w:val="continue"/>
                  <w:vAlign w:val="center"/>
                </w:tcPr>
                <w:p w14:paraId="1FFB88BE">
                  <w:pPr>
                    <w:jc w:val="center"/>
                    <w:rPr>
                      <w:rFonts w:hint="eastAsia"/>
                      <w:szCs w:val="21"/>
                      <w:lang w:val="en-US" w:eastAsia="zh-CN"/>
                    </w:rPr>
                  </w:pPr>
                </w:p>
              </w:tc>
            </w:tr>
            <w:tr w14:paraId="7625D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3BF604E3">
                  <w:pPr>
                    <w:jc w:val="center"/>
                    <w:rPr>
                      <w:rFonts w:hint="eastAsia"/>
                      <w:szCs w:val="21"/>
                      <w:lang w:val="en-US" w:eastAsia="zh-CN"/>
                    </w:rPr>
                  </w:pPr>
                </w:p>
              </w:tc>
              <w:tc>
                <w:tcPr>
                  <w:tcW w:w="215" w:type="pct"/>
                  <w:vMerge w:val="continue"/>
                  <w:vAlign w:val="center"/>
                </w:tcPr>
                <w:p w14:paraId="54622461">
                  <w:pPr>
                    <w:jc w:val="center"/>
                    <w:rPr>
                      <w:rFonts w:hint="eastAsia"/>
                      <w:szCs w:val="21"/>
                      <w:lang w:val="en-US" w:eastAsia="zh-CN"/>
                    </w:rPr>
                  </w:pPr>
                </w:p>
              </w:tc>
              <w:tc>
                <w:tcPr>
                  <w:tcW w:w="331" w:type="pct"/>
                  <w:vMerge w:val="continue"/>
                  <w:shd w:val="clear" w:color="auto" w:fill="auto"/>
                  <w:vAlign w:val="center"/>
                </w:tcPr>
                <w:p w14:paraId="7FE56C26">
                  <w:pPr>
                    <w:jc w:val="center"/>
                    <w:rPr>
                      <w:rFonts w:hint="eastAsia"/>
                      <w:szCs w:val="21"/>
                      <w:lang w:val="en-US" w:eastAsia="zh-CN"/>
                    </w:rPr>
                  </w:pPr>
                </w:p>
              </w:tc>
              <w:tc>
                <w:tcPr>
                  <w:tcW w:w="225" w:type="pct"/>
                  <w:vMerge w:val="continue"/>
                  <w:shd w:val="clear" w:color="auto" w:fill="auto"/>
                  <w:vAlign w:val="center"/>
                </w:tcPr>
                <w:p w14:paraId="29B0E97A">
                  <w:pPr>
                    <w:jc w:val="center"/>
                    <w:rPr>
                      <w:rFonts w:hint="eastAsia"/>
                      <w:szCs w:val="21"/>
                      <w:lang w:val="en-US" w:eastAsia="zh-CN"/>
                    </w:rPr>
                  </w:pPr>
                </w:p>
              </w:tc>
              <w:tc>
                <w:tcPr>
                  <w:tcW w:w="308" w:type="pct"/>
                  <w:vMerge w:val="continue"/>
                  <w:vAlign w:val="center"/>
                </w:tcPr>
                <w:p w14:paraId="1DC3789C">
                  <w:pPr>
                    <w:jc w:val="center"/>
                    <w:rPr>
                      <w:rFonts w:hint="eastAsia"/>
                      <w:szCs w:val="21"/>
                      <w:lang w:val="en-US" w:eastAsia="zh-CN"/>
                    </w:rPr>
                  </w:pPr>
                </w:p>
              </w:tc>
              <w:tc>
                <w:tcPr>
                  <w:tcW w:w="357" w:type="pct"/>
                  <w:vMerge w:val="continue"/>
                  <w:vAlign w:val="center"/>
                </w:tcPr>
                <w:p w14:paraId="558489EB">
                  <w:pPr>
                    <w:jc w:val="center"/>
                    <w:rPr>
                      <w:rFonts w:hint="eastAsia"/>
                      <w:szCs w:val="21"/>
                      <w:lang w:val="en-US" w:eastAsia="zh-CN"/>
                    </w:rPr>
                  </w:pPr>
                </w:p>
              </w:tc>
              <w:tc>
                <w:tcPr>
                  <w:tcW w:w="295" w:type="pct"/>
                  <w:vMerge w:val="continue"/>
                  <w:vAlign w:val="center"/>
                </w:tcPr>
                <w:p w14:paraId="601C6AB1">
                  <w:pPr>
                    <w:jc w:val="center"/>
                    <w:rPr>
                      <w:rFonts w:hint="eastAsia"/>
                      <w:szCs w:val="21"/>
                      <w:lang w:val="en-US" w:eastAsia="zh-CN"/>
                    </w:rPr>
                  </w:pPr>
                </w:p>
              </w:tc>
              <w:tc>
                <w:tcPr>
                  <w:tcW w:w="344" w:type="pct"/>
                  <w:vMerge w:val="continue"/>
                  <w:vAlign w:val="center"/>
                </w:tcPr>
                <w:p w14:paraId="3E8CDF94">
                  <w:pPr>
                    <w:jc w:val="center"/>
                    <w:rPr>
                      <w:rFonts w:hint="eastAsia"/>
                      <w:szCs w:val="21"/>
                      <w:lang w:val="en-US" w:eastAsia="zh-CN"/>
                    </w:rPr>
                  </w:pPr>
                </w:p>
              </w:tc>
              <w:tc>
                <w:tcPr>
                  <w:tcW w:w="217" w:type="pct"/>
                  <w:vMerge w:val="continue"/>
                  <w:vAlign w:val="center"/>
                </w:tcPr>
                <w:p w14:paraId="1772DE8A">
                  <w:pPr>
                    <w:jc w:val="center"/>
                    <w:rPr>
                      <w:rFonts w:hint="eastAsia"/>
                      <w:szCs w:val="21"/>
                      <w:lang w:val="en-US" w:eastAsia="zh-CN"/>
                    </w:rPr>
                  </w:pPr>
                </w:p>
              </w:tc>
              <w:tc>
                <w:tcPr>
                  <w:tcW w:w="302" w:type="pct"/>
                  <w:shd w:val="clear" w:color="auto" w:fill="auto"/>
                  <w:vAlign w:val="center"/>
                </w:tcPr>
                <w:p w14:paraId="46E2B2A9">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277" w:type="pct"/>
                  <w:shd w:val="clear" w:color="auto" w:fill="auto"/>
                  <w:vAlign w:val="center"/>
                </w:tcPr>
                <w:p w14:paraId="1E8F10A7">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w:t>
                  </w:r>
                </w:p>
              </w:tc>
              <w:tc>
                <w:tcPr>
                  <w:tcW w:w="386" w:type="pct"/>
                  <w:vAlign w:val="center"/>
                </w:tcPr>
                <w:p w14:paraId="5CC7D69B">
                  <w:pPr>
                    <w:jc w:val="center"/>
                    <w:rPr>
                      <w:rFonts w:hint="default"/>
                      <w:szCs w:val="21"/>
                      <w:lang w:val="en-US" w:eastAsia="zh-CN"/>
                    </w:rPr>
                  </w:pPr>
                  <w:r>
                    <w:rPr>
                      <w:rFonts w:hint="eastAsia"/>
                      <w:szCs w:val="21"/>
                      <w:lang w:val="en-US" w:eastAsia="zh-CN"/>
                    </w:rPr>
                    <w:t>51.2</w:t>
                  </w:r>
                </w:p>
              </w:tc>
              <w:tc>
                <w:tcPr>
                  <w:tcW w:w="348" w:type="pct"/>
                  <w:vMerge w:val="continue"/>
                  <w:vAlign w:val="center"/>
                </w:tcPr>
                <w:p w14:paraId="011871AB">
                  <w:pPr>
                    <w:jc w:val="center"/>
                    <w:rPr>
                      <w:rFonts w:hint="eastAsia"/>
                      <w:szCs w:val="21"/>
                      <w:lang w:val="en-US" w:eastAsia="zh-CN"/>
                    </w:rPr>
                  </w:pPr>
                </w:p>
              </w:tc>
              <w:tc>
                <w:tcPr>
                  <w:tcW w:w="422" w:type="pct"/>
                  <w:vMerge w:val="continue"/>
                  <w:vAlign w:val="center"/>
                </w:tcPr>
                <w:p w14:paraId="4E271F12">
                  <w:pPr>
                    <w:jc w:val="center"/>
                    <w:rPr>
                      <w:rFonts w:hint="eastAsia"/>
                      <w:szCs w:val="21"/>
                      <w:lang w:val="en-US" w:eastAsia="zh-CN"/>
                    </w:rPr>
                  </w:pPr>
                </w:p>
              </w:tc>
              <w:tc>
                <w:tcPr>
                  <w:tcW w:w="377" w:type="pct"/>
                  <w:vAlign w:val="center"/>
                </w:tcPr>
                <w:p w14:paraId="77BAB552">
                  <w:pPr>
                    <w:jc w:val="center"/>
                    <w:rPr>
                      <w:rFonts w:hint="default"/>
                      <w:szCs w:val="21"/>
                      <w:lang w:val="en-US" w:eastAsia="zh-CN"/>
                    </w:rPr>
                  </w:pPr>
                  <w:r>
                    <w:rPr>
                      <w:rFonts w:hint="eastAsia"/>
                      <w:szCs w:val="21"/>
                      <w:lang w:val="en-US" w:eastAsia="zh-CN"/>
                    </w:rPr>
                    <w:t>36.2</w:t>
                  </w:r>
                </w:p>
              </w:tc>
              <w:tc>
                <w:tcPr>
                  <w:tcW w:w="410" w:type="pct"/>
                  <w:vMerge w:val="continue"/>
                  <w:vAlign w:val="center"/>
                </w:tcPr>
                <w:p w14:paraId="738D3B27">
                  <w:pPr>
                    <w:jc w:val="center"/>
                    <w:rPr>
                      <w:rFonts w:hint="eastAsia"/>
                      <w:szCs w:val="21"/>
                      <w:lang w:val="en-US" w:eastAsia="zh-CN"/>
                    </w:rPr>
                  </w:pPr>
                </w:p>
              </w:tc>
            </w:tr>
            <w:tr w14:paraId="55202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1060201A">
                  <w:pPr>
                    <w:jc w:val="center"/>
                    <w:rPr>
                      <w:rFonts w:hint="eastAsia"/>
                      <w:szCs w:val="21"/>
                      <w:lang w:val="en-US" w:eastAsia="zh-CN"/>
                    </w:rPr>
                  </w:pPr>
                </w:p>
              </w:tc>
              <w:tc>
                <w:tcPr>
                  <w:tcW w:w="215" w:type="pct"/>
                  <w:vMerge w:val="continue"/>
                  <w:vAlign w:val="center"/>
                </w:tcPr>
                <w:p w14:paraId="63D33DC2">
                  <w:pPr>
                    <w:jc w:val="center"/>
                    <w:rPr>
                      <w:rFonts w:hint="eastAsia"/>
                      <w:szCs w:val="21"/>
                      <w:lang w:val="en-US" w:eastAsia="zh-CN"/>
                    </w:rPr>
                  </w:pPr>
                </w:p>
              </w:tc>
              <w:tc>
                <w:tcPr>
                  <w:tcW w:w="331" w:type="pct"/>
                  <w:vMerge w:val="continue"/>
                  <w:shd w:val="clear" w:color="auto" w:fill="auto"/>
                  <w:vAlign w:val="center"/>
                </w:tcPr>
                <w:p w14:paraId="50E0B859">
                  <w:pPr>
                    <w:jc w:val="center"/>
                    <w:rPr>
                      <w:rFonts w:hint="eastAsia"/>
                      <w:szCs w:val="21"/>
                      <w:lang w:val="en-US" w:eastAsia="zh-CN"/>
                    </w:rPr>
                  </w:pPr>
                </w:p>
              </w:tc>
              <w:tc>
                <w:tcPr>
                  <w:tcW w:w="225" w:type="pct"/>
                  <w:vMerge w:val="continue"/>
                  <w:shd w:val="clear" w:color="auto" w:fill="auto"/>
                  <w:vAlign w:val="center"/>
                </w:tcPr>
                <w:p w14:paraId="09630572">
                  <w:pPr>
                    <w:jc w:val="center"/>
                    <w:rPr>
                      <w:rFonts w:hint="eastAsia"/>
                      <w:szCs w:val="21"/>
                      <w:lang w:val="en-US" w:eastAsia="zh-CN"/>
                    </w:rPr>
                  </w:pPr>
                </w:p>
              </w:tc>
              <w:tc>
                <w:tcPr>
                  <w:tcW w:w="308" w:type="pct"/>
                  <w:vMerge w:val="continue"/>
                  <w:vAlign w:val="center"/>
                </w:tcPr>
                <w:p w14:paraId="409630D3">
                  <w:pPr>
                    <w:jc w:val="center"/>
                    <w:rPr>
                      <w:rFonts w:hint="eastAsia"/>
                      <w:szCs w:val="21"/>
                      <w:lang w:val="en-US" w:eastAsia="zh-CN"/>
                    </w:rPr>
                  </w:pPr>
                </w:p>
              </w:tc>
              <w:tc>
                <w:tcPr>
                  <w:tcW w:w="357" w:type="pct"/>
                  <w:vMerge w:val="continue"/>
                  <w:vAlign w:val="center"/>
                </w:tcPr>
                <w:p w14:paraId="432A18FA">
                  <w:pPr>
                    <w:jc w:val="center"/>
                    <w:rPr>
                      <w:rFonts w:hint="eastAsia"/>
                      <w:szCs w:val="21"/>
                      <w:lang w:val="en-US" w:eastAsia="zh-CN"/>
                    </w:rPr>
                  </w:pPr>
                </w:p>
              </w:tc>
              <w:tc>
                <w:tcPr>
                  <w:tcW w:w="295" w:type="pct"/>
                  <w:vMerge w:val="continue"/>
                  <w:vAlign w:val="center"/>
                </w:tcPr>
                <w:p w14:paraId="024F58AF">
                  <w:pPr>
                    <w:jc w:val="center"/>
                    <w:rPr>
                      <w:rFonts w:hint="eastAsia"/>
                      <w:szCs w:val="21"/>
                      <w:lang w:val="en-US" w:eastAsia="zh-CN"/>
                    </w:rPr>
                  </w:pPr>
                </w:p>
              </w:tc>
              <w:tc>
                <w:tcPr>
                  <w:tcW w:w="344" w:type="pct"/>
                  <w:vMerge w:val="continue"/>
                  <w:vAlign w:val="center"/>
                </w:tcPr>
                <w:p w14:paraId="3BE49D44">
                  <w:pPr>
                    <w:jc w:val="center"/>
                    <w:rPr>
                      <w:rFonts w:hint="eastAsia"/>
                      <w:szCs w:val="21"/>
                      <w:lang w:val="en-US" w:eastAsia="zh-CN"/>
                    </w:rPr>
                  </w:pPr>
                </w:p>
              </w:tc>
              <w:tc>
                <w:tcPr>
                  <w:tcW w:w="217" w:type="pct"/>
                  <w:vMerge w:val="continue"/>
                  <w:vAlign w:val="center"/>
                </w:tcPr>
                <w:p w14:paraId="3099177F">
                  <w:pPr>
                    <w:jc w:val="center"/>
                    <w:rPr>
                      <w:rFonts w:hint="eastAsia"/>
                      <w:szCs w:val="21"/>
                      <w:lang w:val="en-US" w:eastAsia="zh-CN"/>
                    </w:rPr>
                  </w:pPr>
                </w:p>
              </w:tc>
              <w:tc>
                <w:tcPr>
                  <w:tcW w:w="302" w:type="pct"/>
                  <w:shd w:val="clear" w:color="auto" w:fill="auto"/>
                  <w:vAlign w:val="center"/>
                </w:tcPr>
                <w:p w14:paraId="6BB4D768">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277" w:type="pct"/>
                  <w:shd w:val="clear" w:color="auto" w:fill="auto"/>
                  <w:vAlign w:val="center"/>
                </w:tcPr>
                <w:p w14:paraId="245DAAC9">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c>
                <w:tcPr>
                  <w:tcW w:w="386" w:type="pct"/>
                  <w:vAlign w:val="center"/>
                </w:tcPr>
                <w:p w14:paraId="05429A2D">
                  <w:pPr>
                    <w:jc w:val="center"/>
                    <w:rPr>
                      <w:rFonts w:hint="default"/>
                      <w:szCs w:val="21"/>
                      <w:lang w:val="en-US" w:eastAsia="zh-CN"/>
                    </w:rPr>
                  </w:pPr>
                  <w:r>
                    <w:rPr>
                      <w:rFonts w:hint="eastAsia"/>
                      <w:szCs w:val="21"/>
                      <w:lang w:val="en-US" w:eastAsia="zh-CN"/>
                    </w:rPr>
                    <w:t>52.8</w:t>
                  </w:r>
                </w:p>
              </w:tc>
              <w:tc>
                <w:tcPr>
                  <w:tcW w:w="348" w:type="pct"/>
                  <w:vMerge w:val="continue"/>
                  <w:vAlign w:val="center"/>
                </w:tcPr>
                <w:p w14:paraId="25043FF7">
                  <w:pPr>
                    <w:jc w:val="center"/>
                    <w:rPr>
                      <w:rFonts w:hint="eastAsia"/>
                      <w:szCs w:val="21"/>
                      <w:lang w:val="en-US" w:eastAsia="zh-CN"/>
                    </w:rPr>
                  </w:pPr>
                </w:p>
              </w:tc>
              <w:tc>
                <w:tcPr>
                  <w:tcW w:w="422" w:type="pct"/>
                  <w:vMerge w:val="continue"/>
                  <w:vAlign w:val="center"/>
                </w:tcPr>
                <w:p w14:paraId="229AB73C">
                  <w:pPr>
                    <w:jc w:val="center"/>
                    <w:rPr>
                      <w:rFonts w:hint="eastAsia"/>
                      <w:szCs w:val="21"/>
                      <w:lang w:val="en-US" w:eastAsia="zh-CN"/>
                    </w:rPr>
                  </w:pPr>
                </w:p>
              </w:tc>
              <w:tc>
                <w:tcPr>
                  <w:tcW w:w="377" w:type="pct"/>
                  <w:vAlign w:val="center"/>
                </w:tcPr>
                <w:p w14:paraId="67E8F584">
                  <w:pPr>
                    <w:jc w:val="center"/>
                    <w:rPr>
                      <w:rFonts w:hint="default"/>
                      <w:szCs w:val="21"/>
                      <w:lang w:val="en-US" w:eastAsia="zh-CN"/>
                    </w:rPr>
                  </w:pPr>
                  <w:r>
                    <w:rPr>
                      <w:rFonts w:hint="eastAsia"/>
                      <w:szCs w:val="21"/>
                      <w:lang w:val="en-US" w:eastAsia="zh-CN"/>
                    </w:rPr>
                    <w:t>37.8</w:t>
                  </w:r>
                </w:p>
              </w:tc>
              <w:tc>
                <w:tcPr>
                  <w:tcW w:w="410" w:type="pct"/>
                  <w:vMerge w:val="continue"/>
                  <w:vAlign w:val="center"/>
                </w:tcPr>
                <w:p w14:paraId="5912E42B">
                  <w:pPr>
                    <w:jc w:val="center"/>
                    <w:rPr>
                      <w:rFonts w:hint="eastAsia"/>
                      <w:szCs w:val="21"/>
                      <w:lang w:val="en-US" w:eastAsia="zh-CN"/>
                    </w:rPr>
                  </w:pPr>
                </w:p>
              </w:tc>
            </w:tr>
            <w:tr w14:paraId="1A69F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restart"/>
                  <w:vAlign w:val="center"/>
                </w:tcPr>
                <w:p w14:paraId="7C9B0B93">
                  <w:pPr>
                    <w:jc w:val="center"/>
                    <w:rPr>
                      <w:rFonts w:hint="eastAsia" w:eastAsia="宋体"/>
                      <w:szCs w:val="21"/>
                      <w:lang w:val="en-US" w:eastAsia="zh-CN"/>
                    </w:rPr>
                  </w:pPr>
                  <w:r>
                    <w:rPr>
                      <w:rFonts w:hint="eastAsia"/>
                      <w:szCs w:val="21"/>
                      <w:lang w:val="en-US" w:eastAsia="zh-CN"/>
                    </w:rPr>
                    <w:t>2</w:t>
                  </w:r>
                </w:p>
              </w:tc>
              <w:tc>
                <w:tcPr>
                  <w:tcW w:w="215" w:type="pct"/>
                  <w:vMerge w:val="continue"/>
                  <w:vAlign w:val="center"/>
                </w:tcPr>
                <w:p w14:paraId="6CBC750B">
                  <w:pPr>
                    <w:jc w:val="center"/>
                    <w:rPr>
                      <w:rFonts w:hint="eastAsia"/>
                      <w:szCs w:val="21"/>
                    </w:rPr>
                  </w:pPr>
                </w:p>
              </w:tc>
              <w:tc>
                <w:tcPr>
                  <w:tcW w:w="331" w:type="pct"/>
                  <w:vMerge w:val="restart"/>
                  <w:shd w:val="clear" w:color="auto" w:fill="auto"/>
                  <w:vAlign w:val="center"/>
                </w:tcPr>
                <w:p w14:paraId="2042F45A">
                  <w:pPr>
                    <w:jc w:val="center"/>
                    <w:rPr>
                      <w:rFonts w:hint="default" w:ascii="Times New Roman" w:hAnsi="Times New Roman" w:eastAsia="宋体" w:cs="Times New Roman"/>
                      <w:szCs w:val="21"/>
                      <w:lang w:val="en-US" w:eastAsia="zh-CN"/>
                    </w:rPr>
                  </w:pPr>
                  <w:r>
                    <w:rPr>
                      <w:rFonts w:hint="eastAsia" w:cs="Times New Roman"/>
                      <w:szCs w:val="21"/>
                      <w:lang w:val="en-US" w:eastAsia="zh-CN"/>
                    </w:rPr>
                    <w:t>破碎机</w:t>
                  </w:r>
                </w:p>
              </w:tc>
              <w:tc>
                <w:tcPr>
                  <w:tcW w:w="225" w:type="pct"/>
                  <w:vMerge w:val="restart"/>
                  <w:shd w:val="clear" w:color="auto" w:fill="auto"/>
                  <w:vAlign w:val="center"/>
                </w:tcPr>
                <w:p w14:paraId="17DD228C">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308" w:type="pct"/>
                  <w:vMerge w:val="restart"/>
                  <w:vAlign w:val="center"/>
                </w:tcPr>
                <w:p w14:paraId="31958D1F">
                  <w:pPr>
                    <w:jc w:val="center"/>
                    <w:rPr>
                      <w:rFonts w:hint="default" w:ascii="Times New Roman" w:hAnsi="Times New Roman" w:eastAsia="宋体" w:cs="Times New Roman"/>
                      <w:szCs w:val="21"/>
                      <w:lang w:val="en-US" w:eastAsia="zh-CN"/>
                    </w:rPr>
                  </w:pPr>
                  <w:r>
                    <w:rPr>
                      <w:rFonts w:hint="eastAsia" w:cs="Times New Roman"/>
                      <w:szCs w:val="21"/>
                      <w:lang w:val="en-US" w:eastAsia="zh-CN"/>
                    </w:rPr>
                    <w:t>80-85</w:t>
                  </w:r>
                </w:p>
              </w:tc>
              <w:tc>
                <w:tcPr>
                  <w:tcW w:w="357" w:type="pct"/>
                  <w:vMerge w:val="continue"/>
                  <w:vAlign w:val="center"/>
                </w:tcPr>
                <w:p w14:paraId="33A21C49">
                  <w:pPr>
                    <w:jc w:val="center"/>
                    <w:rPr>
                      <w:rFonts w:hint="eastAsia"/>
                      <w:szCs w:val="21"/>
                    </w:rPr>
                  </w:pPr>
                </w:p>
              </w:tc>
              <w:tc>
                <w:tcPr>
                  <w:tcW w:w="295" w:type="pct"/>
                  <w:vMerge w:val="restart"/>
                  <w:shd w:val="clear" w:color="auto" w:fill="auto"/>
                  <w:vAlign w:val="center"/>
                </w:tcPr>
                <w:p w14:paraId="4BA85CAF">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p>
                <w:p w14:paraId="60368AC0">
                  <w:pPr>
                    <w:jc w:val="center"/>
                    <w:rPr>
                      <w:rFonts w:hint="eastAsia" w:ascii="Times New Roman" w:hAnsi="Times New Roman" w:eastAsia="宋体" w:cs="Times New Roman"/>
                      <w:kern w:val="2"/>
                      <w:sz w:val="21"/>
                      <w:szCs w:val="21"/>
                      <w:lang w:val="en-US" w:eastAsia="zh-CN" w:bidi="ar-SA"/>
                    </w:rPr>
                  </w:pPr>
                </w:p>
                <w:p w14:paraId="60BAB81E">
                  <w:pPr>
                    <w:jc w:val="center"/>
                    <w:rPr>
                      <w:rFonts w:hint="eastAsia"/>
                      <w:szCs w:val="21"/>
                    </w:rPr>
                  </w:pPr>
                </w:p>
              </w:tc>
              <w:tc>
                <w:tcPr>
                  <w:tcW w:w="344" w:type="pct"/>
                  <w:vMerge w:val="restart"/>
                  <w:shd w:val="clear" w:color="auto" w:fill="auto"/>
                  <w:vAlign w:val="center"/>
                </w:tcPr>
                <w:p w14:paraId="343D717D">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20</w:t>
                  </w:r>
                </w:p>
                <w:p w14:paraId="3B70B027">
                  <w:pPr>
                    <w:jc w:val="center"/>
                    <w:rPr>
                      <w:rFonts w:hint="eastAsia" w:ascii="Times New Roman" w:hAnsi="Times New Roman" w:eastAsia="宋体" w:cs="Times New Roman"/>
                      <w:kern w:val="2"/>
                      <w:sz w:val="21"/>
                      <w:szCs w:val="21"/>
                      <w:lang w:val="en-US" w:eastAsia="zh-CN" w:bidi="ar-SA"/>
                    </w:rPr>
                  </w:pPr>
                </w:p>
                <w:p w14:paraId="72898F46">
                  <w:pPr>
                    <w:jc w:val="center"/>
                    <w:rPr>
                      <w:rFonts w:hint="eastAsia"/>
                      <w:szCs w:val="21"/>
                    </w:rPr>
                  </w:pPr>
                </w:p>
              </w:tc>
              <w:tc>
                <w:tcPr>
                  <w:tcW w:w="217" w:type="pct"/>
                  <w:vMerge w:val="restart"/>
                  <w:shd w:val="clear" w:color="auto" w:fill="auto"/>
                  <w:vAlign w:val="center"/>
                </w:tcPr>
                <w:p w14:paraId="7664155A">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1.2</w:t>
                  </w:r>
                </w:p>
                <w:p w14:paraId="002FB333">
                  <w:pPr>
                    <w:jc w:val="center"/>
                    <w:rPr>
                      <w:rFonts w:hint="eastAsia" w:ascii="Times New Roman" w:hAnsi="Times New Roman" w:eastAsia="宋体" w:cs="Times New Roman"/>
                      <w:kern w:val="2"/>
                      <w:sz w:val="21"/>
                      <w:szCs w:val="21"/>
                      <w:lang w:val="en-US" w:eastAsia="zh-CN" w:bidi="ar-SA"/>
                    </w:rPr>
                  </w:pPr>
                </w:p>
                <w:p w14:paraId="295EC59C">
                  <w:pPr>
                    <w:jc w:val="center"/>
                    <w:rPr>
                      <w:rFonts w:hint="eastAsia"/>
                      <w:szCs w:val="21"/>
                    </w:rPr>
                  </w:pPr>
                </w:p>
              </w:tc>
              <w:tc>
                <w:tcPr>
                  <w:tcW w:w="302" w:type="pct"/>
                  <w:shd w:val="clear" w:color="auto" w:fill="auto"/>
                  <w:vAlign w:val="center"/>
                </w:tcPr>
                <w:p w14:paraId="3AC916A1">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西北</w:t>
                  </w:r>
                </w:p>
              </w:tc>
              <w:tc>
                <w:tcPr>
                  <w:tcW w:w="277" w:type="pct"/>
                  <w:shd w:val="clear" w:color="auto" w:fill="auto"/>
                  <w:vAlign w:val="center"/>
                </w:tcPr>
                <w:p w14:paraId="11B35EBA">
                  <w:pPr>
                    <w:jc w:val="center"/>
                    <w:rPr>
                      <w:rFonts w:hint="eastAsia"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19</w:t>
                  </w:r>
                </w:p>
              </w:tc>
              <w:tc>
                <w:tcPr>
                  <w:tcW w:w="386" w:type="pct"/>
                  <w:vAlign w:val="center"/>
                </w:tcPr>
                <w:p w14:paraId="2096534C">
                  <w:pPr>
                    <w:jc w:val="center"/>
                    <w:rPr>
                      <w:rFonts w:hint="default"/>
                      <w:szCs w:val="21"/>
                      <w:lang w:val="en-US" w:eastAsia="zh-CN"/>
                    </w:rPr>
                  </w:pPr>
                  <w:r>
                    <w:rPr>
                      <w:rFonts w:hint="eastAsia"/>
                      <w:szCs w:val="21"/>
                      <w:lang w:val="en-US" w:eastAsia="zh-CN"/>
                    </w:rPr>
                    <w:t>66.8</w:t>
                  </w:r>
                </w:p>
              </w:tc>
              <w:tc>
                <w:tcPr>
                  <w:tcW w:w="348" w:type="pct"/>
                  <w:vMerge w:val="continue"/>
                  <w:vAlign w:val="center"/>
                </w:tcPr>
                <w:p w14:paraId="099C2390">
                  <w:pPr>
                    <w:jc w:val="center"/>
                    <w:rPr>
                      <w:rFonts w:hint="eastAsia"/>
                      <w:szCs w:val="21"/>
                    </w:rPr>
                  </w:pPr>
                </w:p>
              </w:tc>
              <w:tc>
                <w:tcPr>
                  <w:tcW w:w="422" w:type="pct"/>
                  <w:vMerge w:val="continue"/>
                  <w:vAlign w:val="center"/>
                </w:tcPr>
                <w:p w14:paraId="51DE8630">
                  <w:pPr>
                    <w:jc w:val="center"/>
                    <w:rPr>
                      <w:rFonts w:hint="eastAsia"/>
                      <w:szCs w:val="21"/>
                    </w:rPr>
                  </w:pPr>
                </w:p>
              </w:tc>
              <w:tc>
                <w:tcPr>
                  <w:tcW w:w="377" w:type="pct"/>
                  <w:vAlign w:val="center"/>
                </w:tcPr>
                <w:p w14:paraId="12D0CA0E">
                  <w:pPr>
                    <w:jc w:val="center"/>
                    <w:rPr>
                      <w:rFonts w:hint="default"/>
                      <w:szCs w:val="21"/>
                      <w:lang w:val="en-US" w:eastAsia="zh-CN"/>
                    </w:rPr>
                  </w:pPr>
                  <w:r>
                    <w:rPr>
                      <w:rFonts w:hint="eastAsia"/>
                      <w:szCs w:val="21"/>
                      <w:lang w:val="en-US" w:eastAsia="zh-CN"/>
                    </w:rPr>
                    <w:t>51.8</w:t>
                  </w:r>
                </w:p>
              </w:tc>
              <w:tc>
                <w:tcPr>
                  <w:tcW w:w="410" w:type="pct"/>
                  <w:vMerge w:val="continue"/>
                  <w:vAlign w:val="center"/>
                </w:tcPr>
                <w:p w14:paraId="2D6FE7CD">
                  <w:pPr>
                    <w:jc w:val="center"/>
                    <w:rPr>
                      <w:rFonts w:hint="eastAsia"/>
                      <w:szCs w:val="21"/>
                    </w:rPr>
                  </w:pPr>
                </w:p>
              </w:tc>
            </w:tr>
            <w:tr w14:paraId="7161A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5DB685E3">
                  <w:pPr>
                    <w:jc w:val="center"/>
                  </w:pPr>
                </w:p>
              </w:tc>
              <w:tc>
                <w:tcPr>
                  <w:tcW w:w="215" w:type="pct"/>
                  <w:vMerge w:val="continue"/>
                  <w:vAlign w:val="center"/>
                </w:tcPr>
                <w:p w14:paraId="02349115">
                  <w:pPr>
                    <w:jc w:val="center"/>
                  </w:pPr>
                </w:p>
              </w:tc>
              <w:tc>
                <w:tcPr>
                  <w:tcW w:w="331" w:type="pct"/>
                  <w:vMerge w:val="continue"/>
                  <w:shd w:val="clear" w:color="auto" w:fill="auto"/>
                  <w:vAlign w:val="center"/>
                </w:tcPr>
                <w:p w14:paraId="55752C50">
                  <w:pPr>
                    <w:jc w:val="center"/>
                  </w:pPr>
                </w:p>
              </w:tc>
              <w:tc>
                <w:tcPr>
                  <w:tcW w:w="225" w:type="pct"/>
                  <w:vMerge w:val="continue"/>
                  <w:shd w:val="clear" w:color="auto" w:fill="auto"/>
                  <w:vAlign w:val="center"/>
                </w:tcPr>
                <w:p w14:paraId="40AEB890">
                  <w:pPr>
                    <w:jc w:val="center"/>
                  </w:pPr>
                </w:p>
              </w:tc>
              <w:tc>
                <w:tcPr>
                  <w:tcW w:w="308" w:type="pct"/>
                  <w:vMerge w:val="continue"/>
                  <w:vAlign w:val="center"/>
                </w:tcPr>
                <w:p w14:paraId="36A8C40F">
                  <w:pPr>
                    <w:jc w:val="center"/>
                  </w:pPr>
                </w:p>
              </w:tc>
              <w:tc>
                <w:tcPr>
                  <w:tcW w:w="357" w:type="pct"/>
                  <w:vMerge w:val="continue"/>
                  <w:vAlign w:val="center"/>
                </w:tcPr>
                <w:p w14:paraId="39640948">
                  <w:pPr>
                    <w:jc w:val="center"/>
                  </w:pPr>
                </w:p>
              </w:tc>
              <w:tc>
                <w:tcPr>
                  <w:tcW w:w="295" w:type="pct"/>
                  <w:vMerge w:val="continue"/>
                  <w:vAlign w:val="center"/>
                </w:tcPr>
                <w:p w14:paraId="4D1FBA4B">
                  <w:pPr>
                    <w:jc w:val="center"/>
                  </w:pPr>
                </w:p>
              </w:tc>
              <w:tc>
                <w:tcPr>
                  <w:tcW w:w="344" w:type="pct"/>
                  <w:vMerge w:val="continue"/>
                  <w:vAlign w:val="center"/>
                </w:tcPr>
                <w:p w14:paraId="3B62F255">
                  <w:pPr>
                    <w:jc w:val="center"/>
                  </w:pPr>
                </w:p>
              </w:tc>
              <w:tc>
                <w:tcPr>
                  <w:tcW w:w="217" w:type="pct"/>
                  <w:vMerge w:val="continue"/>
                  <w:vAlign w:val="center"/>
                </w:tcPr>
                <w:p w14:paraId="0FB69189">
                  <w:pPr>
                    <w:jc w:val="center"/>
                  </w:pPr>
                </w:p>
              </w:tc>
              <w:tc>
                <w:tcPr>
                  <w:tcW w:w="302" w:type="pct"/>
                  <w:shd w:val="clear" w:color="auto" w:fill="auto"/>
                  <w:vAlign w:val="center"/>
                </w:tcPr>
                <w:p w14:paraId="41A838FF">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277" w:type="pct"/>
                  <w:shd w:val="clear" w:color="auto" w:fill="auto"/>
                  <w:vAlign w:val="center"/>
                </w:tcPr>
                <w:p w14:paraId="7FA2B8C2">
                  <w:pPr>
                    <w:jc w:val="center"/>
                    <w:rPr>
                      <w:rFonts w:hint="eastAsia" w:ascii="Times New Roman" w:hAnsi="Times New Roman" w:eastAsia="宋体" w:cs="Times New Roman"/>
                      <w:kern w:val="2"/>
                      <w:sz w:val="21"/>
                      <w:szCs w:val="21"/>
                      <w:lang w:val="en-US" w:eastAsia="zh-CN" w:bidi="ar-SA"/>
                    </w:rPr>
                  </w:pPr>
                  <w:r>
                    <w:rPr>
                      <w:rFonts w:hint="eastAsia" w:eastAsia="宋体"/>
                      <w:szCs w:val="21"/>
                      <w:lang w:val="en-US" w:eastAsia="zh-CN"/>
                    </w:rPr>
                    <w:t>1</w:t>
                  </w:r>
                </w:p>
              </w:tc>
              <w:tc>
                <w:tcPr>
                  <w:tcW w:w="386" w:type="pct"/>
                  <w:vAlign w:val="center"/>
                </w:tcPr>
                <w:p w14:paraId="20D2BD50">
                  <w:pPr>
                    <w:jc w:val="center"/>
                    <w:rPr>
                      <w:rFonts w:hint="default"/>
                      <w:szCs w:val="21"/>
                      <w:lang w:val="en-US" w:eastAsia="zh-CN"/>
                    </w:rPr>
                  </w:pPr>
                  <w:r>
                    <w:rPr>
                      <w:rFonts w:hint="eastAsia"/>
                      <w:szCs w:val="21"/>
                      <w:lang w:val="en-US" w:eastAsia="zh-CN"/>
                    </w:rPr>
                    <w:t>76.1</w:t>
                  </w:r>
                </w:p>
              </w:tc>
              <w:tc>
                <w:tcPr>
                  <w:tcW w:w="348" w:type="pct"/>
                  <w:vMerge w:val="continue"/>
                  <w:vAlign w:val="center"/>
                </w:tcPr>
                <w:p w14:paraId="6A56812A">
                  <w:pPr>
                    <w:jc w:val="center"/>
                    <w:rPr>
                      <w:rFonts w:hint="eastAsia"/>
                      <w:szCs w:val="21"/>
                      <w:lang w:val="en-US" w:eastAsia="zh-CN"/>
                    </w:rPr>
                  </w:pPr>
                </w:p>
              </w:tc>
              <w:tc>
                <w:tcPr>
                  <w:tcW w:w="422" w:type="pct"/>
                  <w:vMerge w:val="continue"/>
                  <w:vAlign w:val="center"/>
                </w:tcPr>
                <w:p w14:paraId="0F68F3A7">
                  <w:pPr>
                    <w:jc w:val="center"/>
                    <w:rPr>
                      <w:rFonts w:hint="eastAsia"/>
                      <w:szCs w:val="21"/>
                      <w:lang w:val="en-US" w:eastAsia="zh-CN"/>
                    </w:rPr>
                  </w:pPr>
                </w:p>
              </w:tc>
              <w:tc>
                <w:tcPr>
                  <w:tcW w:w="377" w:type="pct"/>
                  <w:vAlign w:val="center"/>
                </w:tcPr>
                <w:p w14:paraId="44E7418C">
                  <w:pPr>
                    <w:jc w:val="center"/>
                    <w:rPr>
                      <w:rFonts w:hint="default"/>
                      <w:szCs w:val="21"/>
                      <w:lang w:val="en-US" w:eastAsia="zh-CN"/>
                    </w:rPr>
                  </w:pPr>
                  <w:r>
                    <w:rPr>
                      <w:rFonts w:hint="eastAsia"/>
                      <w:szCs w:val="21"/>
                      <w:lang w:val="en-US" w:eastAsia="zh-CN"/>
                    </w:rPr>
                    <w:t>61.1</w:t>
                  </w:r>
                </w:p>
              </w:tc>
              <w:tc>
                <w:tcPr>
                  <w:tcW w:w="410" w:type="pct"/>
                  <w:vMerge w:val="continue"/>
                  <w:vAlign w:val="center"/>
                </w:tcPr>
                <w:p w14:paraId="502F5D0E">
                  <w:pPr>
                    <w:jc w:val="center"/>
                    <w:rPr>
                      <w:rFonts w:hint="eastAsia"/>
                      <w:szCs w:val="21"/>
                      <w:lang w:val="en-US" w:eastAsia="zh-CN"/>
                    </w:rPr>
                  </w:pPr>
                </w:p>
              </w:tc>
            </w:tr>
            <w:tr w14:paraId="2801C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1DC13233">
                  <w:pPr>
                    <w:jc w:val="center"/>
                    <w:rPr>
                      <w:rFonts w:hint="eastAsia"/>
                      <w:szCs w:val="21"/>
                      <w:lang w:val="en-US" w:eastAsia="zh-CN"/>
                    </w:rPr>
                  </w:pPr>
                </w:p>
              </w:tc>
              <w:tc>
                <w:tcPr>
                  <w:tcW w:w="215" w:type="pct"/>
                  <w:vMerge w:val="continue"/>
                  <w:vAlign w:val="center"/>
                </w:tcPr>
                <w:p w14:paraId="70EDC5C2">
                  <w:pPr>
                    <w:jc w:val="center"/>
                    <w:rPr>
                      <w:rFonts w:hint="eastAsia"/>
                      <w:szCs w:val="21"/>
                      <w:lang w:val="en-US" w:eastAsia="zh-CN"/>
                    </w:rPr>
                  </w:pPr>
                </w:p>
              </w:tc>
              <w:tc>
                <w:tcPr>
                  <w:tcW w:w="331" w:type="pct"/>
                  <w:vMerge w:val="continue"/>
                  <w:shd w:val="clear" w:color="auto" w:fill="auto"/>
                  <w:vAlign w:val="center"/>
                </w:tcPr>
                <w:p w14:paraId="04AF4E53">
                  <w:pPr>
                    <w:jc w:val="center"/>
                    <w:rPr>
                      <w:rFonts w:hint="eastAsia"/>
                      <w:szCs w:val="21"/>
                      <w:lang w:val="en-US" w:eastAsia="zh-CN"/>
                    </w:rPr>
                  </w:pPr>
                </w:p>
              </w:tc>
              <w:tc>
                <w:tcPr>
                  <w:tcW w:w="225" w:type="pct"/>
                  <w:vMerge w:val="continue"/>
                  <w:shd w:val="clear" w:color="auto" w:fill="auto"/>
                  <w:vAlign w:val="center"/>
                </w:tcPr>
                <w:p w14:paraId="76CB0B33">
                  <w:pPr>
                    <w:jc w:val="center"/>
                    <w:rPr>
                      <w:rFonts w:hint="eastAsia"/>
                      <w:szCs w:val="21"/>
                      <w:lang w:val="en-US" w:eastAsia="zh-CN"/>
                    </w:rPr>
                  </w:pPr>
                </w:p>
              </w:tc>
              <w:tc>
                <w:tcPr>
                  <w:tcW w:w="308" w:type="pct"/>
                  <w:vMerge w:val="continue"/>
                  <w:vAlign w:val="center"/>
                </w:tcPr>
                <w:p w14:paraId="28372FC5">
                  <w:pPr>
                    <w:jc w:val="center"/>
                    <w:rPr>
                      <w:rFonts w:hint="eastAsia"/>
                      <w:szCs w:val="21"/>
                      <w:lang w:val="en-US" w:eastAsia="zh-CN"/>
                    </w:rPr>
                  </w:pPr>
                </w:p>
              </w:tc>
              <w:tc>
                <w:tcPr>
                  <w:tcW w:w="357" w:type="pct"/>
                  <w:vMerge w:val="continue"/>
                  <w:vAlign w:val="center"/>
                </w:tcPr>
                <w:p w14:paraId="7A6EDD92">
                  <w:pPr>
                    <w:jc w:val="center"/>
                    <w:rPr>
                      <w:rFonts w:hint="eastAsia"/>
                      <w:szCs w:val="21"/>
                      <w:lang w:val="en-US" w:eastAsia="zh-CN"/>
                    </w:rPr>
                  </w:pPr>
                </w:p>
              </w:tc>
              <w:tc>
                <w:tcPr>
                  <w:tcW w:w="295" w:type="pct"/>
                  <w:vMerge w:val="continue"/>
                  <w:vAlign w:val="center"/>
                </w:tcPr>
                <w:p w14:paraId="54768F0D">
                  <w:pPr>
                    <w:jc w:val="center"/>
                    <w:rPr>
                      <w:rFonts w:hint="eastAsia"/>
                      <w:szCs w:val="21"/>
                      <w:lang w:val="en-US" w:eastAsia="zh-CN"/>
                    </w:rPr>
                  </w:pPr>
                </w:p>
              </w:tc>
              <w:tc>
                <w:tcPr>
                  <w:tcW w:w="344" w:type="pct"/>
                  <w:vMerge w:val="continue"/>
                  <w:vAlign w:val="center"/>
                </w:tcPr>
                <w:p w14:paraId="36DE7048">
                  <w:pPr>
                    <w:jc w:val="center"/>
                    <w:rPr>
                      <w:rFonts w:hint="eastAsia"/>
                      <w:szCs w:val="21"/>
                      <w:lang w:val="en-US" w:eastAsia="zh-CN"/>
                    </w:rPr>
                  </w:pPr>
                </w:p>
              </w:tc>
              <w:tc>
                <w:tcPr>
                  <w:tcW w:w="217" w:type="pct"/>
                  <w:vMerge w:val="continue"/>
                  <w:vAlign w:val="center"/>
                </w:tcPr>
                <w:p w14:paraId="40076A50">
                  <w:pPr>
                    <w:jc w:val="center"/>
                    <w:rPr>
                      <w:rFonts w:hint="eastAsia"/>
                      <w:szCs w:val="21"/>
                      <w:lang w:val="en-US" w:eastAsia="zh-CN"/>
                    </w:rPr>
                  </w:pPr>
                </w:p>
              </w:tc>
              <w:tc>
                <w:tcPr>
                  <w:tcW w:w="302" w:type="pct"/>
                  <w:shd w:val="clear" w:color="auto" w:fill="auto"/>
                  <w:vAlign w:val="center"/>
                </w:tcPr>
                <w:p w14:paraId="145B4108">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277" w:type="pct"/>
                  <w:shd w:val="clear" w:color="auto" w:fill="auto"/>
                  <w:vAlign w:val="center"/>
                </w:tcPr>
                <w:p w14:paraId="000054B1">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w:t>
                  </w:r>
                </w:p>
              </w:tc>
              <w:tc>
                <w:tcPr>
                  <w:tcW w:w="386" w:type="pct"/>
                  <w:vAlign w:val="center"/>
                </w:tcPr>
                <w:p w14:paraId="186D919F">
                  <w:pPr>
                    <w:jc w:val="center"/>
                    <w:rPr>
                      <w:rFonts w:hint="default"/>
                      <w:szCs w:val="21"/>
                      <w:lang w:val="en-US" w:eastAsia="zh-CN"/>
                    </w:rPr>
                  </w:pPr>
                  <w:r>
                    <w:rPr>
                      <w:rFonts w:hint="eastAsia"/>
                      <w:szCs w:val="21"/>
                      <w:lang w:val="en-US" w:eastAsia="zh-CN"/>
                    </w:rPr>
                    <w:t>70.8</w:t>
                  </w:r>
                </w:p>
              </w:tc>
              <w:tc>
                <w:tcPr>
                  <w:tcW w:w="348" w:type="pct"/>
                  <w:vMerge w:val="continue"/>
                  <w:vAlign w:val="center"/>
                </w:tcPr>
                <w:p w14:paraId="3E1AD8C9">
                  <w:pPr>
                    <w:jc w:val="center"/>
                    <w:rPr>
                      <w:rFonts w:hint="eastAsia"/>
                      <w:szCs w:val="21"/>
                      <w:lang w:val="en-US" w:eastAsia="zh-CN"/>
                    </w:rPr>
                  </w:pPr>
                </w:p>
              </w:tc>
              <w:tc>
                <w:tcPr>
                  <w:tcW w:w="422" w:type="pct"/>
                  <w:vMerge w:val="continue"/>
                  <w:vAlign w:val="center"/>
                </w:tcPr>
                <w:p w14:paraId="784D3569">
                  <w:pPr>
                    <w:jc w:val="center"/>
                    <w:rPr>
                      <w:rFonts w:hint="eastAsia"/>
                      <w:szCs w:val="21"/>
                      <w:lang w:val="en-US" w:eastAsia="zh-CN"/>
                    </w:rPr>
                  </w:pPr>
                </w:p>
              </w:tc>
              <w:tc>
                <w:tcPr>
                  <w:tcW w:w="377" w:type="pct"/>
                  <w:vAlign w:val="center"/>
                </w:tcPr>
                <w:p w14:paraId="7CD958CE">
                  <w:pPr>
                    <w:jc w:val="center"/>
                    <w:rPr>
                      <w:rFonts w:hint="default"/>
                      <w:szCs w:val="21"/>
                      <w:lang w:val="en-US" w:eastAsia="zh-CN"/>
                    </w:rPr>
                  </w:pPr>
                  <w:r>
                    <w:rPr>
                      <w:rFonts w:hint="eastAsia"/>
                      <w:szCs w:val="21"/>
                      <w:lang w:val="en-US" w:eastAsia="zh-CN"/>
                    </w:rPr>
                    <w:t>55.8</w:t>
                  </w:r>
                </w:p>
              </w:tc>
              <w:tc>
                <w:tcPr>
                  <w:tcW w:w="410" w:type="pct"/>
                  <w:vMerge w:val="continue"/>
                  <w:vAlign w:val="center"/>
                </w:tcPr>
                <w:p w14:paraId="120F8E0E">
                  <w:pPr>
                    <w:jc w:val="center"/>
                    <w:rPr>
                      <w:rFonts w:hint="eastAsia"/>
                      <w:szCs w:val="21"/>
                      <w:lang w:val="en-US" w:eastAsia="zh-CN"/>
                    </w:rPr>
                  </w:pPr>
                </w:p>
              </w:tc>
            </w:tr>
            <w:tr w14:paraId="25615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1E393A54">
                  <w:pPr>
                    <w:jc w:val="center"/>
                    <w:rPr>
                      <w:rFonts w:hint="eastAsia"/>
                      <w:szCs w:val="21"/>
                      <w:lang w:val="en-US" w:eastAsia="zh-CN"/>
                    </w:rPr>
                  </w:pPr>
                </w:p>
              </w:tc>
              <w:tc>
                <w:tcPr>
                  <w:tcW w:w="215" w:type="pct"/>
                  <w:vMerge w:val="continue"/>
                  <w:vAlign w:val="center"/>
                </w:tcPr>
                <w:p w14:paraId="10DDB833">
                  <w:pPr>
                    <w:jc w:val="center"/>
                    <w:rPr>
                      <w:rFonts w:hint="eastAsia"/>
                      <w:szCs w:val="21"/>
                      <w:lang w:val="en-US" w:eastAsia="zh-CN"/>
                    </w:rPr>
                  </w:pPr>
                </w:p>
              </w:tc>
              <w:tc>
                <w:tcPr>
                  <w:tcW w:w="331" w:type="pct"/>
                  <w:vMerge w:val="continue"/>
                  <w:shd w:val="clear" w:color="auto" w:fill="auto"/>
                  <w:vAlign w:val="center"/>
                </w:tcPr>
                <w:p w14:paraId="1E7E56CF">
                  <w:pPr>
                    <w:jc w:val="center"/>
                    <w:rPr>
                      <w:rFonts w:hint="eastAsia"/>
                      <w:szCs w:val="21"/>
                      <w:lang w:val="en-US" w:eastAsia="zh-CN"/>
                    </w:rPr>
                  </w:pPr>
                </w:p>
              </w:tc>
              <w:tc>
                <w:tcPr>
                  <w:tcW w:w="225" w:type="pct"/>
                  <w:vMerge w:val="continue"/>
                  <w:shd w:val="clear" w:color="auto" w:fill="auto"/>
                  <w:vAlign w:val="center"/>
                </w:tcPr>
                <w:p w14:paraId="3E503B02">
                  <w:pPr>
                    <w:jc w:val="center"/>
                    <w:rPr>
                      <w:rFonts w:hint="eastAsia"/>
                      <w:szCs w:val="21"/>
                      <w:lang w:val="en-US" w:eastAsia="zh-CN"/>
                    </w:rPr>
                  </w:pPr>
                </w:p>
              </w:tc>
              <w:tc>
                <w:tcPr>
                  <w:tcW w:w="308" w:type="pct"/>
                  <w:vMerge w:val="continue"/>
                  <w:vAlign w:val="center"/>
                </w:tcPr>
                <w:p w14:paraId="77F39276">
                  <w:pPr>
                    <w:jc w:val="center"/>
                    <w:rPr>
                      <w:rFonts w:hint="eastAsia"/>
                      <w:szCs w:val="21"/>
                      <w:lang w:val="en-US" w:eastAsia="zh-CN"/>
                    </w:rPr>
                  </w:pPr>
                </w:p>
              </w:tc>
              <w:tc>
                <w:tcPr>
                  <w:tcW w:w="357" w:type="pct"/>
                  <w:vMerge w:val="continue"/>
                  <w:vAlign w:val="center"/>
                </w:tcPr>
                <w:p w14:paraId="010F0520">
                  <w:pPr>
                    <w:jc w:val="center"/>
                    <w:rPr>
                      <w:rFonts w:hint="eastAsia"/>
                      <w:szCs w:val="21"/>
                      <w:lang w:val="en-US" w:eastAsia="zh-CN"/>
                    </w:rPr>
                  </w:pPr>
                </w:p>
              </w:tc>
              <w:tc>
                <w:tcPr>
                  <w:tcW w:w="295" w:type="pct"/>
                  <w:vMerge w:val="continue"/>
                  <w:vAlign w:val="center"/>
                </w:tcPr>
                <w:p w14:paraId="42C128FB">
                  <w:pPr>
                    <w:jc w:val="center"/>
                    <w:rPr>
                      <w:rFonts w:hint="eastAsia"/>
                      <w:szCs w:val="21"/>
                      <w:lang w:val="en-US" w:eastAsia="zh-CN"/>
                    </w:rPr>
                  </w:pPr>
                </w:p>
              </w:tc>
              <w:tc>
                <w:tcPr>
                  <w:tcW w:w="344" w:type="pct"/>
                  <w:vMerge w:val="continue"/>
                  <w:vAlign w:val="center"/>
                </w:tcPr>
                <w:p w14:paraId="54C11346">
                  <w:pPr>
                    <w:jc w:val="center"/>
                    <w:rPr>
                      <w:rFonts w:hint="eastAsia"/>
                      <w:szCs w:val="21"/>
                      <w:lang w:val="en-US" w:eastAsia="zh-CN"/>
                    </w:rPr>
                  </w:pPr>
                </w:p>
              </w:tc>
              <w:tc>
                <w:tcPr>
                  <w:tcW w:w="217" w:type="pct"/>
                  <w:vMerge w:val="continue"/>
                  <w:vAlign w:val="center"/>
                </w:tcPr>
                <w:p w14:paraId="05D955CB">
                  <w:pPr>
                    <w:jc w:val="center"/>
                    <w:rPr>
                      <w:rFonts w:hint="eastAsia"/>
                      <w:szCs w:val="21"/>
                      <w:lang w:val="en-US" w:eastAsia="zh-CN"/>
                    </w:rPr>
                  </w:pPr>
                </w:p>
              </w:tc>
              <w:tc>
                <w:tcPr>
                  <w:tcW w:w="302" w:type="pct"/>
                  <w:shd w:val="clear" w:color="auto" w:fill="auto"/>
                  <w:vAlign w:val="center"/>
                </w:tcPr>
                <w:p w14:paraId="756C1746">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277" w:type="pct"/>
                  <w:shd w:val="clear" w:color="auto" w:fill="auto"/>
                  <w:vAlign w:val="center"/>
                </w:tcPr>
                <w:p w14:paraId="2CBB999A">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386" w:type="pct"/>
                  <w:vAlign w:val="center"/>
                </w:tcPr>
                <w:p w14:paraId="42F8D8D6">
                  <w:pPr>
                    <w:jc w:val="center"/>
                    <w:rPr>
                      <w:rFonts w:hint="default"/>
                      <w:szCs w:val="21"/>
                      <w:lang w:val="en-US" w:eastAsia="zh-CN"/>
                    </w:rPr>
                  </w:pPr>
                  <w:r>
                    <w:rPr>
                      <w:rFonts w:hint="eastAsia"/>
                      <w:szCs w:val="21"/>
                      <w:lang w:val="en-US" w:eastAsia="zh-CN"/>
                    </w:rPr>
                    <w:t>71.4</w:t>
                  </w:r>
                </w:p>
              </w:tc>
              <w:tc>
                <w:tcPr>
                  <w:tcW w:w="348" w:type="pct"/>
                  <w:vMerge w:val="continue"/>
                  <w:vAlign w:val="center"/>
                </w:tcPr>
                <w:p w14:paraId="1F218D4B">
                  <w:pPr>
                    <w:jc w:val="center"/>
                    <w:rPr>
                      <w:rFonts w:hint="eastAsia"/>
                      <w:szCs w:val="21"/>
                      <w:lang w:val="en-US" w:eastAsia="zh-CN"/>
                    </w:rPr>
                  </w:pPr>
                </w:p>
              </w:tc>
              <w:tc>
                <w:tcPr>
                  <w:tcW w:w="422" w:type="pct"/>
                  <w:vMerge w:val="continue"/>
                  <w:vAlign w:val="center"/>
                </w:tcPr>
                <w:p w14:paraId="7A5B7B04">
                  <w:pPr>
                    <w:jc w:val="center"/>
                    <w:rPr>
                      <w:rFonts w:hint="eastAsia"/>
                      <w:szCs w:val="21"/>
                      <w:lang w:val="en-US" w:eastAsia="zh-CN"/>
                    </w:rPr>
                  </w:pPr>
                </w:p>
              </w:tc>
              <w:tc>
                <w:tcPr>
                  <w:tcW w:w="377" w:type="pct"/>
                  <w:vAlign w:val="center"/>
                </w:tcPr>
                <w:p w14:paraId="3B1F8E44">
                  <w:pPr>
                    <w:jc w:val="center"/>
                    <w:rPr>
                      <w:rFonts w:hint="default"/>
                      <w:szCs w:val="21"/>
                      <w:lang w:val="en-US" w:eastAsia="zh-CN"/>
                    </w:rPr>
                  </w:pPr>
                  <w:r>
                    <w:rPr>
                      <w:rFonts w:hint="eastAsia"/>
                      <w:szCs w:val="21"/>
                      <w:lang w:val="en-US" w:eastAsia="zh-CN"/>
                    </w:rPr>
                    <w:t>55.4</w:t>
                  </w:r>
                </w:p>
              </w:tc>
              <w:tc>
                <w:tcPr>
                  <w:tcW w:w="410" w:type="pct"/>
                  <w:vMerge w:val="continue"/>
                  <w:vAlign w:val="center"/>
                </w:tcPr>
                <w:p w14:paraId="675D058C">
                  <w:pPr>
                    <w:jc w:val="center"/>
                    <w:rPr>
                      <w:rFonts w:hint="eastAsia"/>
                      <w:szCs w:val="21"/>
                      <w:lang w:val="en-US" w:eastAsia="zh-CN"/>
                    </w:rPr>
                  </w:pPr>
                </w:p>
              </w:tc>
            </w:tr>
            <w:tr w14:paraId="07015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78" w:type="pct"/>
                  <w:vMerge w:val="restart"/>
                  <w:vAlign w:val="center"/>
                </w:tcPr>
                <w:p w14:paraId="295AE290">
                  <w:pPr>
                    <w:jc w:val="center"/>
                    <w:rPr>
                      <w:rFonts w:hint="default" w:eastAsia="宋体"/>
                      <w:color w:val="auto"/>
                      <w:szCs w:val="21"/>
                      <w:lang w:val="en-US" w:eastAsia="zh-CN"/>
                    </w:rPr>
                  </w:pPr>
                  <w:r>
                    <w:rPr>
                      <w:rFonts w:hint="eastAsia"/>
                      <w:color w:val="auto"/>
                      <w:szCs w:val="21"/>
                      <w:lang w:val="en-US" w:eastAsia="zh-CN"/>
                    </w:rPr>
                    <w:t>3</w:t>
                  </w:r>
                </w:p>
              </w:tc>
              <w:tc>
                <w:tcPr>
                  <w:tcW w:w="215" w:type="pct"/>
                  <w:vMerge w:val="restart"/>
                  <w:vAlign w:val="center"/>
                </w:tcPr>
                <w:p w14:paraId="7A3EB786">
                  <w:pPr>
                    <w:jc w:val="center"/>
                    <w:rPr>
                      <w:rFonts w:hint="default" w:eastAsia="宋体"/>
                      <w:color w:val="auto"/>
                      <w:szCs w:val="21"/>
                      <w:lang w:val="en-US" w:eastAsia="zh-CN"/>
                    </w:rPr>
                  </w:pPr>
                  <w:r>
                    <w:rPr>
                      <w:rFonts w:hint="eastAsia"/>
                      <w:color w:val="auto"/>
                      <w:szCs w:val="21"/>
                      <w:lang w:val="en-US" w:eastAsia="zh-CN"/>
                    </w:rPr>
                    <w:t>厂房楼顶</w:t>
                  </w:r>
                </w:p>
              </w:tc>
              <w:tc>
                <w:tcPr>
                  <w:tcW w:w="331" w:type="pct"/>
                  <w:vMerge w:val="restart"/>
                  <w:vAlign w:val="center"/>
                </w:tcPr>
                <w:p w14:paraId="00FC735D">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冷却塔</w:t>
                  </w:r>
                </w:p>
              </w:tc>
              <w:tc>
                <w:tcPr>
                  <w:tcW w:w="225" w:type="pct"/>
                  <w:vMerge w:val="restart"/>
                  <w:shd w:val="clear" w:color="auto" w:fill="auto"/>
                  <w:vAlign w:val="center"/>
                </w:tcPr>
                <w:p w14:paraId="543004B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308" w:type="pct"/>
                  <w:vMerge w:val="restart"/>
                  <w:vAlign w:val="center"/>
                </w:tcPr>
                <w:p w14:paraId="15EAD538">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75</w:t>
                  </w:r>
                </w:p>
              </w:tc>
              <w:tc>
                <w:tcPr>
                  <w:tcW w:w="357" w:type="pct"/>
                  <w:vMerge w:val="restart"/>
                  <w:vAlign w:val="center"/>
                </w:tcPr>
                <w:p w14:paraId="4A3105E3">
                  <w:pPr>
                    <w:jc w:val="center"/>
                    <w:rPr>
                      <w:rFonts w:hint="default" w:eastAsia="宋体"/>
                      <w:color w:val="auto"/>
                      <w:szCs w:val="21"/>
                      <w:lang w:val="en-US" w:eastAsia="zh-CN"/>
                    </w:rPr>
                  </w:pPr>
                  <w:r>
                    <w:rPr>
                      <w:rFonts w:hint="eastAsia"/>
                      <w:color w:val="auto"/>
                      <w:szCs w:val="21"/>
                      <w:lang w:val="en-US" w:eastAsia="zh-CN"/>
                    </w:rPr>
                    <w:t>减振垫</w:t>
                  </w:r>
                </w:p>
              </w:tc>
              <w:tc>
                <w:tcPr>
                  <w:tcW w:w="295" w:type="pct"/>
                  <w:vMerge w:val="restart"/>
                  <w:vAlign w:val="center"/>
                </w:tcPr>
                <w:p w14:paraId="798B316A">
                  <w:pPr>
                    <w:jc w:val="center"/>
                    <w:rPr>
                      <w:rFonts w:hint="eastAsia" w:eastAsia="宋体"/>
                      <w:color w:val="auto"/>
                      <w:szCs w:val="21"/>
                      <w:lang w:val="en-US" w:eastAsia="zh-CN"/>
                    </w:rPr>
                  </w:pPr>
                  <w:r>
                    <w:rPr>
                      <w:rFonts w:hint="eastAsia"/>
                      <w:color w:val="auto"/>
                      <w:szCs w:val="21"/>
                      <w:lang w:val="en-US" w:eastAsia="zh-CN"/>
                    </w:rPr>
                    <w:t>2</w:t>
                  </w:r>
                </w:p>
              </w:tc>
              <w:tc>
                <w:tcPr>
                  <w:tcW w:w="344" w:type="pct"/>
                  <w:vMerge w:val="restart"/>
                  <w:vAlign w:val="center"/>
                </w:tcPr>
                <w:p w14:paraId="5C04B6E0">
                  <w:pPr>
                    <w:jc w:val="center"/>
                    <w:rPr>
                      <w:rFonts w:hint="eastAsia" w:eastAsia="宋体"/>
                      <w:color w:val="auto"/>
                      <w:szCs w:val="21"/>
                      <w:lang w:val="en-US" w:eastAsia="zh-CN"/>
                    </w:rPr>
                  </w:pPr>
                  <w:r>
                    <w:rPr>
                      <w:rFonts w:hint="eastAsia"/>
                      <w:color w:val="auto"/>
                      <w:szCs w:val="21"/>
                      <w:lang w:val="en-US" w:eastAsia="zh-CN"/>
                    </w:rPr>
                    <w:t>4</w:t>
                  </w:r>
                </w:p>
              </w:tc>
              <w:tc>
                <w:tcPr>
                  <w:tcW w:w="217" w:type="pct"/>
                  <w:vMerge w:val="restart"/>
                  <w:vAlign w:val="center"/>
                </w:tcPr>
                <w:p w14:paraId="4A717B99">
                  <w:pPr>
                    <w:jc w:val="center"/>
                    <w:rPr>
                      <w:rFonts w:hint="default" w:eastAsia="宋体"/>
                      <w:color w:val="auto"/>
                      <w:szCs w:val="21"/>
                      <w:lang w:val="en-US" w:eastAsia="zh-CN"/>
                    </w:rPr>
                  </w:pPr>
                  <w:r>
                    <w:rPr>
                      <w:rFonts w:hint="eastAsia"/>
                      <w:color w:val="auto"/>
                      <w:szCs w:val="21"/>
                      <w:lang w:val="en-US" w:eastAsia="zh-CN"/>
                    </w:rPr>
                    <w:t>21</w:t>
                  </w:r>
                </w:p>
              </w:tc>
              <w:tc>
                <w:tcPr>
                  <w:tcW w:w="302" w:type="pct"/>
                  <w:shd w:val="clear" w:color="auto" w:fill="auto"/>
                  <w:vAlign w:val="center"/>
                </w:tcPr>
                <w:p w14:paraId="1FF477C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77" w:type="pct"/>
                  <w:shd w:val="clear" w:color="auto" w:fill="auto"/>
                  <w:vAlign w:val="center"/>
                </w:tcPr>
                <w:p w14:paraId="59F00CD7">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13</w:t>
                  </w:r>
                </w:p>
              </w:tc>
              <w:tc>
                <w:tcPr>
                  <w:tcW w:w="386" w:type="pct"/>
                  <w:vAlign w:val="center"/>
                </w:tcPr>
                <w:p w14:paraId="7CF06F72">
                  <w:pPr>
                    <w:jc w:val="center"/>
                    <w:rPr>
                      <w:rFonts w:hint="default"/>
                      <w:color w:val="auto"/>
                      <w:szCs w:val="21"/>
                      <w:lang w:val="en-US" w:eastAsia="zh-CN"/>
                    </w:rPr>
                  </w:pPr>
                  <w:r>
                    <w:rPr>
                      <w:rFonts w:hint="eastAsia"/>
                      <w:color w:val="auto"/>
                      <w:szCs w:val="21"/>
                      <w:lang w:val="en-US" w:eastAsia="zh-CN"/>
                    </w:rPr>
                    <w:t>/</w:t>
                  </w:r>
                </w:p>
              </w:tc>
              <w:tc>
                <w:tcPr>
                  <w:tcW w:w="348" w:type="pct"/>
                  <w:vMerge w:val="restart"/>
                  <w:vAlign w:val="center"/>
                </w:tcPr>
                <w:p w14:paraId="29C4A3F5">
                  <w:pPr>
                    <w:jc w:val="center"/>
                    <w:rPr>
                      <w:rFonts w:hint="default" w:eastAsia="宋体"/>
                      <w:color w:val="auto"/>
                      <w:szCs w:val="21"/>
                      <w:lang w:val="en-US" w:eastAsia="zh-CN"/>
                    </w:rPr>
                  </w:pPr>
                  <w:r>
                    <w:rPr>
                      <w:rFonts w:hint="eastAsia"/>
                      <w:color w:val="auto"/>
                      <w:szCs w:val="21"/>
                      <w:lang w:val="en-US" w:eastAsia="zh-CN"/>
                    </w:rPr>
                    <w:t>24h/d</w:t>
                  </w:r>
                </w:p>
              </w:tc>
              <w:tc>
                <w:tcPr>
                  <w:tcW w:w="422" w:type="pct"/>
                  <w:vMerge w:val="restart"/>
                  <w:vAlign w:val="center"/>
                </w:tcPr>
                <w:p w14:paraId="3D116CCD">
                  <w:pPr>
                    <w:jc w:val="center"/>
                    <w:rPr>
                      <w:rFonts w:hint="eastAsia" w:eastAsia="宋体"/>
                      <w:color w:val="auto"/>
                      <w:szCs w:val="21"/>
                      <w:lang w:val="en-US" w:eastAsia="zh-CN"/>
                    </w:rPr>
                  </w:pPr>
                  <w:r>
                    <w:rPr>
                      <w:rFonts w:hint="eastAsia"/>
                      <w:color w:val="auto"/>
                      <w:szCs w:val="21"/>
                      <w:lang w:val="en-US" w:eastAsia="zh-CN"/>
                    </w:rPr>
                    <w:t>/</w:t>
                  </w:r>
                </w:p>
              </w:tc>
              <w:tc>
                <w:tcPr>
                  <w:tcW w:w="377" w:type="pct"/>
                  <w:vAlign w:val="center"/>
                </w:tcPr>
                <w:p w14:paraId="6A5D169D">
                  <w:pPr>
                    <w:jc w:val="center"/>
                    <w:rPr>
                      <w:rFonts w:hint="default"/>
                      <w:color w:val="auto"/>
                      <w:szCs w:val="21"/>
                      <w:lang w:val="en-US" w:eastAsia="zh-CN"/>
                    </w:rPr>
                  </w:pPr>
                  <w:r>
                    <w:rPr>
                      <w:rFonts w:hint="eastAsia"/>
                      <w:color w:val="auto"/>
                      <w:szCs w:val="21"/>
                      <w:lang w:val="en-US" w:eastAsia="zh-CN"/>
                    </w:rPr>
                    <w:t>54.5</w:t>
                  </w:r>
                </w:p>
              </w:tc>
              <w:tc>
                <w:tcPr>
                  <w:tcW w:w="410" w:type="pct"/>
                  <w:vMerge w:val="continue"/>
                  <w:vAlign w:val="center"/>
                </w:tcPr>
                <w:p w14:paraId="251180D1">
                  <w:pPr>
                    <w:jc w:val="center"/>
                    <w:rPr>
                      <w:rFonts w:hint="eastAsia"/>
                      <w:color w:val="auto"/>
                      <w:szCs w:val="21"/>
                    </w:rPr>
                  </w:pPr>
                </w:p>
              </w:tc>
            </w:tr>
            <w:tr w14:paraId="56633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78" w:type="pct"/>
                  <w:vMerge w:val="continue"/>
                  <w:vAlign w:val="center"/>
                </w:tcPr>
                <w:p w14:paraId="42958CD5">
                  <w:pPr>
                    <w:jc w:val="center"/>
                    <w:rPr>
                      <w:color w:val="auto"/>
                    </w:rPr>
                  </w:pPr>
                </w:p>
              </w:tc>
              <w:tc>
                <w:tcPr>
                  <w:tcW w:w="215" w:type="pct"/>
                  <w:vMerge w:val="continue"/>
                  <w:vAlign w:val="center"/>
                </w:tcPr>
                <w:p w14:paraId="275B4D7C">
                  <w:pPr>
                    <w:jc w:val="center"/>
                    <w:rPr>
                      <w:color w:val="auto"/>
                    </w:rPr>
                  </w:pPr>
                </w:p>
              </w:tc>
              <w:tc>
                <w:tcPr>
                  <w:tcW w:w="331" w:type="pct"/>
                  <w:vMerge w:val="continue"/>
                  <w:vAlign w:val="center"/>
                </w:tcPr>
                <w:p w14:paraId="65B05271">
                  <w:pPr>
                    <w:jc w:val="center"/>
                    <w:rPr>
                      <w:color w:val="auto"/>
                    </w:rPr>
                  </w:pPr>
                </w:p>
              </w:tc>
              <w:tc>
                <w:tcPr>
                  <w:tcW w:w="225" w:type="pct"/>
                  <w:vMerge w:val="continue"/>
                  <w:shd w:val="clear" w:color="auto" w:fill="auto"/>
                  <w:vAlign w:val="center"/>
                </w:tcPr>
                <w:p w14:paraId="3970EB57">
                  <w:pPr>
                    <w:jc w:val="center"/>
                    <w:rPr>
                      <w:color w:val="auto"/>
                    </w:rPr>
                  </w:pPr>
                </w:p>
              </w:tc>
              <w:tc>
                <w:tcPr>
                  <w:tcW w:w="308" w:type="pct"/>
                  <w:vMerge w:val="continue"/>
                  <w:vAlign w:val="center"/>
                </w:tcPr>
                <w:p w14:paraId="04D091D8">
                  <w:pPr>
                    <w:jc w:val="center"/>
                    <w:rPr>
                      <w:color w:val="auto"/>
                    </w:rPr>
                  </w:pPr>
                </w:p>
              </w:tc>
              <w:tc>
                <w:tcPr>
                  <w:tcW w:w="357" w:type="pct"/>
                  <w:vMerge w:val="continue"/>
                  <w:vAlign w:val="center"/>
                </w:tcPr>
                <w:p w14:paraId="1D1AE173">
                  <w:pPr>
                    <w:jc w:val="center"/>
                    <w:rPr>
                      <w:color w:val="auto"/>
                    </w:rPr>
                  </w:pPr>
                </w:p>
              </w:tc>
              <w:tc>
                <w:tcPr>
                  <w:tcW w:w="295" w:type="pct"/>
                  <w:vMerge w:val="continue"/>
                  <w:vAlign w:val="center"/>
                </w:tcPr>
                <w:p w14:paraId="5269E961">
                  <w:pPr>
                    <w:jc w:val="center"/>
                    <w:rPr>
                      <w:color w:val="auto"/>
                    </w:rPr>
                  </w:pPr>
                </w:p>
              </w:tc>
              <w:tc>
                <w:tcPr>
                  <w:tcW w:w="344" w:type="pct"/>
                  <w:vMerge w:val="continue"/>
                  <w:vAlign w:val="center"/>
                </w:tcPr>
                <w:p w14:paraId="32D2378E">
                  <w:pPr>
                    <w:jc w:val="center"/>
                    <w:rPr>
                      <w:color w:val="auto"/>
                    </w:rPr>
                  </w:pPr>
                </w:p>
              </w:tc>
              <w:tc>
                <w:tcPr>
                  <w:tcW w:w="217" w:type="pct"/>
                  <w:vMerge w:val="continue"/>
                  <w:vAlign w:val="center"/>
                </w:tcPr>
                <w:p w14:paraId="2920ACF3">
                  <w:pPr>
                    <w:jc w:val="center"/>
                    <w:rPr>
                      <w:color w:val="auto"/>
                    </w:rPr>
                  </w:pPr>
                </w:p>
              </w:tc>
              <w:tc>
                <w:tcPr>
                  <w:tcW w:w="302" w:type="pct"/>
                  <w:shd w:val="clear" w:color="auto" w:fill="auto"/>
                  <w:vAlign w:val="center"/>
                </w:tcPr>
                <w:p w14:paraId="54B740D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77" w:type="pct"/>
                  <w:shd w:val="clear" w:color="auto" w:fill="auto"/>
                  <w:vAlign w:val="center"/>
                </w:tcPr>
                <w:p w14:paraId="60F3AF64">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w:t>
                  </w:r>
                </w:p>
              </w:tc>
              <w:tc>
                <w:tcPr>
                  <w:tcW w:w="386" w:type="pct"/>
                  <w:vAlign w:val="center"/>
                </w:tcPr>
                <w:p w14:paraId="18130458">
                  <w:pPr>
                    <w:jc w:val="center"/>
                    <w:rPr>
                      <w:rFonts w:hint="default"/>
                      <w:color w:val="auto"/>
                      <w:szCs w:val="21"/>
                      <w:lang w:val="en-US" w:eastAsia="zh-CN"/>
                    </w:rPr>
                  </w:pPr>
                  <w:r>
                    <w:rPr>
                      <w:rFonts w:hint="eastAsia"/>
                      <w:color w:val="auto"/>
                      <w:szCs w:val="21"/>
                      <w:lang w:val="en-US" w:eastAsia="zh-CN"/>
                    </w:rPr>
                    <w:t>/</w:t>
                  </w:r>
                </w:p>
              </w:tc>
              <w:tc>
                <w:tcPr>
                  <w:tcW w:w="348" w:type="pct"/>
                  <w:vMerge w:val="continue"/>
                  <w:vAlign w:val="center"/>
                </w:tcPr>
                <w:p w14:paraId="602971D4">
                  <w:pPr>
                    <w:jc w:val="center"/>
                    <w:rPr>
                      <w:rFonts w:hint="eastAsia"/>
                      <w:color w:val="auto"/>
                      <w:szCs w:val="21"/>
                      <w:lang w:val="en-US" w:eastAsia="zh-CN"/>
                    </w:rPr>
                  </w:pPr>
                </w:p>
              </w:tc>
              <w:tc>
                <w:tcPr>
                  <w:tcW w:w="422" w:type="pct"/>
                  <w:vMerge w:val="continue"/>
                  <w:vAlign w:val="center"/>
                </w:tcPr>
                <w:p w14:paraId="5C6130D9">
                  <w:pPr>
                    <w:jc w:val="center"/>
                    <w:rPr>
                      <w:rFonts w:hint="eastAsia"/>
                      <w:color w:val="auto"/>
                      <w:szCs w:val="21"/>
                      <w:lang w:val="en-US" w:eastAsia="zh-CN"/>
                    </w:rPr>
                  </w:pPr>
                </w:p>
              </w:tc>
              <w:tc>
                <w:tcPr>
                  <w:tcW w:w="377" w:type="pct"/>
                  <w:vAlign w:val="center"/>
                </w:tcPr>
                <w:p w14:paraId="4036EB57">
                  <w:pPr>
                    <w:jc w:val="center"/>
                    <w:rPr>
                      <w:rFonts w:hint="default"/>
                      <w:color w:val="auto"/>
                      <w:szCs w:val="21"/>
                      <w:lang w:val="en-US" w:eastAsia="zh-CN"/>
                    </w:rPr>
                  </w:pPr>
                  <w:r>
                    <w:rPr>
                      <w:rFonts w:hint="eastAsia"/>
                      <w:color w:val="auto"/>
                      <w:szCs w:val="21"/>
                      <w:lang w:val="en-US" w:eastAsia="zh-CN"/>
                    </w:rPr>
                    <w:t>53.5</w:t>
                  </w:r>
                </w:p>
              </w:tc>
              <w:tc>
                <w:tcPr>
                  <w:tcW w:w="410" w:type="pct"/>
                  <w:vMerge w:val="continue"/>
                  <w:vAlign w:val="center"/>
                </w:tcPr>
                <w:p w14:paraId="5EEDA2CB">
                  <w:pPr>
                    <w:jc w:val="center"/>
                    <w:rPr>
                      <w:rFonts w:hint="eastAsia"/>
                      <w:color w:val="auto"/>
                      <w:szCs w:val="21"/>
                      <w:lang w:val="en-US" w:eastAsia="zh-CN"/>
                    </w:rPr>
                  </w:pPr>
                </w:p>
              </w:tc>
            </w:tr>
            <w:tr w14:paraId="6A346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78" w:type="pct"/>
                  <w:vMerge w:val="continue"/>
                  <w:vAlign w:val="center"/>
                </w:tcPr>
                <w:p w14:paraId="3E557AF5">
                  <w:pPr>
                    <w:jc w:val="center"/>
                    <w:rPr>
                      <w:rFonts w:hint="eastAsia"/>
                      <w:color w:val="auto"/>
                      <w:szCs w:val="21"/>
                      <w:lang w:val="en-US" w:eastAsia="zh-CN"/>
                    </w:rPr>
                  </w:pPr>
                </w:p>
              </w:tc>
              <w:tc>
                <w:tcPr>
                  <w:tcW w:w="215" w:type="pct"/>
                  <w:vMerge w:val="continue"/>
                  <w:vAlign w:val="center"/>
                </w:tcPr>
                <w:p w14:paraId="39B81BB3">
                  <w:pPr>
                    <w:jc w:val="center"/>
                    <w:rPr>
                      <w:rFonts w:hint="eastAsia"/>
                      <w:color w:val="auto"/>
                      <w:szCs w:val="21"/>
                      <w:lang w:val="en-US" w:eastAsia="zh-CN"/>
                    </w:rPr>
                  </w:pPr>
                </w:p>
              </w:tc>
              <w:tc>
                <w:tcPr>
                  <w:tcW w:w="331" w:type="pct"/>
                  <w:vMerge w:val="continue"/>
                  <w:vAlign w:val="center"/>
                </w:tcPr>
                <w:p w14:paraId="3F2DCB5D">
                  <w:pPr>
                    <w:jc w:val="center"/>
                    <w:rPr>
                      <w:rFonts w:hint="eastAsia"/>
                      <w:color w:val="auto"/>
                      <w:szCs w:val="21"/>
                      <w:lang w:val="en-US" w:eastAsia="zh-CN"/>
                    </w:rPr>
                  </w:pPr>
                </w:p>
              </w:tc>
              <w:tc>
                <w:tcPr>
                  <w:tcW w:w="225" w:type="pct"/>
                  <w:vMerge w:val="continue"/>
                  <w:shd w:val="clear" w:color="auto" w:fill="auto"/>
                  <w:vAlign w:val="center"/>
                </w:tcPr>
                <w:p w14:paraId="61DF4D10">
                  <w:pPr>
                    <w:jc w:val="center"/>
                    <w:rPr>
                      <w:rFonts w:hint="eastAsia"/>
                      <w:color w:val="auto"/>
                      <w:szCs w:val="21"/>
                      <w:lang w:val="en-US" w:eastAsia="zh-CN"/>
                    </w:rPr>
                  </w:pPr>
                </w:p>
              </w:tc>
              <w:tc>
                <w:tcPr>
                  <w:tcW w:w="308" w:type="pct"/>
                  <w:vMerge w:val="continue"/>
                  <w:vAlign w:val="center"/>
                </w:tcPr>
                <w:p w14:paraId="0642A964">
                  <w:pPr>
                    <w:jc w:val="center"/>
                    <w:rPr>
                      <w:rFonts w:hint="eastAsia"/>
                      <w:color w:val="auto"/>
                      <w:szCs w:val="21"/>
                      <w:lang w:val="en-US" w:eastAsia="zh-CN"/>
                    </w:rPr>
                  </w:pPr>
                </w:p>
              </w:tc>
              <w:tc>
                <w:tcPr>
                  <w:tcW w:w="357" w:type="pct"/>
                  <w:vMerge w:val="continue"/>
                  <w:vAlign w:val="center"/>
                </w:tcPr>
                <w:p w14:paraId="077B6BE8">
                  <w:pPr>
                    <w:jc w:val="center"/>
                    <w:rPr>
                      <w:rFonts w:hint="eastAsia"/>
                      <w:color w:val="auto"/>
                      <w:szCs w:val="21"/>
                      <w:lang w:val="en-US" w:eastAsia="zh-CN"/>
                    </w:rPr>
                  </w:pPr>
                </w:p>
              </w:tc>
              <w:tc>
                <w:tcPr>
                  <w:tcW w:w="295" w:type="pct"/>
                  <w:vMerge w:val="continue"/>
                  <w:vAlign w:val="center"/>
                </w:tcPr>
                <w:p w14:paraId="37745E3C">
                  <w:pPr>
                    <w:jc w:val="center"/>
                    <w:rPr>
                      <w:rFonts w:hint="eastAsia"/>
                      <w:color w:val="auto"/>
                      <w:szCs w:val="21"/>
                      <w:lang w:val="en-US" w:eastAsia="zh-CN"/>
                    </w:rPr>
                  </w:pPr>
                </w:p>
              </w:tc>
              <w:tc>
                <w:tcPr>
                  <w:tcW w:w="344" w:type="pct"/>
                  <w:vMerge w:val="continue"/>
                  <w:vAlign w:val="center"/>
                </w:tcPr>
                <w:p w14:paraId="53B0324C">
                  <w:pPr>
                    <w:jc w:val="center"/>
                    <w:rPr>
                      <w:rFonts w:hint="eastAsia"/>
                      <w:color w:val="auto"/>
                      <w:szCs w:val="21"/>
                      <w:lang w:val="en-US" w:eastAsia="zh-CN"/>
                    </w:rPr>
                  </w:pPr>
                </w:p>
              </w:tc>
              <w:tc>
                <w:tcPr>
                  <w:tcW w:w="217" w:type="pct"/>
                  <w:vMerge w:val="continue"/>
                  <w:vAlign w:val="center"/>
                </w:tcPr>
                <w:p w14:paraId="4DD8D670">
                  <w:pPr>
                    <w:jc w:val="center"/>
                    <w:rPr>
                      <w:rFonts w:hint="eastAsia"/>
                      <w:color w:val="auto"/>
                      <w:szCs w:val="21"/>
                      <w:lang w:val="en-US" w:eastAsia="zh-CN"/>
                    </w:rPr>
                  </w:pPr>
                </w:p>
              </w:tc>
              <w:tc>
                <w:tcPr>
                  <w:tcW w:w="302" w:type="pct"/>
                  <w:shd w:val="clear" w:color="auto" w:fill="auto"/>
                  <w:vAlign w:val="center"/>
                </w:tcPr>
                <w:p w14:paraId="6500009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77" w:type="pct"/>
                  <w:shd w:val="clear" w:color="auto" w:fill="auto"/>
                  <w:vAlign w:val="center"/>
                </w:tcPr>
                <w:p w14:paraId="0738A50A">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2</w:t>
                  </w:r>
                </w:p>
              </w:tc>
              <w:tc>
                <w:tcPr>
                  <w:tcW w:w="386" w:type="pct"/>
                  <w:vAlign w:val="center"/>
                </w:tcPr>
                <w:p w14:paraId="5C70B424">
                  <w:pPr>
                    <w:jc w:val="center"/>
                    <w:rPr>
                      <w:rFonts w:hint="default"/>
                      <w:color w:val="auto"/>
                      <w:szCs w:val="21"/>
                      <w:lang w:val="en-US" w:eastAsia="zh-CN"/>
                    </w:rPr>
                  </w:pPr>
                  <w:r>
                    <w:rPr>
                      <w:rFonts w:hint="eastAsia"/>
                      <w:color w:val="auto"/>
                      <w:szCs w:val="21"/>
                      <w:lang w:val="en-US" w:eastAsia="zh-CN"/>
                    </w:rPr>
                    <w:t>/</w:t>
                  </w:r>
                </w:p>
              </w:tc>
              <w:tc>
                <w:tcPr>
                  <w:tcW w:w="348" w:type="pct"/>
                  <w:vMerge w:val="continue"/>
                  <w:vAlign w:val="center"/>
                </w:tcPr>
                <w:p w14:paraId="4471E2FF">
                  <w:pPr>
                    <w:jc w:val="center"/>
                    <w:rPr>
                      <w:rFonts w:hint="eastAsia"/>
                      <w:color w:val="auto"/>
                      <w:szCs w:val="21"/>
                      <w:lang w:val="en-US" w:eastAsia="zh-CN"/>
                    </w:rPr>
                  </w:pPr>
                </w:p>
              </w:tc>
              <w:tc>
                <w:tcPr>
                  <w:tcW w:w="422" w:type="pct"/>
                  <w:vMerge w:val="continue"/>
                  <w:vAlign w:val="center"/>
                </w:tcPr>
                <w:p w14:paraId="1A862696">
                  <w:pPr>
                    <w:jc w:val="center"/>
                    <w:rPr>
                      <w:rFonts w:hint="eastAsia"/>
                      <w:color w:val="auto"/>
                      <w:szCs w:val="21"/>
                      <w:lang w:val="en-US" w:eastAsia="zh-CN"/>
                    </w:rPr>
                  </w:pPr>
                </w:p>
              </w:tc>
              <w:tc>
                <w:tcPr>
                  <w:tcW w:w="377" w:type="pct"/>
                  <w:vAlign w:val="center"/>
                </w:tcPr>
                <w:p w14:paraId="07BD97A8">
                  <w:pPr>
                    <w:jc w:val="center"/>
                    <w:rPr>
                      <w:rFonts w:hint="default"/>
                      <w:color w:val="auto"/>
                      <w:szCs w:val="21"/>
                      <w:lang w:val="en-US" w:eastAsia="zh-CN"/>
                    </w:rPr>
                  </w:pPr>
                  <w:r>
                    <w:rPr>
                      <w:rFonts w:hint="eastAsia"/>
                      <w:color w:val="auto"/>
                      <w:szCs w:val="21"/>
                      <w:lang w:val="en-US" w:eastAsia="zh-CN"/>
                    </w:rPr>
                    <w:t>54.1</w:t>
                  </w:r>
                </w:p>
              </w:tc>
              <w:tc>
                <w:tcPr>
                  <w:tcW w:w="410" w:type="pct"/>
                  <w:vMerge w:val="continue"/>
                  <w:vAlign w:val="center"/>
                </w:tcPr>
                <w:p w14:paraId="5E55B2EF">
                  <w:pPr>
                    <w:jc w:val="center"/>
                    <w:rPr>
                      <w:rFonts w:hint="eastAsia"/>
                      <w:color w:val="auto"/>
                      <w:szCs w:val="21"/>
                      <w:lang w:val="en-US" w:eastAsia="zh-CN"/>
                    </w:rPr>
                  </w:pPr>
                </w:p>
              </w:tc>
            </w:tr>
            <w:tr w14:paraId="23C50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78" w:type="pct"/>
                  <w:vMerge w:val="continue"/>
                  <w:vAlign w:val="center"/>
                </w:tcPr>
                <w:p w14:paraId="68AE5B0B">
                  <w:pPr>
                    <w:jc w:val="center"/>
                    <w:rPr>
                      <w:rFonts w:hint="eastAsia"/>
                      <w:color w:val="auto"/>
                      <w:szCs w:val="21"/>
                      <w:lang w:val="en-US" w:eastAsia="zh-CN"/>
                    </w:rPr>
                  </w:pPr>
                </w:p>
              </w:tc>
              <w:tc>
                <w:tcPr>
                  <w:tcW w:w="215" w:type="pct"/>
                  <w:vMerge w:val="continue"/>
                  <w:vAlign w:val="center"/>
                </w:tcPr>
                <w:p w14:paraId="4583F70F">
                  <w:pPr>
                    <w:jc w:val="center"/>
                    <w:rPr>
                      <w:rFonts w:hint="eastAsia"/>
                      <w:color w:val="auto"/>
                      <w:szCs w:val="21"/>
                      <w:lang w:val="en-US" w:eastAsia="zh-CN"/>
                    </w:rPr>
                  </w:pPr>
                </w:p>
              </w:tc>
              <w:tc>
                <w:tcPr>
                  <w:tcW w:w="331" w:type="pct"/>
                  <w:vMerge w:val="continue"/>
                  <w:vAlign w:val="center"/>
                </w:tcPr>
                <w:p w14:paraId="56372C3A">
                  <w:pPr>
                    <w:jc w:val="center"/>
                    <w:rPr>
                      <w:rFonts w:hint="eastAsia"/>
                      <w:color w:val="auto"/>
                      <w:szCs w:val="21"/>
                      <w:lang w:val="en-US" w:eastAsia="zh-CN"/>
                    </w:rPr>
                  </w:pPr>
                </w:p>
              </w:tc>
              <w:tc>
                <w:tcPr>
                  <w:tcW w:w="225" w:type="pct"/>
                  <w:vMerge w:val="continue"/>
                  <w:shd w:val="clear" w:color="auto" w:fill="auto"/>
                  <w:vAlign w:val="center"/>
                </w:tcPr>
                <w:p w14:paraId="198E7188">
                  <w:pPr>
                    <w:jc w:val="center"/>
                    <w:rPr>
                      <w:rFonts w:hint="eastAsia"/>
                      <w:color w:val="auto"/>
                      <w:szCs w:val="21"/>
                      <w:lang w:val="en-US" w:eastAsia="zh-CN"/>
                    </w:rPr>
                  </w:pPr>
                </w:p>
              </w:tc>
              <w:tc>
                <w:tcPr>
                  <w:tcW w:w="308" w:type="pct"/>
                  <w:vMerge w:val="continue"/>
                  <w:vAlign w:val="center"/>
                </w:tcPr>
                <w:p w14:paraId="63A21675">
                  <w:pPr>
                    <w:jc w:val="center"/>
                    <w:rPr>
                      <w:rFonts w:hint="eastAsia"/>
                      <w:color w:val="auto"/>
                      <w:szCs w:val="21"/>
                      <w:lang w:val="en-US" w:eastAsia="zh-CN"/>
                    </w:rPr>
                  </w:pPr>
                </w:p>
              </w:tc>
              <w:tc>
                <w:tcPr>
                  <w:tcW w:w="357" w:type="pct"/>
                  <w:vMerge w:val="continue"/>
                  <w:vAlign w:val="center"/>
                </w:tcPr>
                <w:p w14:paraId="56FB0A4A">
                  <w:pPr>
                    <w:jc w:val="center"/>
                    <w:rPr>
                      <w:rFonts w:hint="eastAsia"/>
                      <w:color w:val="auto"/>
                      <w:szCs w:val="21"/>
                      <w:lang w:val="en-US" w:eastAsia="zh-CN"/>
                    </w:rPr>
                  </w:pPr>
                </w:p>
              </w:tc>
              <w:tc>
                <w:tcPr>
                  <w:tcW w:w="295" w:type="pct"/>
                  <w:vMerge w:val="continue"/>
                  <w:vAlign w:val="center"/>
                </w:tcPr>
                <w:p w14:paraId="2CBCE560">
                  <w:pPr>
                    <w:jc w:val="center"/>
                    <w:rPr>
                      <w:rFonts w:hint="eastAsia"/>
                      <w:color w:val="auto"/>
                      <w:szCs w:val="21"/>
                      <w:lang w:val="en-US" w:eastAsia="zh-CN"/>
                    </w:rPr>
                  </w:pPr>
                </w:p>
              </w:tc>
              <w:tc>
                <w:tcPr>
                  <w:tcW w:w="344" w:type="pct"/>
                  <w:vMerge w:val="continue"/>
                  <w:vAlign w:val="center"/>
                </w:tcPr>
                <w:p w14:paraId="5A50DBCE">
                  <w:pPr>
                    <w:jc w:val="center"/>
                    <w:rPr>
                      <w:rFonts w:hint="eastAsia"/>
                      <w:color w:val="auto"/>
                      <w:szCs w:val="21"/>
                      <w:lang w:val="en-US" w:eastAsia="zh-CN"/>
                    </w:rPr>
                  </w:pPr>
                </w:p>
              </w:tc>
              <w:tc>
                <w:tcPr>
                  <w:tcW w:w="217" w:type="pct"/>
                  <w:vMerge w:val="continue"/>
                  <w:vAlign w:val="center"/>
                </w:tcPr>
                <w:p w14:paraId="1B1FDCE5">
                  <w:pPr>
                    <w:jc w:val="center"/>
                    <w:rPr>
                      <w:rFonts w:hint="eastAsia"/>
                      <w:color w:val="auto"/>
                      <w:szCs w:val="21"/>
                      <w:lang w:val="en-US" w:eastAsia="zh-CN"/>
                    </w:rPr>
                  </w:pPr>
                </w:p>
              </w:tc>
              <w:tc>
                <w:tcPr>
                  <w:tcW w:w="302" w:type="pct"/>
                  <w:shd w:val="clear" w:color="auto" w:fill="auto"/>
                  <w:vAlign w:val="center"/>
                </w:tcPr>
                <w:p w14:paraId="25312CA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77" w:type="pct"/>
                  <w:shd w:val="clear" w:color="auto" w:fill="auto"/>
                  <w:vAlign w:val="center"/>
                </w:tcPr>
                <w:p w14:paraId="2D4B59A7">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19</w:t>
                  </w:r>
                </w:p>
              </w:tc>
              <w:tc>
                <w:tcPr>
                  <w:tcW w:w="386" w:type="pct"/>
                  <w:vAlign w:val="center"/>
                </w:tcPr>
                <w:p w14:paraId="7E4AD793">
                  <w:pPr>
                    <w:jc w:val="center"/>
                    <w:rPr>
                      <w:rFonts w:hint="default"/>
                      <w:color w:val="auto"/>
                      <w:szCs w:val="21"/>
                      <w:lang w:val="en-US" w:eastAsia="zh-CN"/>
                    </w:rPr>
                  </w:pPr>
                  <w:r>
                    <w:rPr>
                      <w:rFonts w:hint="eastAsia"/>
                      <w:color w:val="auto"/>
                      <w:szCs w:val="21"/>
                      <w:lang w:val="en-US" w:eastAsia="zh-CN"/>
                    </w:rPr>
                    <w:t>/</w:t>
                  </w:r>
                </w:p>
              </w:tc>
              <w:tc>
                <w:tcPr>
                  <w:tcW w:w="348" w:type="pct"/>
                  <w:vMerge w:val="continue"/>
                  <w:vAlign w:val="center"/>
                </w:tcPr>
                <w:p w14:paraId="01F711B9">
                  <w:pPr>
                    <w:jc w:val="center"/>
                    <w:rPr>
                      <w:rFonts w:hint="eastAsia"/>
                      <w:color w:val="auto"/>
                      <w:szCs w:val="21"/>
                      <w:lang w:val="en-US" w:eastAsia="zh-CN"/>
                    </w:rPr>
                  </w:pPr>
                </w:p>
              </w:tc>
              <w:tc>
                <w:tcPr>
                  <w:tcW w:w="422" w:type="pct"/>
                  <w:vMerge w:val="continue"/>
                  <w:vAlign w:val="center"/>
                </w:tcPr>
                <w:p w14:paraId="3D1FBB23">
                  <w:pPr>
                    <w:jc w:val="center"/>
                    <w:rPr>
                      <w:rFonts w:hint="eastAsia"/>
                      <w:color w:val="auto"/>
                      <w:szCs w:val="21"/>
                      <w:lang w:val="en-US" w:eastAsia="zh-CN"/>
                    </w:rPr>
                  </w:pPr>
                </w:p>
              </w:tc>
              <w:tc>
                <w:tcPr>
                  <w:tcW w:w="377" w:type="pct"/>
                  <w:vAlign w:val="center"/>
                </w:tcPr>
                <w:p w14:paraId="5AE03D73">
                  <w:pPr>
                    <w:jc w:val="center"/>
                    <w:rPr>
                      <w:rFonts w:hint="default"/>
                      <w:color w:val="auto"/>
                      <w:szCs w:val="21"/>
                      <w:lang w:val="en-US" w:eastAsia="zh-CN"/>
                    </w:rPr>
                  </w:pPr>
                  <w:r>
                    <w:rPr>
                      <w:rFonts w:hint="eastAsia"/>
                      <w:color w:val="auto"/>
                      <w:szCs w:val="21"/>
                      <w:lang w:val="en-US" w:eastAsia="zh-CN"/>
                    </w:rPr>
                    <w:t>50.2</w:t>
                  </w:r>
                </w:p>
              </w:tc>
              <w:tc>
                <w:tcPr>
                  <w:tcW w:w="410" w:type="pct"/>
                  <w:vMerge w:val="continue"/>
                  <w:vAlign w:val="center"/>
                </w:tcPr>
                <w:p w14:paraId="5D259290">
                  <w:pPr>
                    <w:jc w:val="center"/>
                    <w:rPr>
                      <w:rFonts w:hint="eastAsia"/>
                      <w:color w:val="auto"/>
                      <w:szCs w:val="21"/>
                      <w:lang w:val="en-US" w:eastAsia="zh-CN"/>
                    </w:rPr>
                  </w:pPr>
                </w:p>
              </w:tc>
            </w:tr>
            <w:tr w14:paraId="0C0E5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restart"/>
                  <w:vAlign w:val="center"/>
                </w:tcPr>
                <w:p w14:paraId="106A68AA">
                  <w:pPr>
                    <w:jc w:val="center"/>
                    <w:rPr>
                      <w:rFonts w:hint="eastAsia"/>
                      <w:color w:val="auto"/>
                      <w:szCs w:val="21"/>
                      <w:lang w:val="en-US" w:eastAsia="zh-CN"/>
                    </w:rPr>
                  </w:pPr>
                </w:p>
              </w:tc>
              <w:tc>
                <w:tcPr>
                  <w:tcW w:w="215" w:type="pct"/>
                  <w:vMerge w:val="continue"/>
                  <w:vAlign w:val="center"/>
                </w:tcPr>
                <w:p w14:paraId="14D57DC9">
                  <w:pPr>
                    <w:jc w:val="center"/>
                    <w:rPr>
                      <w:rFonts w:hint="eastAsia"/>
                      <w:color w:val="auto"/>
                      <w:szCs w:val="21"/>
                      <w:lang w:val="en-US" w:eastAsia="zh-CN"/>
                    </w:rPr>
                  </w:pPr>
                </w:p>
              </w:tc>
              <w:tc>
                <w:tcPr>
                  <w:tcW w:w="331" w:type="pct"/>
                  <w:vMerge w:val="restart"/>
                  <w:shd w:val="clear" w:color="auto" w:fill="auto"/>
                  <w:vAlign w:val="center"/>
                </w:tcPr>
                <w:p w14:paraId="7F30C51B">
                  <w:pPr>
                    <w:jc w:val="center"/>
                    <w:rPr>
                      <w:rFonts w:hint="eastAsia"/>
                      <w:color w:val="auto"/>
                      <w:szCs w:val="21"/>
                      <w:lang w:val="en-US" w:eastAsia="zh-CN"/>
                    </w:rPr>
                  </w:pPr>
                  <w:r>
                    <w:rPr>
                      <w:rFonts w:hint="eastAsia" w:ascii="Times New Roman" w:hAnsi="Times New Roman" w:cs="Times New Roman"/>
                      <w:color w:val="auto"/>
                      <w:kern w:val="2"/>
                      <w:sz w:val="21"/>
                      <w:szCs w:val="21"/>
                      <w:lang w:val="en-US" w:eastAsia="zh-CN" w:bidi="ar-SA"/>
                    </w:rPr>
                    <w:t>风机</w:t>
                  </w:r>
                </w:p>
              </w:tc>
              <w:tc>
                <w:tcPr>
                  <w:tcW w:w="225" w:type="pct"/>
                  <w:vMerge w:val="restart"/>
                  <w:shd w:val="clear" w:color="auto" w:fill="auto"/>
                  <w:vAlign w:val="center"/>
                </w:tcPr>
                <w:p w14:paraId="0E3EABC7">
                  <w:pPr>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1</w:t>
                  </w:r>
                </w:p>
              </w:tc>
              <w:tc>
                <w:tcPr>
                  <w:tcW w:w="308" w:type="pct"/>
                  <w:vMerge w:val="restart"/>
                  <w:shd w:val="clear" w:color="auto" w:fill="auto"/>
                  <w:vAlign w:val="center"/>
                </w:tcPr>
                <w:p w14:paraId="7331EC0D">
                  <w:pPr>
                    <w:jc w:val="center"/>
                    <w:rPr>
                      <w:rFonts w:hint="eastAsia"/>
                      <w:color w:val="auto"/>
                      <w:szCs w:val="21"/>
                      <w:lang w:val="en-US" w:eastAsia="zh-CN"/>
                    </w:rPr>
                  </w:pPr>
                  <w:r>
                    <w:rPr>
                      <w:rFonts w:hint="eastAsia" w:ascii="Times New Roman" w:hAnsi="Times New Roman" w:cs="Times New Roman"/>
                      <w:color w:val="auto"/>
                      <w:szCs w:val="21"/>
                      <w:lang w:val="en-US" w:eastAsia="zh-CN"/>
                    </w:rPr>
                    <w:t>85</w:t>
                  </w:r>
                  <w:r>
                    <w:rPr>
                      <w:rFonts w:hint="eastAsia" w:ascii="Times New Roman" w:hAnsi="Times New Roman" w:eastAsia="宋体" w:cs="Times New Roman"/>
                      <w:color w:val="auto"/>
                      <w:szCs w:val="21"/>
                      <w:lang w:val="en-US" w:eastAsia="zh-CN"/>
                    </w:rPr>
                    <w:t>-</w:t>
                  </w:r>
                  <w:r>
                    <w:rPr>
                      <w:rFonts w:hint="eastAsia" w:ascii="Times New Roman" w:hAnsi="Times New Roman" w:cs="Times New Roman"/>
                      <w:color w:val="auto"/>
                      <w:szCs w:val="21"/>
                      <w:lang w:val="en-US" w:eastAsia="zh-CN"/>
                    </w:rPr>
                    <w:t>90</w:t>
                  </w:r>
                </w:p>
              </w:tc>
              <w:tc>
                <w:tcPr>
                  <w:tcW w:w="357" w:type="pct"/>
                  <w:vMerge w:val="restart"/>
                  <w:shd w:val="clear" w:color="auto" w:fill="auto"/>
                  <w:vAlign w:val="center"/>
                </w:tcPr>
                <w:p w14:paraId="61D5CB24">
                  <w:pPr>
                    <w:jc w:val="center"/>
                    <w:rPr>
                      <w:rFonts w:hint="eastAsia"/>
                      <w:color w:val="auto"/>
                      <w:szCs w:val="21"/>
                      <w:lang w:val="en-US" w:eastAsia="zh-CN"/>
                    </w:rPr>
                  </w:pPr>
                  <w:r>
                    <w:rPr>
                      <w:rFonts w:hint="eastAsia"/>
                      <w:color w:val="auto"/>
                      <w:szCs w:val="21"/>
                      <w:lang w:val="en-US" w:eastAsia="zh-CN"/>
                    </w:rPr>
                    <w:t>减振垫</w:t>
                  </w:r>
                </w:p>
              </w:tc>
              <w:tc>
                <w:tcPr>
                  <w:tcW w:w="295" w:type="pct"/>
                  <w:vMerge w:val="restart"/>
                  <w:shd w:val="clear" w:color="auto" w:fill="auto"/>
                  <w:vAlign w:val="center"/>
                </w:tcPr>
                <w:p w14:paraId="6CA75152">
                  <w:pPr>
                    <w:jc w:val="center"/>
                    <w:rPr>
                      <w:rFonts w:hint="default"/>
                      <w:color w:val="auto"/>
                      <w:szCs w:val="21"/>
                      <w:lang w:val="en-US" w:eastAsia="zh-CN"/>
                    </w:rPr>
                  </w:pPr>
                  <w:r>
                    <w:rPr>
                      <w:rFonts w:hint="eastAsia"/>
                      <w:color w:val="auto"/>
                      <w:szCs w:val="21"/>
                      <w:lang w:val="en-US" w:eastAsia="zh-CN"/>
                    </w:rPr>
                    <w:t>4</w:t>
                  </w:r>
                </w:p>
              </w:tc>
              <w:tc>
                <w:tcPr>
                  <w:tcW w:w="344" w:type="pct"/>
                  <w:vMerge w:val="restart"/>
                  <w:shd w:val="clear" w:color="auto" w:fill="auto"/>
                  <w:vAlign w:val="center"/>
                </w:tcPr>
                <w:p w14:paraId="065FE826">
                  <w:pPr>
                    <w:jc w:val="center"/>
                    <w:rPr>
                      <w:rFonts w:hint="eastAsia"/>
                      <w:color w:val="auto"/>
                      <w:szCs w:val="21"/>
                      <w:lang w:val="en-US" w:eastAsia="zh-CN"/>
                    </w:rPr>
                  </w:pPr>
                  <w:r>
                    <w:rPr>
                      <w:rFonts w:hint="eastAsia" w:cs="Times New Roman"/>
                      <w:color w:val="auto"/>
                      <w:kern w:val="2"/>
                      <w:sz w:val="21"/>
                      <w:szCs w:val="21"/>
                      <w:lang w:val="en-US" w:eastAsia="zh-CN" w:bidi="ar-SA"/>
                    </w:rPr>
                    <w:t>5</w:t>
                  </w:r>
                </w:p>
              </w:tc>
              <w:tc>
                <w:tcPr>
                  <w:tcW w:w="217" w:type="pct"/>
                  <w:vMerge w:val="restart"/>
                  <w:shd w:val="clear" w:color="auto" w:fill="auto"/>
                  <w:vAlign w:val="center"/>
                </w:tcPr>
                <w:p w14:paraId="1B4AD870">
                  <w:pPr>
                    <w:jc w:val="center"/>
                    <w:rPr>
                      <w:rFonts w:hint="eastAsia"/>
                      <w:color w:val="auto"/>
                      <w:szCs w:val="21"/>
                      <w:lang w:val="en-US" w:eastAsia="zh-CN"/>
                    </w:rPr>
                  </w:pPr>
                  <w:r>
                    <w:rPr>
                      <w:rFonts w:hint="eastAsia" w:cs="Times New Roman"/>
                      <w:color w:val="auto"/>
                      <w:kern w:val="2"/>
                      <w:sz w:val="21"/>
                      <w:szCs w:val="21"/>
                      <w:lang w:val="en-US" w:eastAsia="zh-CN" w:bidi="ar-SA"/>
                    </w:rPr>
                    <w:t>21</w:t>
                  </w:r>
                </w:p>
              </w:tc>
              <w:tc>
                <w:tcPr>
                  <w:tcW w:w="302" w:type="pct"/>
                  <w:shd w:val="clear" w:color="auto" w:fill="auto"/>
                  <w:vAlign w:val="center"/>
                </w:tcPr>
                <w:p w14:paraId="439F9FB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77" w:type="pct"/>
                  <w:shd w:val="clear" w:color="auto" w:fill="auto"/>
                  <w:vAlign w:val="center"/>
                </w:tcPr>
                <w:p w14:paraId="2DD3C11F">
                  <w:pPr>
                    <w:jc w:val="center"/>
                    <w:rPr>
                      <w:rFonts w:hint="default"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w:t>
                  </w:r>
                  <w:r>
                    <w:rPr>
                      <w:rFonts w:hint="eastAsia"/>
                      <w:color w:val="auto"/>
                      <w:szCs w:val="21"/>
                      <w:lang w:val="en-US" w:eastAsia="zh-CN"/>
                    </w:rPr>
                    <w:t>5</w:t>
                  </w:r>
                </w:p>
              </w:tc>
              <w:tc>
                <w:tcPr>
                  <w:tcW w:w="386" w:type="pct"/>
                  <w:shd w:val="clear" w:color="auto" w:fill="auto"/>
                  <w:vAlign w:val="center"/>
                </w:tcPr>
                <w:p w14:paraId="22D59AC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348" w:type="pct"/>
                  <w:vMerge w:val="restart"/>
                  <w:shd w:val="clear" w:color="auto" w:fill="auto"/>
                  <w:vAlign w:val="center"/>
                </w:tcPr>
                <w:p w14:paraId="3D47042A">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24h/d</w:t>
                  </w:r>
                </w:p>
                <w:p w14:paraId="34A55C98">
                  <w:pPr>
                    <w:jc w:val="center"/>
                    <w:rPr>
                      <w:rFonts w:hint="eastAsia"/>
                      <w:color w:val="auto"/>
                      <w:szCs w:val="21"/>
                      <w:lang w:val="en-US" w:eastAsia="zh-CN"/>
                    </w:rPr>
                  </w:pPr>
                </w:p>
              </w:tc>
              <w:tc>
                <w:tcPr>
                  <w:tcW w:w="422" w:type="pct"/>
                  <w:vMerge w:val="restart"/>
                  <w:shd w:val="clear" w:color="auto" w:fill="auto"/>
                  <w:vAlign w:val="center"/>
                </w:tcPr>
                <w:p w14:paraId="0E1EE66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p w14:paraId="049FA714">
                  <w:pPr>
                    <w:jc w:val="center"/>
                    <w:rPr>
                      <w:rFonts w:hint="eastAsia"/>
                      <w:color w:val="auto"/>
                      <w:szCs w:val="21"/>
                      <w:lang w:val="en-US" w:eastAsia="zh-CN"/>
                    </w:rPr>
                  </w:pPr>
                </w:p>
              </w:tc>
              <w:tc>
                <w:tcPr>
                  <w:tcW w:w="377" w:type="pct"/>
                  <w:shd w:val="clear" w:color="auto" w:fill="auto"/>
                  <w:vAlign w:val="center"/>
                </w:tcPr>
                <w:p w14:paraId="4C344094">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52.2</w:t>
                  </w:r>
                </w:p>
              </w:tc>
              <w:tc>
                <w:tcPr>
                  <w:tcW w:w="410" w:type="pct"/>
                  <w:vMerge w:val="restart"/>
                  <w:vAlign w:val="center"/>
                </w:tcPr>
                <w:p w14:paraId="246D3C2B">
                  <w:pPr>
                    <w:jc w:val="center"/>
                    <w:rPr>
                      <w:rFonts w:hint="eastAsia"/>
                      <w:color w:val="auto"/>
                      <w:szCs w:val="21"/>
                      <w:lang w:val="en-US" w:eastAsia="zh-CN"/>
                    </w:rPr>
                  </w:pPr>
                </w:p>
              </w:tc>
            </w:tr>
            <w:tr w14:paraId="71316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6EC2C8C3">
                  <w:pPr>
                    <w:jc w:val="center"/>
                  </w:pPr>
                </w:p>
              </w:tc>
              <w:tc>
                <w:tcPr>
                  <w:tcW w:w="215" w:type="pct"/>
                  <w:vMerge w:val="continue"/>
                  <w:vAlign w:val="center"/>
                </w:tcPr>
                <w:p w14:paraId="6C8E17EC">
                  <w:pPr>
                    <w:jc w:val="center"/>
                  </w:pPr>
                </w:p>
              </w:tc>
              <w:tc>
                <w:tcPr>
                  <w:tcW w:w="331" w:type="pct"/>
                  <w:vMerge w:val="continue"/>
                  <w:vAlign w:val="center"/>
                </w:tcPr>
                <w:p w14:paraId="5247C416">
                  <w:pPr>
                    <w:jc w:val="center"/>
                  </w:pPr>
                </w:p>
              </w:tc>
              <w:tc>
                <w:tcPr>
                  <w:tcW w:w="225" w:type="pct"/>
                  <w:vMerge w:val="continue"/>
                  <w:shd w:val="clear" w:color="auto" w:fill="auto"/>
                  <w:vAlign w:val="center"/>
                </w:tcPr>
                <w:p w14:paraId="50E96F44">
                  <w:pPr>
                    <w:jc w:val="center"/>
                  </w:pPr>
                </w:p>
              </w:tc>
              <w:tc>
                <w:tcPr>
                  <w:tcW w:w="308" w:type="pct"/>
                  <w:vMerge w:val="continue"/>
                  <w:vAlign w:val="center"/>
                </w:tcPr>
                <w:p w14:paraId="7D3D5B3F">
                  <w:pPr>
                    <w:jc w:val="center"/>
                  </w:pPr>
                </w:p>
              </w:tc>
              <w:tc>
                <w:tcPr>
                  <w:tcW w:w="357" w:type="pct"/>
                  <w:vMerge w:val="continue"/>
                  <w:vAlign w:val="center"/>
                </w:tcPr>
                <w:p w14:paraId="6B55A98A">
                  <w:pPr>
                    <w:jc w:val="center"/>
                  </w:pPr>
                </w:p>
              </w:tc>
              <w:tc>
                <w:tcPr>
                  <w:tcW w:w="295" w:type="pct"/>
                  <w:vMerge w:val="continue"/>
                  <w:vAlign w:val="center"/>
                </w:tcPr>
                <w:p w14:paraId="4BBDE070">
                  <w:pPr>
                    <w:jc w:val="center"/>
                  </w:pPr>
                </w:p>
              </w:tc>
              <w:tc>
                <w:tcPr>
                  <w:tcW w:w="344" w:type="pct"/>
                  <w:vMerge w:val="continue"/>
                  <w:vAlign w:val="center"/>
                </w:tcPr>
                <w:p w14:paraId="7DAB9FB1">
                  <w:pPr>
                    <w:jc w:val="center"/>
                  </w:pPr>
                </w:p>
              </w:tc>
              <w:tc>
                <w:tcPr>
                  <w:tcW w:w="217" w:type="pct"/>
                  <w:vMerge w:val="continue"/>
                  <w:vAlign w:val="center"/>
                </w:tcPr>
                <w:p w14:paraId="7DE05F9E">
                  <w:pPr>
                    <w:jc w:val="center"/>
                  </w:pPr>
                </w:p>
              </w:tc>
              <w:tc>
                <w:tcPr>
                  <w:tcW w:w="302" w:type="pct"/>
                  <w:shd w:val="clear" w:color="auto" w:fill="auto"/>
                  <w:vAlign w:val="center"/>
                </w:tcPr>
                <w:p w14:paraId="102095C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77" w:type="pct"/>
                  <w:shd w:val="clear" w:color="auto" w:fill="auto"/>
                  <w:vAlign w:val="center"/>
                </w:tcPr>
                <w:p w14:paraId="291B9AC0">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w:t>
                  </w:r>
                </w:p>
              </w:tc>
              <w:tc>
                <w:tcPr>
                  <w:tcW w:w="386" w:type="pct"/>
                  <w:shd w:val="clear" w:color="auto" w:fill="auto"/>
                  <w:vAlign w:val="center"/>
                </w:tcPr>
                <w:p w14:paraId="10B9054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348" w:type="pct"/>
                  <w:vMerge w:val="continue"/>
                  <w:vAlign w:val="center"/>
                </w:tcPr>
                <w:p w14:paraId="08EE7675">
                  <w:pPr>
                    <w:jc w:val="center"/>
                    <w:rPr>
                      <w:rFonts w:hint="eastAsia"/>
                      <w:color w:val="auto"/>
                      <w:szCs w:val="21"/>
                      <w:lang w:val="en-US" w:eastAsia="zh-CN"/>
                    </w:rPr>
                  </w:pPr>
                </w:p>
              </w:tc>
              <w:tc>
                <w:tcPr>
                  <w:tcW w:w="422" w:type="pct"/>
                  <w:vMerge w:val="continue"/>
                  <w:vAlign w:val="center"/>
                </w:tcPr>
                <w:p w14:paraId="560FF61E">
                  <w:pPr>
                    <w:jc w:val="center"/>
                    <w:rPr>
                      <w:rFonts w:hint="eastAsia"/>
                      <w:color w:val="auto"/>
                      <w:szCs w:val="21"/>
                      <w:lang w:val="en-US" w:eastAsia="zh-CN"/>
                    </w:rPr>
                  </w:pPr>
                </w:p>
              </w:tc>
              <w:tc>
                <w:tcPr>
                  <w:tcW w:w="377" w:type="pct"/>
                  <w:shd w:val="clear" w:color="auto" w:fill="auto"/>
                  <w:vAlign w:val="center"/>
                </w:tcPr>
                <w:p w14:paraId="4AF4DF42">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53.5</w:t>
                  </w:r>
                </w:p>
              </w:tc>
              <w:tc>
                <w:tcPr>
                  <w:tcW w:w="410" w:type="pct"/>
                  <w:vMerge w:val="continue"/>
                  <w:vAlign w:val="center"/>
                </w:tcPr>
                <w:p w14:paraId="438D2221">
                  <w:pPr>
                    <w:jc w:val="center"/>
                    <w:rPr>
                      <w:rFonts w:hint="eastAsia"/>
                      <w:color w:val="auto"/>
                      <w:szCs w:val="21"/>
                      <w:lang w:val="en-US" w:eastAsia="zh-CN"/>
                    </w:rPr>
                  </w:pPr>
                </w:p>
              </w:tc>
            </w:tr>
            <w:tr w14:paraId="4FD3D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72D2BF8A">
                  <w:pPr>
                    <w:jc w:val="center"/>
                    <w:rPr>
                      <w:rFonts w:hint="eastAsia"/>
                      <w:color w:val="auto"/>
                      <w:szCs w:val="21"/>
                      <w:lang w:val="en-US" w:eastAsia="zh-CN"/>
                    </w:rPr>
                  </w:pPr>
                </w:p>
              </w:tc>
              <w:tc>
                <w:tcPr>
                  <w:tcW w:w="215" w:type="pct"/>
                  <w:vMerge w:val="continue"/>
                  <w:vAlign w:val="center"/>
                </w:tcPr>
                <w:p w14:paraId="6A3E5CDD">
                  <w:pPr>
                    <w:jc w:val="center"/>
                    <w:rPr>
                      <w:rFonts w:hint="eastAsia"/>
                      <w:color w:val="auto"/>
                      <w:szCs w:val="21"/>
                      <w:lang w:val="en-US" w:eastAsia="zh-CN"/>
                    </w:rPr>
                  </w:pPr>
                </w:p>
              </w:tc>
              <w:tc>
                <w:tcPr>
                  <w:tcW w:w="331" w:type="pct"/>
                  <w:vMerge w:val="continue"/>
                  <w:vAlign w:val="center"/>
                </w:tcPr>
                <w:p w14:paraId="58405704">
                  <w:pPr>
                    <w:jc w:val="center"/>
                    <w:rPr>
                      <w:rFonts w:hint="eastAsia"/>
                      <w:color w:val="auto"/>
                      <w:szCs w:val="21"/>
                      <w:lang w:val="en-US" w:eastAsia="zh-CN"/>
                    </w:rPr>
                  </w:pPr>
                </w:p>
              </w:tc>
              <w:tc>
                <w:tcPr>
                  <w:tcW w:w="225" w:type="pct"/>
                  <w:vMerge w:val="continue"/>
                  <w:shd w:val="clear" w:color="auto" w:fill="auto"/>
                  <w:vAlign w:val="center"/>
                </w:tcPr>
                <w:p w14:paraId="20B2CDB6">
                  <w:pPr>
                    <w:jc w:val="center"/>
                    <w:rPr>
                      <w:rFonts w:hint="eastAsia"/>
                      <w:color w:val="auto"/>
                      <w:szCs w:val="21"/>
                      <w:lang w:val="en-US" w:eastAsia="zh-CN"/>
                    </w:rPr>
                  </w:pPr>
                </w:p>
              </w:tc>
              <w:tc>
                <w:tcPr>
                  <w:tcW w:w="308" w:type="pct"/>
                  <w:vMerge w:val="continue"/>
                  <w:vAlign w:val="center"/>
                </w:tcPr>
                <w:p w14:paraId="2610CDE6">
                  <w:pPr>
                    <w:jc w:val="center"/>
                    <w:rPr>
                      <w:rFonts w:hint="eastAsia"/>
                      <w:color w:val="auto"/>
                      <w:szCs w:val="21"/>
                      <w:lang w:val="en-US" w:eastAsia="zh-CN"/>
                    </w:rPr>
                  </w:pPr>
                </w:p>
              </w:tc>
              <w:tc>
                <w:tcPr>
                  <w:tcW w:w="357" w:type="pct"/>
                  <w:vMerge w:val="continue"/>
                  <w:vAlign w:val="center"/>
                </w:tcPr>
                <w:p w14:paraId="720AE31E">
                  <w:pPr>
                    <w:jc w:val="center"/>
                    <w:rPr>
                      <w:rFonts w:hint="eastAsia"/>
                      <w:color w:val="auto"/>
                      <w:szCs w:val="21"/>
                      <w:lang w:val="en-US" w:eastAsia="zh-CN"/>
                    </w:rPr>
                  </w:pPr>
                </w:p>
              </w:tc>
              <w:tc>
                <w:tcPr>
                  <w:tcW w:w="295" w:type="pct"/>
                  <w:vMerge w:val="continue"/>
                  <w:vAlign w:val="center"/>
                </w:tcPr>
                <w:p w14:paraId="5C1C42D0">
                  <w:pPr>
                    <w:jc w:val="center"/>
                    <w:rPr>
                      <w:rFonts w:hint="eastAsia"/>
                      <w:color w:val="auto"/>
                      <w:szCs w:val="21"/>
                      <w:lang w:val="en-US" w:eastAsia="zh-CN"/>
                    </w:rPr>
                  </w:pPr>
                </w:p>
              </w:tc>
              <w:tc>
                <w:tcPr>
                  <w:tcW w:w="344" w:type="pct"/>
                  <w:vMerge w:val="continue"/>
                  <w:vAlign w:val="center"/>
                </w:tcPr>
                <w:p w14:paraId="3341010F">
                  <w:pPr>
                    <w:jc w:val="center"/>
                    <w:rPr>
                      <w:rFonts w:hint="eastAsia"/>
                      <w:color w:val="auto"/>
                      <w:szCs w:val="21"/>
                      <w:lang w:val="en-US" w:eastAsia="zh-CN"/>
                    </w:rPr>
                  </w:pPr>
                </w:p>
              </w:tc>
              <w:tc>
                <w:tcPr>
                  <w:tcW w:w="217" w:type="pct"/>
                  <w:vMerge w:val="continue"/>
                  <w:vAlign w:val="center"/>
                </w:tcPr>
                <w:p w14:paraId="68499E82">
                  <w:pPr>
                    <w:jc w:val="center"/>
                    <w:rPr>
                      <w:rFonts w:hint="eastAsia"/>
                      <w:color w:val="auto"/>
                      <w:szCs w:val="21"/>
                      <w:lang w:val="en-US" w:eastAsia="zh-CN"/>
                    </w:rPr>
                  </w:pPr>
                </w:p>
              </w:tc>
              <w:tc>
                <w:tcPr>
                  <w:tcW w:w="302" w:type="pct"/>
                  <w:shd w:val="clear" w:color="auto" w:fill="auto"/>
                  <w:vAlign w:val="center"/>
                </w:tcPr>
                <w:p w14:paraId="17FB4FF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77" w:type="pct"/>
                  <w:shd w:val="clear" w:color="auto" w:fill="auto"/>
                  <w:vAlign w:val="center"/>
                </w:tcPr>
                <w:p w14:paraId="47423152">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2</w:t>
                  </w:r>
                </w:p>
              </w:tc>
              <w:tc>
                <w:tcPr>
                  <w:tcW w:w="386" w:type="pct"/>
                  <w:shd w:val="clear" w:color="auto" w:fill="auto"/>
                  <w:vAlign w:val="center"/>
                </w:tcPr>
                <w:p w14:paraId="4078842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348" w:type="pct"/>
                  <w:vMerge w:val="continue"/>
                  <w:vAlign w:val="center"/>
                </w:tcPr>
                <w:p w14:paraId="2954CDD9">
                  <w:pPr>
                    <w:jc w:val="center"/>
                    <w:rPr>
                      <w:rFonts w:hint="eastAsia"/>
                      <w:color w:val="auto"/>
                      <w:szCs w:val="21"/>
                      <w:lang w:val="en-US" w:eastAsia="zh-CN"/>
                    </w:rPr>
                  </w:pPr>
                </w:p>
              </w:tc>
              <w:tc>
                <w:tcPr>
                  <w:tcW w:w="422" w:type="pct"/>
                  <w:vMerge w:val="continue"/>
                  <w:vAlign w:val="center"/>
                </w:tcPr>
                <w:p w14:paraId="73124DBE">
                  <w:pPr>
                    <w:jc w:val="center"/>
                    <w:rPr>
                      <w:rFonts w:hint="eastAsia"/>
                      <w:color w:val="auto"/>
                      <w:szCs w:val="21"/>
                      <w:lang w:val="en-US" w:eastAsia="zh-CN"/>
                    </w:rPr>
                  </w:pPr>
                </w:p>
              </w:tc>
              <w:tc>
                <w:tcPr>
                  <w:tcW w:w="377" w:type="pct"/>
                  <w:shd w:val="clear" w:color="auto" w:fill="auto"/>
                  <w:vAlign w:val="center"/>
                </w:tcPr>
                <w:p w14:paraId="577EE570">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50.1</w:t>
                  </w:r>
                </w:p>
              </w:tc>
              <w:tc>
                <w:tcPr>
                  <w:tcW w:w="410" w:type="pct"/>
                  <w:vMerge w:val="continue"/>
                  <w:vAlign w:val="center"/>
                </w:tcPr>
                <w:p w14:paraId="345B2E97">
                  <w:pPr>
                    <w:jc w:val="center"/>
                    <w:rPr>
                      <w:rFonts w:hint="eastAsia"/>
                      <w:color w:val="auto"/>
                      <w:szCs w:val="21"/>
                      <w:lang w:val="en-US" w:eastAsia="zh-CN"/>
                    </w:rPr>
                  </w:pPr>
                </w:p>
              </w:tc>
            </w:tr>
            <w:tr w14:paraId="42DF1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15AA2D66">
                  <w:pPr>
                    <w:jc w:val="center"/>
                    <w:rPr>
                      <w:rFonts w:hint="eastAsia"/>
                      <w:color w:val="auto"/>
                      <w:szCs w:val="21"/>
                      <w:lang w:val="en-US" w:eastAsia="zh-CN"/>
                    </w:rPr>
                  </w:pPr>
                </w:p>
              </w:tc>
              <w:tc>
                <w:tcPr>
                  <w:tcW w:w="215" w:type="pct"/>
                  <w:vMerge w:val="continue"/>
                  <w:vAlign w:val="center"/>
                </w:tcPr>
                <w:p w14:paraId="2E4DE4A6">
                  <w:pPr>
                    <w:jc w:val="center"/>
                    <w:rPr>
                      <w:rFonts w:hint="eastAsia"/>
                      <w:color w:val="auto"/>
                      <w:szCs w:val="21"/>
                      <w:lang w:val="en-US" w:eastAsia="zh-CN"/>
                    </w:rPr>
                  </w:pPr>
                </w:p>
              </w:tc>
              <w:tc>
                <w:tcPr>
                  <w:tcW w:w="331" w:type="pct"/>
                  <w:vMerge w:val="continue"/>
                  <w:vAlign w:val="center"/>
                </w:tcPr>
                <w:p w14:paraId="10D9F8A5">
                  <w:pPr>
                    <w:jc w:val="center"/>
                    <w:rPr>
                      <w:rFonts w:hint="eastAsia"/>
                      <w:color w:val="auto"/>
                      <w:szCs w:val="21"/>
                      <w:lang w:val="en-US" w:eastAsia="zh-CN"/>
                    </w:rPr>
                  </w:pPr>
                </w:p>
              </w:tc>
              <w:tc>
                <w:tcPr>
                  <w:tcW w:w="225" w:type="pct"/>
                  <w:vMerge w:val="continue"/>
                  <w:shd w:val="clear" w:color="auto" w:fill="auto"/>
                  <w:vAlign w:val="center"/>
                </w:tcPr>
                <w:p w14:paraId="1C985FD5">
                  <w:pPr>
                    <w:jc w:val="center"/>
                    <w:rPr>
                      <w:rFonts w:hint="eastAsia"/>
                      <w:color w:val="auto"/>
                      <w:szCs w:val="21"/>
                      <w:lang w:val="en-US" w:eastAsia="zh-CN"/>
                    </w:rPr>
                  </w:pPr>
                </w:p>
              </w:tc>
              <w:tc>
                <w:tcPr>
                  <w:tcW w:w="308" w:type="pct"/>
                  <w:vMerge w:val="continue"/>
                  <w:vAlign w:val="center"/>
                </w:tcPr>
                <w:p w14:paraId="61241C47">
                  <w:pPr>
                    <w:jc w:val="center"/>
                    <w:rPr>
                      <w:rFonts w:hint="eastAsia"/>
                      <w:color w:val="auto"/>
                      <w:szCs w:val="21"/>
                      <w:lang w:val="en-US" w:eastAsia="zh-CN"/>
                    </w:rPr>
                  </w:pPr>
                </w:p>
              </w:tc>
              <w:tc>
                <w:tcPr>
                  <w:tcW w:w="357" w:type="pct"/>
                  <w:vMerge w:val="continue"/>
                  <w:vAlign w:val="center"/>
                </w:tcPr>
                <w:p w14:paraId="6EF3FCE9">
                  <w:pPr>
                    <w:jc w:val="center"/>
                    <w:rPr>
                      <w:rFonts w:hint="eastAsia"/>
                      <w:color w:val="auto"/>
                      <w:szCs w:val="21"/>
                      <w:lang w:val="en-US" w:eastAsia="zh-CN"/>
                    </w:rPr>
                  </w:pPr>
                </w:p>
              </w:tc>
              <w:tc>
                <w:tcPr>
                  <w:tcW w:w="295" w:type="pct"/>
                  <w:vMerge w:val="continue"/>
                  <w:vAlign w:val="center"/>
                </w:tcPr>
                <w:p w14:paraId="07A389D5">
                  <w:pPr>
                    <w:jc w:val="center"/>
                    <w:rPr>
                      <w:rFonts w:hint="eastAsia"/>
                      <w:color w:val="auto"/>
                      <w:szCs w:val="21"/>
                      <w:lang w:val="en-US" w:eastAsia="zh-CN"/>
                    </w:rPr>
                  </w:pPr>
                </w:p>
              </w:tc>
              <w:tc>
                <w:tcPr>
                  <w:tcW w:w="344" w:type="pct"/>
                  <w:vMerge w:val="continue"/>
                  <w:vAlign w:val="center"/>
                </w:tcPr>
                <w:p w14:paraId="7BF43C00">
                  <w:pPr>
                    <w:jc w:val="center"/>
                    <w:rPr>
                      <w:rFonts w:hint="eastAsia"/>
                      <w:color w:val="auto"/>
                      <w:szCs w:val="21"/>
                      <w:lang w:val="en-US" w:eastAsia="zh-CN"/>
                    </w:rPr>
                  </w:pPr>
                </w:p>
              </w:tc>
              <w:tc>
                <w:tcPr>
                  <w:tcW w:w="217" w:type="pct"/>
                  <w:vMerge w:val="continue"/>
                  <w:vAlign w:val="center"/>
                </w:tcPr>
                <w:p w14:paraId="3E1B95E5">
                  <w:pPr>
                    <w:jc w:val="center"/>
                    <w:rPr>
                      <w:rFonts w:hint="eastAsia"/>
                      <w:color w:val="auto"/>
                      <w:szCs w:val="21"/>
                      <w:lang w:val="en-US" w:eastAsia="zh-CN"/>
                    </w:rPr>
                  </w:pPr>
                </w:p>
              </w:tc>
              <w:tc>
                <w:tcPr>
                  <w:tcW w:w="302" w:type="pct"/>
                  <w:shd w:val="clear" w:color="auto" w:fill="auto"/>
                  <w:vAlign w:val="center"/>
                </w:tcPr>
                <w:p w14:paraId="3079076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77" w:type="pct"/>
                  <w:shd w:val="clear" w:color="auto" w:fill="auto"/>
                  <w:vAlign w:val="center"/>
                </w:tcPr>
                <w:p w14:paraId="6A42AD16">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19</w:t>
                  </w:r>
                </w:p>
              </w:tc>
              <w:tc>
                <w:tcPr>
                  <w:tcW w:w="386" w:type="pct"/>
                  <w:shd w:val="clear" w:color="auto" w:fill="auto"/>
                  <w:vAlign w:val="center"/>
                </w:tcPr>
                <w:p w14:paraId="24B9713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348" w:type="pct"/>
                  <w:vMerge w:val="continue"/>
                  <w:vAlign w:val="center"/>
                </w:tcPr>
                <w:p w14:paraId="131A11D2">
                  <w:pPr>
                    <w:jc w:val="center"/>
                    <w:rPr>
                      <w:rFonts w:hint="eastAsia"/>
                      <w:color w:val="auto"/>
                      <w:szCs w:val="21"/>
                      <w:lang w:val="en-US" w:eastAsia="zh-CN"/>
                    </w:rPr>
                  </w:pPr>
                </w:p>
              </w:tc>
              <w:tc>
                <w:tcPr>
                  <w:tcW w:w="422" w:type="pct"/>
                  <w:vMerge w:val="continue"/>
                  <w:vAlign w:val="center"/>
                </w:tcPr>
                <w:p w14:paraId="708C9B56">
                  <w:pPr>
                    <w:jc w:val="center"/>
                    <w:rPr>
                      <w:rFonts w:hint="eastAsia"/>
                      <w:color w:val="auto"/>
                      <w:szCs w:val="21"/>
                      <w:lang w:val="en-US" w:eastAsia="zh-CN"/>
                    </w:rPr>
                  </w:pPr>
                </w:p>
              </w:tc>
              <w:tc>
                <w:tcPr>
                  <w:tcW w:w="377" w:type="pct"/>
                  <w:shd w:val="clear" w:color="auto" w:fill="auto"/>
                  <w:vAlign w:val="center"/>
                </w:tcPr>
                <w:p w14:paraId="7DEF0EFC">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49.2</w:t>
                  </w:r>
                </w:p>
              </w:tc>
              <w:tc>
                <w:tcPr>
                  <w:tcW w:w="410" w:type="pct"/>
                  <w:vMerge w:val="continue"/>
                  <w:vAlign w:val="center"/>
                </w:tcPr>
                <w:p w14:paraId="5BF039C7">
                  <w:pPr>
                    <w:jc w:val="center"/>
                    <w:rPr>
                      <w:rFonts w:hint="eastAsia"/>
                      <w:color w:val="auto"/>
                      <w:szCs w:val="21"/>
                      <w:lang w:val="en-US" w:eastAsia="zh-CN"/>
                    </w:rPr>
                  </w:pPr>
                </w:p>
              </w:tc>
            </w:tr>
            <w:tr w14:paraId="254EB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5000" w:type="pct"/>
                  <w:gridSpan w:val="16"/>
                  <w:vAlign w:val="center"/>
                </w:tcPr>
                <w:p w14:paraId="4696A846">
                  <w:pPr>
                    <w:jc w:val="left"/>
                    <w:rPr>
                      <w:rFonts w:hint="default"/>
                      <w:color w:val="auto"/>
                      <w:szCs w:val="21"/>
                      <w:lang w:val="en-US" w:eastAsia="zh-CN"/>
                    </w:rPr>
                  </w:pPr>
                  <w:r>
                    <w:rPr>
                      <w:rFonts w:hint="eastAsia"/>
                      <w:color w:val="auto"/>
                      <w:szCs w:val="21"/>
                      <w:lang w:val="en-US" w:eastAsia="zh-CN"/>
                    </w:rPr>
                    <w:t>备注：以厂房西北角为原点（0，0，0）</w:t>
                  </w:r>
                </w:p>
              </w:tc>
            </w:tr>
          </w:tbl>
          <w:p w14:paraId="201804CB">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GB" w:eastAsia="zh-CN"/>
              </w:rPr>
            </w:pPr>
            <w:bookmarkStart w:id="117" w:name="_Toc25271"/>
            <w:r>
              <w:rPr>
                <w:rFonts w:hint="default"/>
                <w:b/>
                <w:color w:val="262626"/>
                <w:kern w:val="0"/>
                <w:sz w:val="24"/>
                <w:lang w:val="en-US" w:eastAsia="zh-CN"/>
              </w:rPr>
              <w:t>4.3.2声环境影响分析</w:t>
            </w:r>
            <w:bookmarkEnd w:id="117"/>
          </w:p>
          <w:p w14:paraId="39B0BA89">
            <w:pPr>
              <w:pStyle w:val="34"/>
              <w:spacing w:line="360" w:lineRule="auto"/>
              <w:ind w:firstLine="480"/>
              <w:rPr>
                <w:rFonts w:cs="Times New Roman"/>
                <w:color w:val="auto"/>
                <w:kern w:val="2"/>
                <w:sz w:val="24"/>
                <w:szCs w:val="24"/>
                <w:highlight w:val="none"/>
              </w:rPr>
            </w:pPr>
            <w:r>
              <w:rPr>
                <w:rFonts w:cs="Times New Roman"/>
                <w:color w:val="auto"/>
                <w:sz w:val="24"/>
                <w:szCs w:val="24"/>
                <w:highlight w:val="none"/>
              </w:rPr>
              <w:t>本评价将对机械设备产生的噪声值进行衰减预测，根据《环境影响评价技术导则—声环境》（HJ2.4-2021）推荐的预测模式，具体室内等效室外声源声功率计算、户外传播衰减、几何衰减、噪声贡献值叠加等计算模式如下：</w:t>
            </w:r>
          </w:p>
          <w:p w14:paraId="7EBB43C9">
            <w:pPr>
              <w:pStyle w:val="34"/>
              <w:spacing w:line="360" w:lineRule="auto"/>
              <w:ind w:firstLine="480"/>
              <w:rPr>
                <w:rFonts w:cs="Times New Roman"/>
                <w:color w:val="auto"/>
                <w:sz w:val="24"/>
                <w:szCs w:val="24"/>
                <w:highlight w:val="none"/>
              </w:rPr>
            </w:pPr>
            <w:r>
              <w:rPr>
                <w:rFonts w:cs="Times New Roman"/>
                <w:color w:val="auto"/>
                <w:sz w:val="24"/>
                <w:szCs w:val="24"/>
                <w:highlight w:val="none"/>
              </w:rPr>
              <w:t>（1）单个室外的点声源在预测点产生的声级计算基本公式</w:t>
            </w:r>
          </w:p>
          <w:p w14:paraId="38E736BD">
            <w:pPr>
              <w:pStyle w:val="34"/>
              <w:spacing w:line="360" w:lineRule="auto"/>
              <w:ind w:firstLine="480"/>
              <w:rPr>
                <w:rFonts w:cs="Times New Roman"/>
                <w:color w:val="auto"/>
                <w:sz w:val="24"/>
                <w:szCs w:val="24"/>
                <w:highlight w:val="none"/>
              </w:rPr>
            </w:pPr>
            <w:r>
              <w:rPr>
                <w:rFonts w:cs="Times New Roman"/>
                <w:color w:val="auto"/>
                <w:sz w:val="24"/>
                <w:szCs w:val="24"/>
                <w:highlight w:val="none"/>
              </w:rPr>
              <w:t>某个声源在预测点的倍频带声压级的计算公式如下：</w:t>
            </w:r>
          </w:p>
          <w:p w14:paraId="0FF111E9">
            <w:pPr>
              <w:pStyle w:val="58"/>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522220" cy="716280"/>
                  <wp:effectExtent l="0" t="0" r="11430"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9" r:link="rId30"/>
                          <a:stretch>
                            <a:fillRect/>
                          </a:stretch>
                        </pic:blipFill>
                        <pic:spPr>
                          <a:xfrm>
                            <a:off x="0" y="0"/>
                            <a:ext cx="2522220" cy="71628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008EE169">
            <w:pPr>
              <w:pStyle w:val="34"/>
              <w:spacing w:line="360" w:lineRule="auto"/>
              <w:ind w:firstLine="412"/>
              <w:rPr>
                <w:rFonts w:cs="Times New Roman"/>
                <w:color w:val="auto"/>
                <w:sz w:val="24"/>
                <w:szCs w:val="24"/>
                <w:highlight w:val="none"/>
              </w:rPr>
            </w:pPr>
            <w:r>
              <w:rPr>
                <w:rFonts w:cs="Times New Roman"/>
                <w:color w:val="auto"/>
                <w:spacing w:val="-17"/>
                <w:sz w:val="24"/>
                <w:szCs w:val="24"/>
                <w:highlight w:val="none"/>
              </w:rPr>
              <w:t>式</w:t>
            </w:r>
            <w:r>
              <w:rPr>
                <w:rFonts w:cs="Times New Roman"/>
                <w:color w:val="auto"/>
                <w:sz w:val="24"/>
                <w:szCs w:val="24"/>
                <w:highlight w:val="none"/>
              </w:rPr>
              <w:t>中：</w:t>
            </w:r>
          </w:p>
          <w:p w14:paraId="27B314B7">
            <w:pPr>
              <w:pStyle w:val="34"/>
              <w:spacing w:line="360" w:lineRule="auto"/>
              <w:ind w:firstLine="452"/>
              <w:rPr>
                <w:rFonts w:cs="Times New Roman"/>
                <w:color w:val="auto"/>
                <w:sz w:val="24"/>
                <w:szCs w:val="24"/>
                <w:highlight w:val="none"/>
              </w:rPr>
            </w:pPr>
            <w:r>
              <w:rPr>
                <w:rFonts w:cs="Times New Roman"/>
                <w:color w:val="auto"/>
                <w:spacing w:val="-7"/>
                <w:sz w:val="24"/>
                <w:szCs w:val="24"/>
                <w:highlight w:val="none"/>
              </w:rPr>
              <w:t>Lw</w:t>
            </w:r>
            <w:r>
              <w:rPr>
                <w:rFonts w:cs="Times New Roman"/>
                <w:color w:val="auto"/>
                <w:spacing w:val="-14"/>
                <w:sz w:val="24"/>
                <w:szCs w:val="24"/>
                <w:highlight w:val="none"/>
              </w:rPr>
              <w:t>—</w:t>
            </w:r>
            <w:r>
              <w:rPr>
                <w:rFonts w:cs="Times New Roman"/>
                <w:color w:val="auto"/>
                <w:spacing w:val="-13"/>
                <w:sz w:val="24"/>
                <w:szCs w:val="24"/>
                <w:highlight w:val="none"/>
              </w:rPr>
              <w:t>—</w:t>
            </w:r>
            <w:r>
              <w:rPr>
                <w:rFonts w:cs="Times New Roman"/>
                <w:color w:val="auto"/>
                <w:sz w:val="24"/>
                <w:szCs w:val="24"/>
                <w:highlight w:val="none"/>
              </w:rPr>
              <w:t>倍频带声功率级</w:t>
            </w:r>
            <w:r>
              <w:rPr>
                <w:rFonts w:cs="Times New Roman"/>
                <w:color w:val="auto"/>
                <w:spacing w:val="-7"/>
                <w:sz w:val="24"/>
                <w:szCs w:val="24"/>
                <w:highlight w:val="none"/>
              </w:rPr>
              <w:t>，dB；</w:t>
            </w:r>
          </w:p>
          <w:p w14:paraId="18488F2D">
            <w:pPr>
              <w:pStyle w:val="34"/>
              <w:spacing w:line="360" w:lineRule="auto"/>
              <w:ind w:firstLine="460"/>
              <w:rPr>
                <w:rFonts w:cs="Times New Roman"/>
                <w:color w:val="auto"/>
                <w:spacing w:val="-5"/>
                <w:sz w:val="24"/>
                <w:szCs w:val="24"/>
                <w:highlight w:val="none"/>
              </w:rPr>
            </w:pPr>
            <w:r>
              <w:rPr>
                <w:rFonts w:cs="Times New Roman"/>
                <w:color w:val="auto"/>
                <w:spacing w:val="-5"/>
                <w:sz w:val="24"/>
                <w:szCs w:val="24"/>
                <w:highlight w:val="none"/>
              </w:rPr>
              <w:t>Dc</w:t>
            </w:r>
            <w:r>
              <w:rPr>
                <w:rFonts w:cs="Times New Roman"/>
                <w:color w:val="auto"/>
                <w:spacing w:val="-10"/>
                <w:sz w:val="24"/>
                <w:szCs w:val="24"/>
                <w:highlight w:val="none"/>
              </w:rPr>
              <w:t>——</w:t>
            </w:r>
            <w:r>
              <w:rPr>
                <w:rFonts w:cs="Times New Roman"/>
                <w:color w:val="auto"/>
                <w:sz w:val="24"/>
                <w:szCs w:val="24"/>
                <w:highlight w:val="none"/>
              </w:rPr>
              <w:t>指向性校正。对辐射到自由空间的全向点声源</w:t>
            </w:r>
            <w:r>
              <w:rPr>
                <w:rFonts w:cs="Times New Roman"/>
                <w:color w:val="auto"/>
                <w:spacing w:val="-5"/>
                <w:sz w:val="24"/>
                <w:szCs w:val="24"/>
                <w:highlight w:val="none"/>
              </w:rPr>
              <w:t>，Dc=0dB；</w:t>
            </w:r>
          </w:p>
          <w:p w14:paraId="77391989">
            <w:pPr>
              <w:pStyle w:val="34"/>
              <w:spacing w:line="360" w:lineRule="auto"/>
              <w:ind w:firstLine="440"/>
              <w:rPr>
                <w:rFonts w:cs="Times New Roman"/>
                <w:color w:val="auto"/>
                <w:sz w:val="24"/>
                <w:szCs w:val="24"/>
                <w:highlight w:val="none"/>
              </w:rPr>
            </w:pPr>
            <w:r>
              <w:rPr>
                <w:rFonts w:cs="Times New Roman"/>
                <w:color w:val="auto"/>
                <w:spacing w:val="-10"/>
                <w:sz w:val="24"/>
                <w:szCs w:val="24"/>
                <w:highlight w:val="none"/>
              </w:rPr>
              <w:t>A—</w:t>
            </w:r>
            <w:r>
              <w:rPr>
                <w:rFonts w:cs="Times New Roman"/>
                <w:color w:val="auto"/>
                <w:sz w:val="24"/>
                <w:szCs w:val="24"/>
                <w:highlight w:val="none"/>
              </w:rPr>
              <w:t>倍频带衰减，dB；</w:t>
            </w:r>
          </w:p>
          <w:p w14:paraId="7D3F17E4">
            <w:pPr>
              <w:pStyle w:val="34"/>
              <w:spacing w:line="360" w:lineRule="auto"/>
              <w:ind w:firstLine="460"/>
              <w:rPr>
                <w:rFonts w:cs="Times New Roman"/>
                <w:color w:val="auto"/>
                <w:sz w:val="24"/>
                <w:szCs w:val="24"/>
                <w:highlight w:val="none"/>
              </w:rPr>
            </w:pPr>
            <w:r>
              <w:rPr>
                <w:rFonts w:cs="Times New Roman"/>
                <w:color w:val="auto"/>
                <w:spacing w:val="-5"/>
                <w:position w:val="14"/>
                <w:sz w:val="24"/>
                <w:szCs w:val="24"/>
                <w:highlight w:val="none"/>
                <w:shd w:val="clear" w:color="auto" w:fill="FFFFFF"/>
              </w:rPr>
              <w:t>A</w:t>
            </w:r>
            <w:r>
              <w:rPr>
                <w:rFonts w:cs="Times New Roman"/>
                <w:color w:val="auto"/>
                <w:spacing w:val="-5"/>
                <w:position w:val="12"/>
                <w:sz w:val="24"/>
                <w:szCs w:val="24"/>
                <w:highlight w:val="none"/>
                <w:shd w:val="clear" w:color="auto" w:fill="FFFFFF"/>
              </w:rPr>
              <w:t>div</w:t>
            </w:r>
            <w:r>
              <w:rPr>
                <w:rFonts w:cs="Times New Roman"/>
                <w:color w:val="auto"/>
                <w:spacing w:val="-5"/>
                <w:position w:val="14"/>
                <w:sz w:val="24"/>
                <w:szCs w:val="24"/>
                <w:highlight w:val="none"/>
              </w:rPr>
              <w:t>—</w:t>
            </w:r>
            <w:r>
              <w:rPr>
                <w:rFonts w:cs="Times New Roman"/>
                <w:color w:val="auto"/>
                <w:sz w:val="24"/>
                <w:szCs w:val="24"/>
                <w:highlight w:val="none"/>
              </w:rPr>
              <w:t>几何发散引起的倍频带衰减</w:t>
            </w:r>
            <w:r>
              <w:rPr>
                <w:rFonts w:cs="Times New Roman"/>
                <w:color w:val="auto"/>
                <w:spacing w:val="-5"/>
                <w:position w:val="1"/>
                <w:sz w:val="24"/>
                <w:szCs w:val="24"/>
                <w:highlight w:val="none"/>
              </w:rPr>
              <w:t>，d</w:t>
            </w:r>
            <w:r>
              <w:rPr>
                <w:rFonts w:cs="Times New Roman"/>
                <w:color w:val="auto"/>
                <w:spacing w:val="-3"/>
                <w:position w:val="1"/>
                <w:sz w:val="24"/>
                <w:szCs w:val="24"/>
                <w:highlight w:val="none"/>
              </w:rPr>
              <w:t>B</w:t>
            </w:r>
            <w:r>
              <w:rPr>
                <w:rFonts w:cs="Times New Roman"/>
                <w:color w:val="auto"/>
                <w:spacing w:val="-5"/>
                <w:position w:val="1"/>
                <w:sz w:val="24"/>
                <w:szCs w:val="24"/>
                <w:highlight w:val="none"/>
              </w:rPr>
              <w:t>；</w:t>
            </w:r>
          </w:p>
          <w:p w14:paraId="124491C5">
            <w:pPr>
              <w:pStyle w:val="34"/>
              <w:spacing w:line="360" w:lineRule="auto"/>
              <w:ind w:firstLine="460"/>
              <w:rPr>
                <w:rFonts w:cs="Times New Roman"/>
                <w:color w:val="auto"/>
                <w:sz w:val="24"/>
                <w:szCs w:val="24"/>
                <w:highlight w:val="none"/>
              </w:rPr>
            </w:pPr>
            <w:r>
              <w:rPr>
                <w:rFonts w:cs="Times New Roman"/>
                <w:color w:val="auto"/>
                <w:spacing w:val="-5"/>
                <w:position w:val="1"/>
                <w:sz w:val="24"/>
                <w:szCs w:val="24"/>
                <w:highlight w:val="none"/>
                <w:shd w:val="clear" w:color="auto" w:fill="FFFFFF"/>
              </w:rPr>
              <w:t>A</w:t>
            </w:r>
            <w:r>
              <w:rPr>
                <w:rFonts w:cs="Times New Roman"/>
                <w:color w:val="auto"/>
                <w:spacing w:val="-5"/>
                <w:position w:val="-1"/>
                <w:sz w:val="24"/>
                <w:szCs w:val="24"/>
                <w:highlight w:val="none"/>
                <w:shd w:val="clear" w:color="auto" w:fill="FFFFFF"/>
              </w:rPr>
              <w:t>atm</w:t>
            </w:r>
            <w:r>
              <w:rPr>
                <w:rFonts w:cs="Times New Roman"/>
                <w:color w:val="auto"/>
                <w:spacing w:val="-5"/>
                <w:position w:val="1"/>
                <w:sz w:val="24"/>
                <w:szCs w:val="24"/>
                <w:highlight w:val="none"/>
              </w:rPr>
              <w:t>—</w:t>
            </w:r>
            <w:r>
              <w:rPr>
                <w:rFonts w:cs="Times New Roman"/>
                <w:color w:val="auto"/>
                <w:sz w:val="24"/>
                <w:szCs w:val="24"/>
                <w:highlight w:val="none"/>
              </w:rPr>
              <w:t>大气吸收引起的倍频带衰减</w:t>
            </w:r>
            <w:r>
              <w:rPr>
                <w:rFonts w:cs="Times New Roman"/>
                <w:color w:val="auto"/>
                <w:spacing w:val="-5"/>
                <w:position w:val="1"/>
                <w:sz w:val="24"/>
                <w:szCs w:val="24"/>
                <w:highlight w:val="none"/>
              </w:rPr>
              <w:t>，d</w:t>
            </w:r>
            <w:r>
              <w:rPr>
                <w:rFonts w:cs="Times New Roman"/>
                <w:color w:val="auto"/>
                <w:spacing w:val="-3"/>
                <w:position w:val="1"/>
                <w:sz w:val="24"/>
                <w:szCs w:val="24"/>
                <w:highlight w:val="none"/>
              </w:rPr>
              <w:t>B</w:t>
            </w:r>
            <w:r>
              <w:rPr>
                <w:rFonts w:cs="Times New Roman"/>
                <w:color w:val="auto"/>
                <w:spacing w:val="-5"/>
                <w:position w:val="1"/>
                <w:sz w:val="24"/>
                <w:szCs w:val="24"/>
                <w:highlight w:val="none"/>
              </w:rPr>
              <w:t>；</w:t>
            </w:r>
          </w:p>
          <w:p w14:paraId="642AD8FB">
            <w:pPr>
              <w:pStyle w:val="34"/>
              <w:spacing w:line="360" w:lineRule="auto"/>
              <w:ind w:firstLine="460"/>
              <w:rPr>
                <w:rFonts w:cs="Times New Roman"/>
                <w:color w:val="auto"/>
                <w:sz w:val="24"/>
                <w:szCs w:val="24"/>
                <w:highlight w:val="none"/>
              </w:rPr>
            </w:pPr>
            <w:r>
              <w:rPr>
                <w:rFonts w:cs="Times New Roman"/>
                <w:color w:val="auto"/>
                <w:spacing w:val="-5"/>
                <w:sz w:val="24"/>
                <w:szCs w:val="24"/>
                <w:highlight w:val="none"/>
              </w:rPr>
              <w:t>A</w:t>
            </w:r>
            <w:r>
              <w:rPr>
                <w:rFonts w:cs="Times New Roman"/>
                <w:color w:val="auto"/>
                <w:spacing w:val="-5"/>
                <w:position w:val="-2"/>
                <w:sz w:val="24"/>
                <w:szCs w:val="24"/>
                <w:highlight w:val="none"/>
              </w:rPr>
              <w:t>gr</w:t>
            </w:r>
            <w:r>
              <w:rPr>
                <w:rFonts w:cs="Times New Roman"/>
                <w:color w:val="auto"/>
                <w:spacing w:val="-10"/>
                <w:sz w:val="24"/>
                <w:szCs w:val="24"/>
                <w:highlight w:val="none"/>
              </w:rPr>
              <w:t>—</w:t>
            </w:r>
            <w:r>
              <w:rPr>
                <w:rFonts w:cs="Times New Roman"/>
                <w:color w:val="auto"/>
                <w:sz w:val="24"/>
                <w:szCs w:val="24"/>
                <w:highlight w:val="none"/>
              </w:rPr>
              <w:t>地面效应引起的倍频带衰减</w:t>
            </w:r>
            <w:r>
              <w:rPr>
                <w:rFonts w:cs="Times New Roman"/>
                <w:color w:val="auto"/>
                <w:spacing w:val="-5"/>
                <w:sz w:val="24"/>
                <w:szCs w:val="24"/>
                <w:highlight w:val="none"/>
              </w:rPr>
              <w:t>，dB；</w:t>
            </w:r>
          </w:p>
          <w:p w14:paraId="36431A95">
            <w:pPr>
              <w:pStyle w:val="34"/>
              <w:spacing w:line="360" w:lineRule="auto"/>
              <w:ind w:firstLine="460"/>
              <w:rPr>
                <w:rFonts w:cs="Times New Roman"/>
                <w:color w:val="auto"/>
                <w:sz w:val="24"/>
                <w:szCs w:val="24"/>
                <w:highlight w:val="none"/>
              </w:rPr>
            </w:pPr>
            <w:r>
              <w:rPr>
                <w:rFonts w:cs="Times New Roman"/>
                <w:color w:val="auto"/>
                <w:spacing w:val="-5"/>
                <w:position w:val="1"/>
                <w:sz w:val="24"/>
                <w:szCs w:val="24"/>
                <w:highlight w:val="none"/>
                <w:shd w:val="clear" w:color="auto" w:fill="FFFFFF"/>
              </w:rPr>
              <w:t>A</w:t>
            </w:r>
            <w:r>
              <w:rPr>
                <w:rFonts w:cs="Times New Roman"/>
                <w:color w:val="auto"/>
                <w:spacing w:val="-5"/>
                <w:position w:val="-1"/>
                <w:sz w:val="24"/>
                <w:szCs w:val="24"/>
                <w:highlight w:val="none"/>
                <w:shd w:val="clear" w:color="auto" w:fill="FFFFFF"/>
              </w:rPr>
              <w:t>bar</w:t>
            </w:r>
            <w:r>
              <w:rPr>
                <w:rFonts w:cs="Times New Roman"/>
                <w:color w:val="auto"/>
                <w:spacing w:val="-9"/>
                <w:position w:val="1"/>
                <w:sz w:val="24"/>
                <w:szCs w:val="24"/>
                <w:highlight w:val="none"/>
              </w:rPr>
              <w:t>—</w:t>
            </w:r>
            <w:r>
              <w:rPr>
                <w:rFonts w:cs="Times New Roman"/>
                <w:color w:val="auto"/>
                <w:sz w:val="24"/>
                <w:szCs w:val="24"/>
                <w:highlight w:val="none"/>
              </w:rPr>
              <w:t>声屏障引起的倍频带衰减</w:t>
            </w:r>
            <w:r>
              <w:rPr>
                <w:rFonts w:cs="Times New Roman"/>
                <w:color w:val="auto"/>
                <w:spacing w:val="-5"/>
                <w:position w:val="1"/>
                <w:sz w:val="24"/>
                <w:szCs w:val="24"/>
                <w:highlight w:val="none"/>
              </w:rPr>
              <w:t>，dB；</w:t>
            </w:r>
          </w:p>
          <w:p w14:paraId="436F6D4A">
            <w:pPr>
              <w:pStyle w:val="34"/>
              <w:spacing w:line="360" w:lineRule="auto"/>
              <w:ind w:firstLine="464"/>
              <w:rPr>
                <w:rFonts w:cs="Times New Roman"/>
                <w:color w:val="auto"/>
                <w:sz w:val="24"/>
                <w:szCs w:val="24"/>
                <w:highlight w:val="none"/>
              </w:rPr>
            </w:pPr>
            <w:r>
              <w:rPr>
                <w:rFonts w:cs="Times New Roman"/>
                <w:color w:val="auto"/>
                <w:spacing w:val="-4"/>
                <w:position w:val="14"/>
                <w:sz w:val="24"/>
                <w:szCs w:val="24"/>
                <w:highlight w:val="none"/>
                <w:shd w:val="clear" w:color="auto" w:fill="FFFFFF"/>
              </w:rPr>
              <w:t>A</w:t>
            </w:r>
            <w:r>
              <w:rPr>
                <w:rFonts w:cs="Times New Roman"/>
                <w:color w:val="auto"/>
                <w:spacing w:val="-4"/>
                <w:position w:val="12"/>
                <w:sz w:val="24"/>
                <w:szCs w:val="24"/>
                <w:highlight w:val="none"/>
                <w:shd w:val="clear" w:color="auto" w:fill="FFFFFF"/>
              </w:rPr>
              <w:t>misc</w:t>
            </w:r>
            <w:r>
              <w:rPr>
                <w:rFonts w:cs="Times New Roman"/>
                <w:color w:val="auto"/>
                <w:spacing w:val="-4"/>
                <w:position w:val="14"/>
                <w:sz w:val="24"/>
                <w:szCs w:val="24"/>
                <w:highlight w:val="none"/>
              </w:rPr>
              <w:t>—</w:t>
            </w:r>
            <w:r>
              <w:rPr>
                <w:rFonts w:cs="Times New Roman"/>
                <w:color w:val="auto"/>
                <w:sz w:val="24"/>
                <w:szCs w:val="24"/>
                <w:highlight w:val="none"/>
              </w:rPr>
              <w:t>其他多方面效应引起的倍频带衰减</w:t>
            </w:r>
            <w:r>
              <w:rPr>
                <w:rFonts w:cs="Times New Roman"/>
                <w:color w:val="auto"/>
                <w:spacing w:val="-4"/>
                <w:position w:val="14"/>
                <w:sz w:val="24"/>
                <w:szCs w:val="24"/>
                <w:highlight w:val="none"/>
              </w:rPr>
              <w:t>，dB。</w:t>
            </w:r>
          </w:p>
          <w:p w14:paraId="0664D8C5">
            <w:pPr>
              <w:pStyle w:val="34"/>
              <w:spacing w:line="360" w:lineRule="auto"/>
              <w:ind w:firstLine="480"/>
              <w:rPr>
                <w:rFonts w:cs="Times New Roman"/>
                <w:color w:val="auto"/>
                <w:sz w:val="24"/>
                <w:szCs w:val="24"/>
                <w:highlight w:val="none"/>
              </w:rPr>
            </w:pPr>
            <w:r>
              <w:rPr>
                <w:rFonts w:cs="Times New Roman"/>
                <w:color w:val="auto"/>
                <w:sz w:val="24"/>
                <w:szCs w:val="24"/>
                <w:highlight w:val="none"/>
              </w:rPr>
              <w:t>如已知靠近声源处某点的倍频带声压级Lp（r0）时，相同方向预测点位置的倍频带声压级Lp（r）的计算公式为：</w:t>
            </w:r>
          </w:p>
          <w:p w14:paraId="70E1CA29">
            <w:pPr>
              <w:pStyle w:val="58"/>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638300" cy="335280"/>
                  <wp:effectExtent l="0" t="0" r="0"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1" r:link="rId32"/>
                          <a:stretch>
                            <a:fillRect/>
                          </a:stretch>
                        </pic:blipFill>
                        <pic:spPr>
                          <a:xfrm>
                            <a:off x="0" y="0"/>
                            <a:ext cx="1638300" cy="33528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2135022">
            <w:pPr>
              <w:pStyle w:val="34"/>
              <w:spacing w:line="360" w:lineRule="auto"/>
              <w:ind w:firstLine="480"/>
              <w:rPr>
                <w:rFonts w:cs="Times New Roman"/>
                <w:color w:val="auto"/>
                <w:sz w:val="24"/>
                <w:szCs w:val="24"/>
                <w:highlight w:val="none"/>
              </w:rPr>
            </w:pPr>
            <w:r>
              <w:rPr>
                <w:rFonts w:cs="Times New Roman"/>
                <w:color w:val="auto"/>
                <w:sz w:val="24"/>
                <w:szCs w:val="24"/>
                <w:highlight w:val="none"/>
              </w:rPr>
              <w:t>预测点的A声级LA(r</w:t>
            </w:r>
            <w:r>
              <w:rPr>
                <w:rFonts w:hint="eastAsia" w:cs="Times New Roman"/>
                <w:color w:val="auto"/>
                <w:sz w:val="24"/>
                <w:szCs w:val="24"/>
                <w:highlight w:val="none"/>
                <w:lang w:eastAsia="zh-CN"/>
              </w:rPr>
              <w:t>）</w:t>
            </w:r>
            <w:r>
              <w:rPr>
                <w:rFonts w:cs="Times New Roman"/>
                <w:color w:val="auto"/>
                <w:sz w:val="24"/>
                <w:szCs w:val="24"/>
                <w:highlight w:val="none"/>
              </w:rPr>
              <w:t>，可利用8个倍频带的声压级按下式计算：</w:t>
            </w:r>
          </w:p>
          <w:p w14:paraId="407A7DB7">
            <w:pPr>
              <w:pStyle w:val="58"/>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712720" cy="571500"/>
                  <wp:effectExtent l="0" t="0" r="1143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3" r:link="rId34"/>
                          <a:stretch>
                            <a:fillRect/>
                          </a:stretch>
                        </pic:blipFill>
                        <pic:spPr>
                          <a:xfrm>
                            <a:off x="0" y="0"/>
                            <a:ext cx="2712720" cy="5715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5CBECC23">
            <w:pPr>
              <w:pStyle w:val="34"/>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7795E301">
            <w:pPr>
              <w:pStyle w:val="34"/>
              <w:spacing w:line="360" w:lineRule="auto"/>
              <w:ind w:firstLine="480"/>
              <w:rPr>
                <w:rFonts w:cs="Times New Roman"/>
                <w:color w:val="auto"/>
                <w:sz w:val="24"/>
                <w:szCs w:val="24"/>
                <w:highlight w:val="none"/>
              </w:rPr>
            </w:pP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pi</w:t>
            </w:r>
            <w:r>
              <w:rPr>
                <w:rFonts w:cs="Times New Roman"/>
                <w:color w:val="auto"/>
                <w:sz w:val="24"/>
                <w:szCs w:val="24"/>
                <w:highlight w:val="none"/>
                <w:vertAlign w:val="subscript"/>
              </w:rPr>
              <w:t>(r)</w:t>
            </w:r>
            <w:r>
              <w:rPr>
                <w:rFonts w:cs="Times New Roman"/>
                <w:color w:val="auto"/>
                <w:sz w:val="24"/>
                <w:szCs w:val="24"/>
                <w:highlight w:val="none"/>
              </w:rPr>
              <w:t>----预测点（r）处，第i倍频带声压级，dB；</w:t>
            </w:r>
          </w:p>
          <w:p w14:paraId="17FADF33">
            <w:pPr>
              <w:pStyle w:val="34"/>
              <w:spacing w:line="360" w:lineRule="auto"/>
              <w:ind w:firstLine="480"/>
              <w:rPr>
                <w:rFonts w:cs="Times New Roman"/>
                <w:color w:val="auto"/>
                <w:sz w:val="24"/>
                <w:szCs w:val="24"/>
                <w:highlight w:val="none"/>
              </w:rPr>
            </w:pPr>
            <w:r>
              <w:rPr>
                <w:rFonts w:ascii="Cambria Math" w:hAnsi="Cambria Math" w:cs="Cambria Math"/>
                <w:color w:val="auto"/>
                <w:sz w:val="24"/>
                <w:szCs w:val="24"/>
                <w:highlight w:val="none"/>
              </w:rPr>
              <w:t>△</w:t>
            </w:r>
            <w:r>
              <w:rPr>
                <w:rFonts w:cs="Times New Roman"/>
                <w:color w:val="auto"/>
                <w:sz w:val="24"/>
                <w:szCs w:val="24"/>
                <w:highlight w:val="none"/>
              </w:rPr>
              <w:t>L</w:t>
            </w:r>
            <w:r>
              <w:rPr>
                <w:rFonts w:cs="Times New Roman"/>
                <w:color w:val="auto"/>
                <w:sz w:val="24"/>
                <w:szCs w:val="24"/>
                <w:highlight w:val="none"/>
                <w:vertAlign w:val="subscript"/>
              </w:rPr>
              <w:t>i—i</w:t>
            </w:r>
            <w:r>
              <w:rPr>
                <w:rFonts w:cs="Times New Roman"/>
                <w:color w:val="auto"/>
                <w:sz w:val="24"/>
                <w:szCs w:val="24"/>
                <w:highlight w:val="none"/>
              </w:rPr>
              <w:t>倍频带A计算网络修正值，dB（见导则附录B）。</w:t>
            </w:r>
          </w:p>
          <w:p w14:paraId="187AB624">
            <w:pPr>
              <w:pStyle w:val="34"/>
              <w:spacing w:line="360" w:lineRule="auto"/>
              <w:ind w:firstLine="480"/>
              <w:rPr>
                <w:rFonts w:cs="Times New Roman"/>
                <w:color w:val="auto"/>
                <w:sz w:val="24"/>
                <w:szCs w:val="24"/>
                <w:highlight w:val="none"/>
              </w:rPr>
            </w:pPr>
            <w:r>
              <w:rPr>
                <w:rFonts w:cs="Times New Roman"/>
                <w:color w:val="auto"/>
                <w:sz w:val="24"/>
                <w:szCs w:val="24"/>
                <w:highlight w:val="none"/>
              </w:rPr>
              <w:t>（2）室内声源等效室外声源声功率级计算方法</w:t>
            </w:r>
          </w:p>
          <w:p w14:paraId="54ACFDDA">
            <w:pPr>
              <w:pStyle w:val="34"/>
              <w:spacing w:line="360" w:lineRule="auto"/>
              <w:ind w:firstLine="480"/>
              <w:rPr>
                <w:rFonts w:cs="Times New Roman"/>
                <w:color w:val="auto"/>
                <w:sz w:val="24"/>
                <w:szCs w:val="24"/>
                <w:highlight w:val="none"/>
              </w:rPr>
            </w:pPr>
            <w:r>
              <w:rPr>
                <w:rFonts w:cs="Times New Roman"/>
                <w:color w:val="auto"/>
                <w:sz w:val="24"/>
                <w:szCs w:val="24"/>
                <w:highlight w:val="none"/>
              </w:rPr>
              <w:t>如下图所示，声源位于室内，室内声源可采用等效室外声源声功率级法进行计算。设靠近开口处（或窗户）室内、室外某倍频带的声压级分别为L</w:t>
            </w:r>
            <w:r>
              <w:rPr>
                <w:rFonts w:cs="Times New Roman"/>
                <w:color w:val="auto"/>
                <w:sz w:val="24"/>
                <w:szCs w:val="24"/>
                <w:highlight w:val="none"/>
                <w:vertAlign w:val="subscript"/>
              </w:rPr>
              <w:t>p1</w:t>
            </w:r>
            <w:r>
              <w:rPr>
                <w:rFonts w:cs="Times New Roman"/>
                <w:color w:val="auto"/>
                <w:sz w:val="24"/>
                <w:szCs w:val="24"/>
                <w:highlight w:val="none"/>
              </w:rPr>
              <w:t>和L</w:t>
            </w:r>
            <w:r>
              <w:rPr>
                <w:rFonts w:cs="Times New Roman"/>
                <w:color w:val="auto"/>
                <w:sz w:val="24"/>
                <w:szCs w:val="24"/>
                <w:highlight w:val="none"/>
                <w:vertAlign w:val="subscript"/>
              </w:rPr>
              <w:t>p2</w:t>
            </w:r>
            <w:r>
              <w:rPr>
                <w:rFonts w:cs="Times New Roman"/>
                <w:color w:val="auto"/>
                <w:sz w:val="24"/>
                <w:szCs w:val="24"/>
                <w:highlight w:val="none"/>
              </w:rPr>
              <w:t>。若声源所在室内声场为近似扩散声场，则室内的倍频带声压级可按下式近似求出：</w:t>
            </w:r>
          </w:p>
          <w:p w14:paraId="1EF793B0">
            <w:pPr>
              <w:pStyle w:val="58"/>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752600" cy="381000"/>
                  <wp:effectExtent l="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5" r:link="rId36"/>
                          <a:stretch>
                            <a:fillRect/>
                          </a:stretch>
                        </pic:blipFill>
                        <pic:spPr>
                          <a:xfrm>
                            <a:off x="0" y="0"/>
                            <a:ext cx="1752600" cy="3810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6A8B630C">
            <w:pPr>
              <w:pStyle w:val="34"/>
              <w:spacing w:line="360" w:lineRule="auto"/>
              <w:ind w:firstLine="480"/>
              <w:rPr>
                <w:rFonts w:cs="Times New Roman"/>
                <w:color w:val="auto"/>
                <w:sz w:val="24"/>
                <w:szCs w:val="24"/>
                <w:highlight w:val="none"/>
              </w:rPr>
            </w:pPr>
            <w:r>
              <w:rPr>
                <w:rFonts w:cs="Times New Roman"/>
                <w:color w:val="auto"/>
                <w:sz w:val="24"/>
                <w:szCs w:val="24"/>
                <w:highlight w:val="none"/>
              </w:rPr>
              <w:t>式中：TL-隔墙（或窗户）倍频带的隔声量，dB。</w:t>
            </w:r>
          </w:p>
          <w:p w14:paraId="25072185">
            <w:pPr>
              <w:pStyle w:val="58"/>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3025140" cy="1661160"/>
                  <wp:effectExtent l="0" t="0" r="3810" b="1524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37" r:link="rId38"/>
                          <a:stretch>
                            <a:fillRect/>
                          </a:stretch>
                        </pic:blipFill>
                        <pic:spPr>
                          <a:xfrm>
                            <a:off x="0" y="0"/>
                            <a:ext cx="3025140" cy="16611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5C92F88">
            <w:pPr>
              <w:pStyle w:val="34"/>
              <w:spacing w:line="360" w:lineRule="auto"/>
              <w:ind w:firstLine="480"/>
              <w:rPr>
                <w:rFonts w:cs="Times New Roman"/>
                <w:color w:val="auto"/>
                <w:sz w:val="24"/>
                <w:szCs w:val="24"/>
                <w:highlight w:val="none"/>
              </w:rPr>
            </w:pPr>
            <w:r>
              <w:rPr>
                <w:rFonts w:cs="Times New Roman"/>
                <w:color w:val="auto"/>
                <w:sz w:val="24"/>
                <w:szCs w:val="24"/>
                <w:highlight w:val="none"/>
              </w:rPr>
              <w:t>按下式计算某一室内声源靠近围护结构处产生的倍频带声压级：</w:t>
            </w:r>
          </w:p>
          <w:p w14:paraId="20879975">
            <w:pPr>
              <w:pStyle w:val="58"/>
              <w:spacing w:line="360" w:lineRule="auto"/>
              <w:ind w:firstLine="480"/>
              <w:rPr>
                <w:rFonts w:cs="Times New Roman"/>
                <w:b/>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308860" cy="571500"/>
                  <wp:effectExtent l="0" t="0" r="1524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9" r:link="rId40"/>
                          <a:stretch>
                            <a:fillRect/>
                          </a:stretch>
                        </pic:blipFill>
                        <pic:spPr>
                          <a:xfrm>
                            <a:off x="0" y="0"/>
                            <a:ext cx="2308860" cy="5715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2A63F8E">
            <w:pPr>
              <w:pStyle w:val="34"/>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438209FB">
            <w:pPr>
              <w:pStyle w:val="34"/>
              <w:spacing w:line="360" w:lineRule="auto"/>
              <w:ind w:firstLine="480"/>
              <w:rPr>
                <w:rFonts w:cs="Times New Roman"/>
                <w:color w:val="auto"/>
                <w:sz w:val="24"/>
                <w:szCs w:val="24"/>
                <w:highlight w:val="none"/>
              </w:rPr>
            </w:pPr>
            <w:r>
              <w:rPr>
                <w:rFonts w:cs="Times New Roman"/>
                <w:color w:val="auto"/>
                <w:sz w:val="24"/>
                <w:szCs w:val="24"/>
                <w:highlight w:val="none"/>
              </w:rPr>
              <w:t>Q----指向性因素；通常对无指向性声源，当声源放在房间中心时，Q=1；当放在一面墙的中心时，Q=2；当放在两面墙夹角处时；Q=4；当放在三面墙夹角处时，Q=8。</w:t>
            </w:r>
          </w:p>
          <w:p w14:paraId="0B9EA13D">
            <w:pPr>
              <w:pStyle w:val="34"/>
              <w:spacing w:line="360" w:lineRule="auto"/>
              <w:ind w:firstLine="480"/>
              <w:rPr>
                <w:rFonts w:cs="Times New Roman"/>
                <w:color w:val="auto"/>
                <w:sz w:val="24"/>
                <w:szCs w:val="24"/>
                <w:highlight w:val="none"/>
              </w:rPr>
            </w:pPr>
            <w:r>
              <w:rPr>
                <w:rFonts w:cs="Times New Roman"/>
                <w:color w:val="auto"/>
                <w:sz w:val="24"/>
                <w:szCs w:val="24"/>
                <w:highlight w:val="none"/>
              </w:rPr>
              <w:t>R----房间系数；R=Sα/(1-α</w:t>
            </w:r>
            <w:r>
              <w:rPr>
                <w:rFonts w:hint="eastAsia" w:cs="Times New Roman"/>
                <w:color w:val="auto"/>
                <w:sz w:val="24"/>
                <w:szCs w:val="24"/>
                <w:highlight w:val="none"/>
                <w:lang w:eastAsia="zh-CN"/>
              </w:rPr>
              <w:t>）</w:t>
            </w:r>
            <w:r>
              <w:rPr>
                <w:rFonts w:cs="Times New Roman"/>
                <w:color w:val="auto"/>
                <w:sz w:val="24"/>
                <w:szCs w:val="24"/>
                <w:highlight w:val="none"/>
              </w:rPr>
              <w:t>，S为房间内表面面积，m</w:t>
            </w:r>
            <w:r>
              <w:rPr>
                <w:rFonts w:cs="Times New Roman"/>
                <w:color w:val="auto"/>
                <w:sz w:val="24"/>
                <w:szCs w:val="24"/>
                <w:highlight w:val="none"/>
                <w:vertAlign w:val="superscript"/>
              </w:rPr>
              <w:t>2</w:t>
            </w:r>
            <w:r>
              <w:rPr>
                <w:rFonts w:cs="Times New Roman"/>
                <w:color w:val="auto"/>
                <w:sz w:val="24"/>
                <w:szCs w:val="24"/>
                <w:highlight w:val="none"/>
              </w:rPr>
              <w:t>；α为平均吸声系数。</w:t>
            </w:r>
          </w:p>
          <w:p w14:paraId="112A78C5">
            <w:pPr>
              <w:pStyle w:val="34"/>
              <w:spacing w:line="360" w:lineRule="auto"/>
              <w:ind w:firstLine="480"/>
              <w:rPr>
                <w:rFonts w:cs="Times New Roman"/>
                <w:color w:val="auto"/>
                <w:sz w:val="24"/>
                <w:szCs w:val="24"/>
                <w:highlight w:val="none"/>
              </w:rPr>
            </w:pPr>
            <w:r>
              <w:rPr>
                <w:rFonts w:cs="Times New Roman"/>
                <w:color w:val="auto"/>
                <w:sz w:val="24"/>
                <w:szCs w:val="24"/>
                <w:highlight w:val="none"/>
              </w:rPr>
              <w:t>r-----声源到靠近围护结构某点处的距离，m。</w:t>
            </w:r>
          </w:p>
          <w:p w14:paraId="4AEDD3EA">
            <w:pPr>
              <w:pStyle w:val="34"/>
              <w:spacing w:line="360" w:lineRule="auto"/>
              <w:ind w:firstLine="480"/>
              <w:rPr>
                <w:rFonts w:cs="Times New Roman"/>
                <w:color w:val="auto"/>
                <w:sz w:val="24"/>
                <w:szCs w:val="24"/>
                <w:highlight w:val="none"/>
              </w:rPr>
            </w:pPr>
            <w:r>
              <w:rPr>
                <w:rFonts w:hint="eastAsia"/>
                <w:color w:val="auto"/>
                <w:sz w:val="24"/>
                <w:szCs w:val="24"/>
                <w:highlight w:val="none"/>
              </w:rPr>
              <w:t>②</w:t>
            </w:r>
            <w:r>
              <w:rPr>
                <w:rFonts w:cs="Times New Roman"/>
                <w:color w:val="auto"/>
                <w:sz w:val="24"/>
                <w:szCs w:val="24"/>
                <w:highlight w:val="none"/>
              </w:rPr>
              <w:t>计算出所有室内声源在靠近围护结构处产生的i倍频带叠加声压级：</w:t>
            </w:r>
          </w:p>
          <w:p w14:paraId="158BF057">
            <w:pPr>
              <w:pStyle w:val="58"/>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103120" cy="670560"/>
                  <wp:effectExtent l="0" t="0" r="11430" b="152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41" r:link="rId42"/>
                          <a:stretch>
                            <a:fillRect/>
                          </a:stretch>
                        </pic:blipFill>
                        <pic:spPr>
                          <a:xfrm>
                            <a:off x="0" y="0"/>
                            <a:ext cx="2103120" cy="6705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7D59C02C">
            <w:pPr>
              <w:pStyle w:val="34"/>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44FDAA67">
            <w:pPr>
              <w:pStyle w:val="34"/>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p1i(T)-</w:t>
            </w:r>
            <w:r>
              <w:rPr>
                <w:rFonts w:cs="Times New Roman"/>
                <w:color w:val="auto"/>
                <w:sz w:val="24"/>
                <w:szCs w:val="24"/>
                <w:highlight w:val="none"/>
              </w:rPr>
              <w:t>--靠近围护结构处室内N个声源i倍频带的叠加声压级，dB；</w:t>
            </w:r>
          </w:p>
          <w:p w14:paraId="0D64FD58">
            <w:pPr>
              <w:pStyle w:val="34"/>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p1ij</w:t>
            </w:r>
            <w:r>
              <w:rPr>
                <w:rFonts w:cs="Times New Roman"/>
                <w:color w:val="auto"/>
                <w:sz w:val="24"/>
                <w:szCs w:val="24"/>
                <w:highlight w:val="none"/>
              </w:rPr>
              <w:t>--</w:t>
            </w:r>
            <w:r>
              <w:rPr>
                <w:rFonts w:cs="Times New Roman"/>
                <w:color w:val="auto"/>
                <w:sz w:val="24"/>
                <w:szCs w:val="24"/>
                <w:highlight w:val="none"/>
                <w:shd w:val="clear" w:color="auto" w:fill="FFFFFF"/>
              </w:rPr>
              <w:t>-</w:t>
            </w:r>
            <w:r>
              <w:rPr>
                <w:rFonts w:cs="Times New Roman"/>
                <w:color w:val="auto"/>
                <w:sz w:val="24"/>
                <w:szCs w:val="24"/>
                <w:highlight w:val="none"/>
              </w:rPr>
              <w:t>室内j声源i倍频带的声压级，dB；</w:t>
            </w:r>
          </w:p>
          <w:p w14:paraId="0ACB57DA">
            <w:pPr>
              <w:pStyle w:val="34"/>
              <w:spacing w:line="360" w:lineRule="auto"/>
              <w:ind w:firstLine="480"/>
              <w:rPr>
                <w:rFonts w:cs="Times New Roman"/>
                <w:color w:val="auto"/>
                <w:sz w:val="24"/>
                <w:szCs w:val="24"/>
                <w:highlight w:val="none"/>
              </w:rPr>
            </w:pPr>
            <w:r>
              <w:rPr>
                <w:rFonts w:cs="Times New Roman"/>
                <w:color w:val="auto"/>
                <w:sz w:val="24"/>
                <w:szCs w:val="24"/>
                <w:highlight w:val="none"/>
              </w:rPr>
              <w:t>N--</w:t>
            </w:r>
            <w:r>
              <w:rPr>
                <w:rFonts w:cs="Times New Roman"/>
                <w:color w:val="auto"/>
                <w:sz w:val="24"/>
                <w:szCs w:val="24"/>
                <w:highlight w:val="none"/>
                <w:shd w:val="clear" w:color="auto" w:fill="FFFFFF"/>
              </w:rPr>
              <w:t>-</w:t>
            </w:r>
            <w:r>
              <w:rPr>
                <w:rFonts w:cs="Times New Roman"/>
                <w:color w:val="auto"/>
                <w:sz w:val="24"/>
                <w:szCs w:val="24"/>
                <w:highlight w:val="none"/>
              </w:rPr>
              <w:t>室内声源总数。</w:t>
            </w:r>
          </w:p>
          <w:p w14:paraId="168A8A5C">
            <w:pPr>
              <w:pStyle w:val="34"/>
              <w:spacing w:line="360" w:lineRule="auto"/>
              <w:ind w:firstLine="480"/>
              <w:rPr>
                <w:rFonts w:cs="Times New Roman"/>
                <w:color w:val="auto"/>
                <w:sz w:val="24"/>
                <w:szCs w:val="24"/>
                <w:highlight w:val="none"/>
              </w:rPr>
            </w:pPr>
            <w:r>
              <w:rPr>
                <w:rFonts w:hint="eastAsia"/>
                <w:color w:val="auto"/>
                <w:sz w:val="24"/>
                <w:szCs w:val="24"/>
                <w:highlight w:val="none"/>
              </w:rPr>
              <w:t>③</w:t>
            </w:r>
            <w:r>
              <w:rPr>
                <w:rFonts w:cs="Times New Roman"/>
                <w:color w:val="auto"/>
                <w:sz w:val="24"/>
                <w:szCs w:val="24"/>
                <w:highlight w:val="none"/>
              </w:rPr>
              <w:t>计算出室外靠近围护结构处的声压级：</w:t>
            </w:r>
          </w:p>
          <w:p w14:paraId="40AD0852">
            <w:pPr>
              <w:pStyle w:val="58"/>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423160" cy="365760"/>
                  <wp:effectExtent l="0" t="0" r="1524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3" r:link="rId44"/>
                          <a:stretch>
                            <a:fillRect/>
                          </a:stretch>
                        </pic:blipFill>
                        <pic:spPr>
                          <a:xfrm>
                            <a:off x="0" y="0"/>
                            <a:ext cx="2423160" cy="3657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A79B277">
            <w:pPr>
              <w:pStyle w:val="34"/>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3194474C">
            <w:pPr>
              <w:pStyle w:val="34"/>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p2i(T)</w:t>
            </w:r>
            <w:r>
              <w:rPr>
                <w:rFonts w:cs="Times New Roman"/>
                <w:color w:val="auto"/>
                <w:sz w:val="24"/>
                <w:szCs w:val="24"/>
                <w:highlight w:val="none"/>
              </w:rPr>
              <w:t>---靠近围护结构处室内N个声源i倍频带的叠加声压级，dB；</w:t>
            </w:r>
          </w:p>
          <w:p w14:paraId="5B8A1EC0">
            <w:pPr>
              <w:pStyle w:val="34"/>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Li</w:t>
            </w:r>
            <w:r>
              <w:rPr>
                <w:rFonts w:cs="Times New Roman"/>
                <w:color w:val="auto"/>
                <w:sz w:val="24"/>
                <w:szCs w:val="24"/>
                <w:highlight w:val="none"/>
              </w:rPr>
              <w:t>---围护结构i倍频带的隔声量，dB。</w:t>
            </w:r>
          </w:p>
          <w:p w14:paraId="0D8EB288">
            <w:pPr>
              <w:pStyle w:val="34"/>
              <w:spacing w:line="360" w:lineRule="auto"/>
              <w:ind w:firstLine="480"/>
              <w:rPr>
                <w:rFonts w:cs="Times New Roman"/>
                <w:color w:val="auto"/>
                <w:sz w:val="24"/>
                <w:szCs w:val="24"/>
                <w:highlight w:val="none"/>
              </w:rPr>
            </w:pPr>
            <w:r>
              <w:rPr>
                <w:rFonts w:hint="eastAsia"/>
                <w:color w:val="auto"/>
                <w:sz w:val="24"/>
                <w:szCs w:val="24"/>
                <w:highlight w:val="none"/>
              </w:rPr>
              <w:t>④</w:t>
            </w:r>
            <w:r>
              <w:rPr>
                <w:rFonts w:cs="Times New Roman"/>
                <w:color w:val="auto"/>
                <w:sz w:val="24"/>
                <w:szCs w:val="24"/>
                <w:highlight w:val="none"/>
              </w:rPr>
              <w:t>将室外声源的声压级和透声面积换算成等效的室外声源，计算出中心位置位于透声面积（S）处的等效声源的倍频带的声功率级：</w:t>
            </w:r>
          </w:p>
          <w:p w14:paraId="6247D729">
            <w:pPr>
              <w:pStyle w:val="58"/>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798320" cy="426720"/>
                  <wp:effectExtent l="0" t="0" r="11430" b="1143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45" r:link="rId46"/>
                          <a:stretch>
                            <a:fillRect/>
                          </a:stretch>
                        </pic:blipFill>
                        <pic:spPr>
                          <a:xfrm>
                            <a:off x="0" y="0"/>
                            <a:ext cx="1798320" cy="42672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69ECE58D">
            <w:pPr>
              <w:pStyle w:val="34"/>
              <w:spacing w:line="360" w:lineRule="auto"/>
              <w:ind w:firstLine="480"/>
              <w:rPr>
                <w:rFonts w:cs="Times New Roman"/>
                <w:color w:val="auto"/>
                <w:sz w:val="24"/>
                <w:szCs w:val="24"/>
                <w:highlight w:val="none"/>
              </w:rPr>
            </w:pPr>
            <w:r>
              <w:rPr>
                <w:rFonts w:cs="Times New Roman"/>
                <w:color w:val="auto"/>
                <w:sz w:val="24"/>
                <w:szCs w:val="24"/>
                <w:highlight w:val="none"/>
              </w:rPr>
              <w:t>式中：S为透声面积，㎡。</w:t>
            </w:r>
          </w:p>
          <w:p w14:paraId="3E819AFC">
            <w:pPr>
              <w:pStyle w:val="34"/>
              <w:spacing w:line="360" w:lineRule="auto"/>
              <w:ind w:firstLine="480"/>
              <w:rPr>
                <w:rFonts w:cs="Times New Roman"/>
                <w:color w:val="auto"/>
                <w:sz w:val="24"/>
                <w:szCs w:val="24"/>
                <w:highlight w:val="none"/>
              </w:rPr>
            </w:pPr>
            <w:r>
              <w:rPr>
                <w:rFonts w:hint="eastAsia"/>
                <w:color w:val="auto"/>
                <w:sz w:val="24"/>
                <w:szCs w:val="24"/>
                <w:highlight w:val="none"/>
              </w:rPr>
              <w:t>⑤</w:t>
            </w:r>
            <w:r>
              <w:rPr>
                <w:rFonts w:cs="Times New Roman"/>
                <w:color w:val="auto"/>
                <w:sz w:val="24"/>
                <w:szCs w:val="24"/>
                <w:highlight w:val="none"/>
              </w:rPr>
              <w:t>等效室外声源的位置为围护结构的位置，其倍频带声功率级为Lw，由此按室外声源</w:t>
            </w:r>
            <w:r>
              <w:rPr>
                <w:rFonts w:cs="Times New Roman"/>
                <w:color w:val="auto"/>
                <w:sz w:val="24"/>
                <w:szCs w:val="24"/>
                <w:highlight w:val="none"/>
                <w:shd w:val="clear" w:color="auto" w:fill="FFFFFF"/>
              </w:rPr>
              <w:t>方法</w:t>
            </w:r>
            <w:r>
              <w:rPr>
                <w:rFonts w:cs="Times New Roman"/>
                <w:color w:val="auto"/>
                <w:sz w:val="24"/>
                <w:szCs w:val="24"/>
                <w:highlight w:val="none"/>
              </w:rPr>
              <w:t>计算等效室外声源在预测点产生的声级。</w:t>
            </w:r>
          </w:p>
          <w:p w14:paraId="27B1963A">
            <w:pPr>
              <w:pStyle w:val="34"/>
              <w:spacing w:line="360" w:lineRule="auto"/>
              <w:ind w:firstLine="480"/>
              <w:rPr>
                <w:rFonts w:cs="Times New Roman"/>
                <w:color w:val="auto"/>
                <w:sz w:val="24"/>
                <w:szCs w:val="24"/>
                <w:highlight w:val="none"/>
              </w:rPr>
            </w:pPr>
            <w:r>
              <w:rPr>
                <w:rFonts w:cs="Times New Roman"/>
                <w:color w:val="auto"/>
                <w:sz w:val="24"/>
                <w:szCs w:val="24"/>
                <w:highlight w:val="none"/>
              </w:rPr>
              <w:t>（3）噪声贡献值计算</w:t>
            </w:r>
          </w:p>
          <w:p w14:paraId="6C2B5925">
            <w:pPr>
              <w:pStyle w:val="34"/>
              <w:spacing w:line="360" w:lineRule="auto"/>
              <w:ind w:firstLine="480"/>
              <w:rPr>
                <w:rFonts w:cs="Times New Roman"/>
                <w:color w:val="auto"/>
                <w:sz w:val="24"/>
                <w:szCs w:val="24"/>
                <w:highlight w:val="none"/>
              </w:rPr>
            </w:pPr>
            <w:r>
              <w:rPr>
                <w:rFonts w:cs="Times New Roman"/>
                <w:color w:val="auto"/>
                <w:sz w:val="24"/>
                <w:szCs w:val="24"/>
                <w:highlight w:val="none"/>
              </w:rPr>
              <w:t>设第i个室外声源在预测点产生的A声级为L</w:t>
            </w:r>
            <w:r>
              <w:rPr>
                <w:rFonts w:cs="Times New Roman"/>
                <w:color w:val="auto"/>
                <w:sz w:val="24"/>
                <w:szCs w:val="24"/>
                <w:highlight w:val="none"/>
                <w:vertAlign w:val="subscript"/>
              </w:rPr>
              <w:t>Ai</w:t>
            </w:r>
            <w:r>
              <w:rPr>
                <w:rFonts w:cs="Times New Roman"/>
                <w:color w:val="auto"/>
                <w:sz w:val="24"/>
                <w:szCs w:val="24"/>
                <w:highlight w:val="none"/>
              </w:rPr>
              <w:t>，在T时间内该声源工作时间为t</w:t>
            </w:r>
            <w:r>
              <w:rPr>
                <w:rFonts w:cs="Times New Roman"/>
                <w:color w:val="auto"/>
                <w:sz w:val="24"/>
                <w:szCs w:val="24"/>
                <w:highlight w:val="none"/>
                <w:vertAlign w:val="subscript"/>
              </w:rPr>
              <w:t>i</w:t>
            </w:r>
            <w:r>
              <w:rPr>
                <w:rFonts w:cs="Times New Roman"/>
                <w:color w:val="auto"/>
                <w:sz w:val="24"/>
                <w:szCs w:val="24"/>
                <w:highlight w:val="none"/>
              </w:rPr>
              <w:t>；第j个等效室外声源在预测点产生的A声级为</w:t>
            </w: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Aj</w:t>
            </w:r>
            <w:r>
              <w:rPr>
                <w:rFonts w:cs="Times New Roman"/>
                <w:color w:val="auto"/>
                <w:sz w:val="24"/>
                <w:szCs w:val="24"/>
                <w:highlight w:val="none"/>
              </w:rPr>
              <w:t>，在拟建工程声源对预测点产生的贡献值（</w:t>
            </w:r>
            <w:r>
              <w:rPr>
                <w:rFonts w:cs="Times New Roman"/>
                <w:color w:val="auto"/>
                <w:sz w:val="24"/>
                <w:szCs w:val="24"/>
                <w:highlight w:val="none"/>
                <w:shd w:val="clear" w:color="auto" w:fill="FFFFFF"/>
              </w:rPr>
              <w:t>Le</w:t>
            </w:r>
            <w:r>
              <w:rPr>
                <w:rFonts w:cs="Times New Roman"/>
                <w:color w:val="auto"/>
                <w:sz w:val="24"/>
                <w:szCs w:val="24"/>
                <w:highlight w:val="none"/>
                <w:shd w:val="clear" w:color="auto" w:fill="FFFFFF"/>
                <w:vertAlign w:val="subscript"/>
              </w:rPr>
              <w:t>qg</w:t>
            </w:r>
            <w:r>
              <w:rPr>
                <w:rFonts w:cs="Times New Roman"/>
                <w:color w:val="auto"/>
                <w:sz w:val="24"/>
                <w:szCs w:val="24"/>
                <w:highlight w:val="none"/>
                <w:vertAlign w:val="subscript"/>
              </w:rPr>
              <w:t>）</w:t>
            </w:r>
            <w:r>
              <w:rPr>
                <w:rFonts w:cs="Times New Roman"/>
                <w:color w:val="auto"/>
                <w:sz w:val="24"/>
                <w:szCs w:val="24"/>
                <w:highlight w:val="none"/>
              </w:rPr>
              <w:t>为：</w:t>
            </w:r>
          </w:p>
          <w:p w14:paraId="360E193E">
            <w:pPr>
              <w:pStyle w:val="58"/>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3268980" cy="579120"/>
                  <wp:effectExtent l="0" t="0" r="7620" b="1143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47" r:link="rId48"/>
                          <a:stretch>
                            <a:fillRect/>
                          </a:stretch>
                        </pic:blipFill>
                        <pic:spPr>
                          <a:xfrm>
                            <a:off x="0" y="0"/>
                            <a:ext cx="3268980" cy="57912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43649794">
            <w:pPr>
              <w:pStyle w:val="34"/>
              <w:spacing w:line="360" w:lineRule="auto"/>
              <w:ind w:firstLine="412"/>
              <w:rPr>
                <w:rFonts w:cs="Times New Roman"/>
                <w:color w:val="auto"/>
                <w:sz w:val="24"/>
                <w:szCs w:val="24"/>
                <w:highlight w:val="none"/>
              </w:rPr>
            </w:pPr>
            <w:r>
              <w:rPr>
                <w:rFonts w:cs="Times New Roman"/>
                <w:color w:val="auto"/>
                <w:spacing w:val="-17"/>
                <w:sz w:val="24"/>
                <w:szCs w:val="24"/>
                <w:highlight w:val="none"/>
              </w:rPr>
              <w:t>式</w:t>
            </w:r>
            <w:r>
              <w:rPr>
                <w:rFonts w:cs="Times New Roman"/>
                <w:color w:val="auto"/>
                <w:sz w:val="24"/>
                <w:szCs w:val="24"/>
                <w:highlight w:val="none"/>
              </w:rPr>
              <w:t>中：</w:t>
            </w:r>
          </w:p>
          <w:p w14:paraId="0A121152">
            <w:pPr>
              <w:pStyle w:val="34"/>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j</w:t>
            </w:r>
            <w:r>
              <w:rPr>
                <w:rFonts w:cs="Times New Roman"/>
                <w:color w:val="auto"/>
                <w:sz w:val="24"/>
                <w:szCs w:val="24"/>
                <w:highlight w:val="none"/>
              </w:rPr>
              <w:t>---在T时间内j声源工作时间，s；</w:t>
            </w:r>
          </w:p>
          <w:p w14:paraId="44C4CE2F">
            <w:pPr>
              <w:pStyle w:val="34"/>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i</w:t>
            </w:r>
            <w:r>
              <w:rPr>
                <w:rFonts w:cs="Times New Roman"/>
                <w:color w:val="auto"/>
                <w:sz w:val="24"/>
                <w:szCs w:val="24"/>
                <w:highlight w:val="none"/>
              </w:rPr>
              <w:t>---在T时间内i声源工作时间，s；</w:t>
            </w:r>
          </w:p>
          <w:p w14:paraId="269357FC">
            <w:pPr>
              <w:pStyle w:val="34"/>
              <w:spacing w:line="360" w:lineRule="auto"/>
              <w:ind w:firstLine="480"/>
              <w:rPr>
                <w:rFonts w:cs="Times New Roman"/>
                <w:color w:val="auto"/>
                <w:sz w:val="24"/>
                <w:szCs w:val="24"/>
                <w:highlight w:val="none"/>
              </w:rPr>
            </w:pPr>
            <w:r>
              <w:rPr>
                <w:rFonts w:cs="Times New Roman"/>
                <w:color w:val="auto"/>
                <w:sz w:val="24"/>
                <w:szCs w:val="24"/>
                <w:highlight w:val="none"/>
              </w:rPr>
              <w:t>T---用于计算等效声级的时间，s；</w:t>
            </w:r>
          </w:p>
          <w:p w14:paraId="2240FC8D">
            <w:pPr>
              <w:pStyle w:val="34"/>
              <w:spacing w:line="360" w:lineRule="auto"/>
              <w:ind w:firstLine="480"/>
              <w:rPr>
                <w:rFonts w:cs="Times New Roman"/>
                <w:color w:val="auto"/>
                <w:sz w:val="24"/>
                <w:szCs w:val="24"/>
                <w:highlight w:val="none"/>
              </w:rPr>
            </w:pPr>
            <w:r>
              <w:rPr>
                <w:rFonts w:cs="Times New Roman"/>
                <w:color w:val="auto"/>
                <w:sz w:val="24"/>
                <w:szCs w:val="24"/>
                <w:highlight w:val="none"/>
              </w:rPr>
              <w:t>N--</w:t>
            </w:r>
            <w:r>
              <w:rPr>
                <w:rFonts w:cs="Times New Roman"/>
                <w:color w:val="auto"/>
                <w:sz w:val="24"/>
                <w:szCs w:val="24"/>
                <w:highlight w:val="none"/>
                <w:shd w:val="clear" w:color="auto" w:fill="FFFFFF"/>
              </w:rPr>
              <w:t>-</w:t>
            </w:r>
            <w:r>
              <w:rPr>
                <w:rFonts w:cs="Times New Roman"/>
                <w:color w:val="auto"/>
                <w:sz w:val="24"/>
                <w:szCs w:val="24"/>
                <w:highlight w:val="none"/>
              </w:rPr>
              <w:t>室外声源个数；</w:t>
            </w:r>
          </w:p>
          <w:p w14:paraId="5EDE2D62">
            <w:pPr>
              <w:pStyle w:val="34"/>
              <w:spacing w:line="360" w:lineRule="auto"/>
              <w:ind w:firstLine="480"/>
              <w:rPr>
                <w:rFonts w:cs="Times New Roman"/>
                <w:color w:val="auto"/>
                <w:sz w:val="24"/>
                <w:szCs w:val="24"/>
                <w:highlight w:val="none"/>
              </w:rPr>
            </w:pPr>
            <w:r>
              <w:rPr>
                <w:rFonts w:cs="Times New Roman"/>
                <w:color w:val="auto"/>
                <w:sz w:val="24"/>
                <w:szCs w:val="24"/>
                <w:highlight w:val="none"/>
              </w:rPr>
              <w:t>M--</w:t>
            </w:r>
            <w:r>
              <w:rPr>
                <w:rFonts w:cs="Times New Roman"/>
                <w:color w:val="auto"/>
                <w:sz w:val="24"/>
                <w:szCs w:val="24"/>
                <w:highlight w:val="none"/>
                <w:shd w:val="clear" w:color="auto" w:fill="FFFFFF"/>
              </w:rPr>
              <w:t>-</w:t>
            </w:r>
            <w:r>
              <w:rPr>
                <w:rFonts w:cs="Times New Roman"/>
                <w:color w:val="auto"/>
                <w:sz w:val="24"/>
                <w:szCs w:val="24"/>
                <w:highlight w:val="none"/>
              </w:rPr>
              <w:t>室内声源个数。</w:t>
            </w:r>
          </w:p>
          <w:p w14:paraId="44410B1F">
            <w:pPr>
              <w:pStyle w:val="34"/>
              <w:spacing w:line="360" w:lineRule="auto"/>
              <w:ind w:firstLine="480"/>
              <w:rPr>
                <w:rFonts w:cs="Times New Roman"/>
                <w:color w:val="auto"/>
                <w:sz w:val="24"/>
                <w:szCs w:val="24"/>
                <w:highlight w:val="none"/>
              </w:rPr>
            </w:pPr>
            <w:r>
              <w:rPr>
                <w:rFonts w:cs="Times New Roman"/>
                <w:color w:val="auto"/>
                <w:sz w:val="24"/>
                <w:szCs w:val="24"/>
                <w:highlight w:val="none"/>
              </w:rPr>
              <w:t>（4）预测值计算</w:t>
            </w:r>
          </w:p>
          <w:p w14:paraId="662FDF8E">
            <w:pPr>
              <w:pStyle w:val="34"/>
              <w:spacing w:line="360" w:lineRule="auto"/>
              <w:ind w:firstLine="480"/>
              <w:rPr>
                <w:rFonts w:cs="Times New Roman"/>
                <w:color w:val="auto"/>
                <w:sz w:val="24"/>
                <w:szCs w:val="24"/>
                <w:highlight w:val="none"/>
              </w:rPr>
            </w:pPr>
            <w:r>
              <w:rPr>
                <w:rFonts w:cs="Times New Roman"/>
                <w:color w:val="auto"/>
                <w:sz w:val="24"/>
                <w:szCs w:val="24"/>
                <w:highlight w:val="none"/>
              </w:rPr>
              <w:t>预测点的预测等效声级（</w:t>
            </w:r>
            <w:r>
              <w:rPr>
                <w:rFonts w:cs="Times New Roman"/>
                <w:color w:val="auto"/>
                <w:sz w:val="24"/>
                <w:szCs w:val="24"/>
                <w:highlight w:val="none"/>
                <w:shd w:val="clear" w:color="auto" w:fill="FFFFFF"/>
              </w:rPr>
              <w:t>Leq</w:t>
            </w:r>
            <w:r>
              <w:rPr>
                <w:rFonts w:cs="Times New Roman"/>
                <w:color w:val="auto"/>
                <w:sz w:val="24"/>
                <w:szCs w:val="24"/>
                <w:highlight w:val="none"/>
              </w:rPr>
              <w:t>）计算公式为：</w:t>
            </w:r>
          </w:p>
          <w:p w14:paraId="1F8F2F38">
            <w:pPr>
              <w:pStyle w:val="58"/>
              <w:spacing w:line="360" w:lineRule="auto"/>
              <w:ind w:firstLine="480"/>
              <w:rPr>
                <w:rFonts w:cs="Times New Roman"/>
                <w:color w:val="auto"/>
                <w:spacing w:val="-10"/>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354580" cy="502920"/>
                  <wp:effectExtent l="0" t="0" r="7620" b="1143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49" r:link="rId50"/>
                          <a:stretch>
                            <a:fillRect/>
                          </a:stretch>
                        </pic:blipFill>
                        <pic:spPr>
                          <a:xfrm>
                            <a:off x="0" y="0"/>
                            <a:ext cx="2354580" cy="50292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21B1368E">
            <w:pPr>
              <w:pStyle w:val="34"/>
              <w:spacing w:line="360" w:lineRule="auto"/>
              <w:ind w:firstLine="480"/>
              <w:rPr>
                <w:rFonts w:cs="Times New Roman"/>
                <w:color w:val="auto"/>
                <w:sz w:val="24"/>
                <w:szCs w:val="24"/>
                <w:highlight w:val="none"/>
              </w:rPr>
            </w:pPr>
            <w:r>
              <w:rPr>
                <w:rFonts w:cs="Times New Roman"/>
                <w:color w:val="auto"/>
                <w:sz w:val="24"/>
                <w:szCs w:val="24"/>
                <w:highlight w:val="none"/>
              </w:rPr>
              <w:t>式中：</w:t>
            </w: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eqg</w:t>
            </w:r>
            <w:r>
              <w:rPr>
                <w:rFonts w:cs="Times New Roman"/>
                <w:color w:val="auto"/>
                <w:sz w:val="24"/>
                <w:szCs w:val="24"/>
                <w:highlight w:val="none"/>
              </w:rPr>
              <w:t>---建设项目声源在预测点的等效声级贡献值，dB；</w:t>
            </w:r>
          </w:p>
          <w:p w14:paraId="106AC5BC">
            <w:pPr>
              <w:pStyle w:val="34"/>
              <w:spacing w:line="360" w:lineRule="auto"/>
              <w:ind w:firstLine="480"/>
              <w:rPr>
                <w:rFonts w:cs="Times New Roman"/>
                <w:color w:val="auto"/>
                <w:sz w:val="24"/>
                <w:szCs w:val="24"/>
                <w:highlight w:val="none"/>
              </w:rPr>
            </w:pP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eqb</w:t>
            </w:r>
            <w:r>
              <w:rPr>
                <w:rFonts w:cs="Times New Roman"/>
                <w:color w:val="auto"/>
                <w:sz w:val="24"/>
                <w:szCs w:val="24"/>
                <w:highlight w:val="none"/>
              </w:rPr>
              <w:t>---预测点的背景值，dB。</w:t>
            </w:r>
          </w:p>
          <w:p w14:paraId="5FA53CA4">
            <w:pPr>
              <w:pStyle w:val="34"/>
              <w:spacing w:line="360" w:lineRule="auto"/>
              <w:ind w:firstLine="480"/>
              <w:rPr>
                <w:rFonts w:cs="Times New Roman"/>
                <w:color w:val="auto"/>
                <w:sz w:val="24"/>
                <w:szCs w:val="24"/>
                <w:highlight w:val="none"/>
              </w:rPr>
            </w:pPr>
            <w:r>
              <w:rPr>
                <w:rFonts w:cs="Times New Roman"/>
                <w:color w:val="auto"/>
                <w:sz w:val="24"/>
                <w:szCs w:val="24"/>
                <w:highlight w:val="none"/>
              </w:rPr>
              <w:t>（5）隔声量的确定</w:t>
            </w:r>
          </w:p>
          <w:p w14:paraId="4275560D">
            <w:pPr>
              <w:pStyle w:val="34"/>
              <w:spacing w:line="360" w:lineRule="auto"/>
              <w:ind w:firstLine="480"/>
              <w:rPr>
                <w:rFonts w:cs="Times New Roman"/>
                <w:color w:val="auto"/>
                <w:sz w:val="24"/>
                <w:szCs w:val="24"/>
                <w:highlight w:val="none"/>
              </w:rPr>
            </w:pPr>
            <w:r>
              <w:rPr>
                <w:rFonts w:cs="Times New Roman"/>
                <w:color w:val="auto"/>
                <w:sz w:val="24"/>
                <w:szCs w:val="24"/>
                <w:highlight w:val="none"/>
              </w:rPr>
              <w:t>项目主要噪声设备大多设置于各建构筑物内，设备噪声经减震、隔声后，可削减</w:t>
            </w:r>
            <w:r>
              <w:rPr>
                <w:rFonts w:hint="eastAsia" w:cs="Times New Roman"/>
                <w:color w:val="auto"/>
                <w:sz w:val="24"/>
                <w:szCs w:val="24"/>
                <w:highlight w:val="none"/>
                <w:lang w:val="en-US" w:eastAsia="zh-CN"/>
              </w:rPr>
              <w:t>15</w:t>
            </w:r>
            <w:r>
              <w:rPr>
                <w:rFonts w:cs="Times New Roman"/>
                <w:color w:val="auto"/>
                <w:sz w:val="24"/>
                <w:szCs w:val="24"/>
                <w:highlight w:val="none"/>
              </w:rPr>
              <w:t>dB（A）以上。</w:t>
            </w:r>
          </w:p>
          <w:p w14:paraId="2F6FC8BA">
            <w:pPr>
              <w:pStyle w:val="34"/>
              <w:spacing w:line="360" w:lineRule="auto"/>
              <w:ind w:firstLine="480"/>
              <w:rPr>
                <w:rFonts w:cs="Times New Roman"/>
                <w:color w:val="auto"/>
                <w:sz w:val="24"/>
                <w:szCs w:val="24"/>
                <w:highlight w:val="none"/>
              </w:rPr>
            </w:pPr>
            <w:r>
              <w:rPr>
                <w:rFonts w:cs="Times New Roman"/>
                <w:color w:val="auto"/>
                <w:sz w:val="24"/>
                <w:szCs w:val="24"/>
                <w:highlight w:val="none"/>
              </w:rPr>
              <w:t>（6）预测结果</w:t>
            </w:r>
          </w:p>
          <w:p w14:paraId="0CFCCC3C">
            <w:pPr>
              <w:spacing w:line="360" w:lineRule="auto"/>
              <w:ind w:firstLine="480" w:firstLineChars="200"/>
              <w:jc w:val="left"/>
              <w:rPr>
                <w:b/>
                <w:bCs/>
                <w:sz w:val="24"/>
              </w:rPr>
            </w:pPr>
            <w:r>
              <w:rPr>
                <w:sz w:val="24"/>
                <w:lang w:val="zh-CN"/>
              </w:rPr>
              <w:t>利用上述模式计算本项目噪声源同时工作时，预测到厂界的噪声最大值及位置，具体预测结果见表</w:t>
            </w:r>
            <w:r>
              <w:rPr>
                <w:rFonts w:hint="eastAsia"/>
                <w:sz w:val="24"/>
              </w:rPr>
              <w:t>4.3-2</w:t>
            </w:r>
            <w:r>
              <w:rPr>
                <w:sz w:val="24"/>
                <w:lang w:val="zh-CN"/>
              </w:rPr>
              <w:t>所示。</w:t>
            </w:r>
          </w:p>
          <w:p w14:paraId="3214A645">
            <w:pPr>
              <w:keepNext w:val="0"/>
              <w:keepLines w:val="0"/>
              <w:pageBreakBefore w:val="0"/>
              <w:widowControl w:val="0"/>
              <w:tabs>
                <w:tab w:val="left" w:pos="482"/>
              </w:tabs>
              <w:kinsoku/>
              <w:wordWrap/>
              <w:overflowPunct/>
              <w:topLinePunct w:val="0"/>
              <w:autoSpaceDE/>
              <w:autoSpaceDN/>
              <w:bidi w:val="0"/>
              <w:adjustRightInd/>
              <w:snapToGrid/>
              <w:spacing w:before="163" w:beforeLines="5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表4.3-2 厂界噪声预测结果 单位：dB(A)</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6"/>
              <w:gridCol w:w="1692"/>
              <w:gridCol w:w="1343"/>
              <w:gridCol w:w="932"/>
              <w:gridCol w:w="934"/>
              <w:gridCol w:w="1111"/>
              <w:gridCol w:w="1075"/>
              <w:gridCol w:w="921"/>
            </w:tblGrid>
            <w:tr w14:paraId="38445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1" w:type="pct"/>
                  <w:vMerge w:val="restart"/>
                  <w:noWrap w:val="0"/>
                  <w:vAlign w:val="center"/>
                </w:tcPr>
                <w:p w14:paraId="2BF80DD3">
                  <w:pPr>
                    <w:pStyle w:val="59"/>
                    <w:spacing w:before="24" w:after="24" w:line="340" w:lineRule="exact"/>
                    <w:rPr>
                      <w:rFonts w:ascii="Times New Roman"/>
                      <w:color w:val="auto"/>
                      <w:kern w:val="2"/>
                      <w:szCs w:val="21"/>
                    </w:rPr>
                  </w:pPr>
                  <w:r>
                    <w:rPr>
                      <w:rFonts w:ascii="Times New Roman"/>
                      <w:color w:val="auto"/>
                      <w:kern w:val="2"/>
                      <w:szCs w:val="21"/>
                    </w:rPr>
                    <w:t>编号</w:t>
                  </w:r>
                </w:p>
              </w:tc>
              <w:tc>
                <w:tcPr>
                  <w:tcW w:w="984" w:type="pct"/>
                  <w:vMerge w:val="restart"/>
                  <w:noWrap w:val="0"/>
                  <w:vAlign w:val="center"/>
                </w:tcPr>
                <w:p w14:paraId="52EA5E3D">
                  <w:pPr>
                    <w:pStyle w:val="59"/>
                    <w:spacing w:before="24" w:after="24" w:line="340" w:lineRule="exact"/>
                    <w:rPr>
                      <w:rFonts w:ascii="Times New Roman"/>
                      <w:color w:val="auto"/>
                      <w:kern w:val="2"/>
                      <w:szCs w:val="21"/>
                    </w:rPr>
                  </w:pPr>
                  <w:r>
                    <w:rPr>
                      <w:rFonts w:ascii="Times New Roman"/>
                      <w:color w:val="auto"/>
                      <w:kern w:val="2"/>
                      <w:szCs w:val="21"/>
                    </w:rPr>
                    <w:t>测点位置</w:t>
                  </w:r>
                </w:p>
              </w:tc>
              <w:tc>
                <w:tcPr>
                  <w:tcW w:w="781" w:type="pct"/>
                  <w:vMerge w:val="restart"/>
                  <w:noWrap w:val="0"/>
                  <w:vAlign w:val="center"/>
                </w:tcPr>
                <w:p w14:paraId="2532DAE5">
                  <w:pPr>
                    <w:pStyle w:val="59"/>
                    <w:spacing w:before="24" w:after="24" w:line="340" w:lineRule="exact"/>
                    <w:rPr>
                      <w:rFonts w:ascii="Times New Roman"/>
                      <w:color w:val="auto"/>
                      <w:kern w:val="2"/>
                      <w:szCs w:val="21"/>
                    </w:rPr>
                  </w:pPr>
                  <w:r>
                    <w:rPr>
                      <w:rFonts w:hint="eastAsia" w:ascii="Times New Roman"/>
                      <w:color w:val="auto"/>
                      <w:kern w:val="2"/>
                      <w:szCs w:val="21"/>
                    </w:rPr>
                    <w:t>降噪措施</w:t>
                  </w:r>
                </w:p>
              </w:tc>
              <w:tc>
                <w:tcPr>
                  <w:tcW w:w="1085" w:type="pct"/>
                  <w:gridSpan w:val="2"/>
                  <w:noWrap w:val="0"/>
                  <w:vAlign w:val="center"/>
                </w:tcPr>
                <w:p w14:paraId="459BAEBC">
                  <w:pPr>
                    <w:pStyle w:val="59"/>
                    <w:spacing w:before="24" w:after="24" w:line="340" w:lineRule="exact"/>
                    <w:rPr>
                      <w:rFonts w:ascii="Times New Roman"/>
                      <w:color w:val="auto"/>
                      <w:kern w:val="2"/>
                      <w:szCs w:val="21"/>
                    </w:rPr>
                  </w:pPr>
                  <w:r>
                    <w:rPr>
                      <w:rFonts w:ascii="Times New Roman"/>
                      <w:color w:val="auto"/>
                      <w:kern w:val="2"/>
                      <w:szCs w:val="21"/>
                    </w:rPr>
                    <w:t>影响贡献值</w:t>
                  </w:r>
                </w:p>
              </w:tc>
              <w:tc>
                <w:tcPr>
                  <w:tcW w:w="1271" w:type="pct"/>
                  <w:gridSpan w:val="2"/>
                  <w:noWrap w:val="0"/>
                  <w:vAlign w:val="center"/>
                </w:tcPr>
                <w:p w14:paraId="15D6B174">
                  <w:pPr>
                    <w:pStyle w:val="59"/>
                    <w:spacing w:before="24" w:after="24" w:line="340" w:lineRule="exact"/>
                    <w:rPr>
                      <w:rFonts w:ascii="Times New Roman"/>
                      <w:color w:val="auto"/>
                      <w:kern w:val="2"/>
                      <w:szCs w:val="21"/>
                    </w:rPr>
                  </w:pPr>
                  <w:r>
                    <w:rPr>
                      <w:rFonts w:ascii="Times New Roman"/>
                      <w:color w:val="auto"/>
                      <w:kern w:val="2"/>
                      <w:szCs w:val="21"/>
                    </w:rPr>
                    <w:t>标准值</w:t>
                  </w:r>
                </w:p>
              </w:tc>
              <w:tc>
                <w:tcPr>
                  <w:tcW w:w="535" w:type="pct"/>
                  <w:vMerge w:val="restart"/>
                  <w:noWrap w:val="0"/>
                  <w:vAlign w:val="center"/>
                </w:tcPr>
                <w:p w14:paraId="59238018">
                  <w:pPr>
                    <w:pStyle w:val="59"/>
                    <w:spacing w:before="24" w:after="24" w:line="340" w:lineRule="exact"/>
                    <w:rPr>
                      <w:rFonts w:ascii="Times New Roman"/>
                      <w:color w:val="auto"/>
                      <w:kern w:val="2"/>
                      <w:szCs w:val="21"/>
                    </w:rPr>
                  </w:pPr>
                  <w:r>
                    <w:rPr>
                      <w:rFonts w:ascii="Times New Roman"/>
                      <w:color w:val="auto"/>
                      <w:kern w:val="2"/>
                      <w:szCs w:val="21"/>
                    </w:rPr>
                    <w:t>达标情况</w:t>
                  </w:r>
                </w:p>
              </w:tc>
            </w:tr>
            <w:tr w14:paraId="5A267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1" w:type="pct"/>
                  <w:vMerge w:val="continue"/>
                  <w:noWrap w:val="0"/>
                  <w:vAlign w:val="center"/>
                </w:tcPr>
                <w:p w14:paraId="6EECAC55">
                  <w:pPr>
                    <w:pStyle w:val="59"/>
                    <w:spacing w:before="24" w:after="24" w:line="340" w:lineRule="exact"/>
                    <w:rPr>
                      <w:rFonts w:ascii="Times New Roman"/>
                      <w:color w:val="auto"/>
                      <w:kern w:val="2"/>
                      <w:szCs w:val="21"/>
                    </w:rPr>
                  </w:pPr>
                </w:p>
              </w:tc>
              <w:tc>
                <w:tcPr>
                  <w:tcW w:w="984" w:type="pct"/>
                  <w:vMerge w:val="continue"/>
                  <w:noWrap w:val="0"/>
                  <w:vAlign w:val="center"/>
                </w:tcPr>
                <w:p w14:paraId="40F48562">
                  <w:pPr>
                    <w:pStyle w:val="59"/>
                    <w:spacing w:before="24" w:after="24" w:line="340" w:lineRule="exact"/>
                    <w:rPr>
                      <w:rFonts w:ascii="Times New Roman"/>
                      <w:color w:val="auto"/>
                      <w:kern w:val="2"/>
                      <w:szCs w:val="21"/>
                    </w:rPr>
                  </w:pPr>
                </w:p>
              </w:tc>
              <w:tc>
                <w:tcPr>
                  <w:tcW w:w="781" w:type="pct"/>
                  <w:vMerge w:val="continue"/>
                  <w:noWrap w:val="0"/>
                  <w:vAlign w:val="center"/>
                </w:tcPr>
                <w:p w14:paraId="5011BF58">
                  <w:pPr>
                    <w:pStyle w:val="59"/>
                    <w:spacing w:before="24" w:after="24" w:line="340" w:lineRule="exact"/>
                    <w:rPr>
                      <w:rFonts w:hint="eastAsia" w:ascii="Times New Roman"/>
                      <w:color w:val="auto"/>
                      <w:kern w:val="2"/>
                      <w:szCs w:val="21"/>
                    </w:rPr>
                  </w:pPr>
                </w:p>
              </w:tc>
              <w:tc>
                <w:tcPr>
                  <w:tcW w:w="542" w:type="pct"/>
                  <w:noWrap w:val="0"/>
                  <w:vAlign w:val="center"/>
                </w:tcPr>
                <w:p w14:paraId="11CB53ED">
                  <w:pPr>
                    <w:pStyle w:val="59"/>
                    <w:spacing w:before="24" w:after="24" w:line="340" w:lineRule="exact"/>
                    <w:rPr>
                      <w:rFonts w:hint="eastAsia" w:ascii="Times New Roman"/>
                      <w:color w:val="auto"/>
                      <w:kern w:val="2"/>
                      <w:szCs w:val="21"/>
                    </w:rPr>
                  </w:pPr>
                  <w:r>
                    <w:rPr>
                      <w:rFonts w:hint="eastAsia" w:ascii="Times New Roman"/>
                      <w:color w:val="auto"/>
                      <w:kern w:val="2"/>
                      <w:szCs w:val="21"/>
                    </w:rPr>
                    <w:t>昼间</w:t>
                  </w:r>
                </w:p>
              </w:tc>
              <w:tc>
                <w:tcPr>
                  <w:tcW w:w="542" w:type="pct"/>
                  <w:noWrap w:val="0"/>
                  <w:vAlign w:val="center"/>
                </w:tcPr>
                <w:p w14:paraId="38815712">
                  <w:pPr>
                    <w:pStyle w:val="59"/>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夜间</w:t>
                  </w:r>
                </w:p>
              </w:tc>
              <w:tc>
                <w:tcPr>
                  <w:tcW w:w="646" w:type="pct"/>
                  <w:noWrap w:val="0"/>
                  <w:vAlign w:val="center"/>
                </w:tcPr>
                <w:p w14:paraId="0731CE93">
                  <w:pPr>
                    <w:pStyle w:val="59"/>
                    <w:spacing w:before="24" w:after="24" w:line="340" w:lineRule="exact"/>
                    <w:rPr>
                      <w:rFonts w:hint="eastAsia" w:ascii="Times New Roman"/>
                      <w:color w:val="auto"/>
                      <w:kern w:val="2"/>
                      <w:szCs w:val="21"/>
                    </w:rPr>
                  </w:pPr>
                  <w:r>
                    <w:rPr>
                      <w:rFonts w:ascii="Times New Roman"/>
                      <w:color w:val="auto"/>
                      <w:kern w:val="2"/>
                      <w:szCs w:val="21"/>
                    </w:rPr>
                    <w:t>昼间</w:t>
                  </w:r>
                </w:p>
              </w:tc>
              <w:tc>
                <w:tcPr>
                  <w:tcW w:w="625" w:type="pct"/>
                  <w:noWrap w:val="0"/>
                  <w:vAlign w:val="center"/>
                </w:tcPr>
                <w:p w14:paraId="581B0B18">
                  <w:pPr>
                    <w:pStyle w:val="59"/>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夜间</w:t>
                  </w:r>
                </w:p>
              </w:tc>
              <w:tc>
                <w:tcPr>
                  <w:tcW w:w="535" w:type="pct"/>
                  <w:vMerge w:val="continue"/>
                  <w:noWrap w:val="0"/>
                  <w:vAlign w:val="center"/>
                </w:tcPr>
                <w:p w14:paraId="0E00C132">
                  <w:pPr>
                    <w:pStyle w:val="59"/>
                    <w:spacing w:before="24" w:after="24" w:line="340" w:lineRule="exact"/>
                    <w:rPr>
                      <w:rFonts w:ascii="Times New Roman"/>
                      <w:color w:val="auto"/>
                      <w:kern w:val="2"/>
                      <w:szCs w:val="21"/>
                    </w:rPr>
                  </w:pPr>
                </w:p>
              </w:tc>
            </w:tr>
            <w:tr w14:paraId="6CD59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03E9C3A4">
                  <w:pPr>
                    <w:pStyle w:val="59"/>
                    <w:spacing w:before="24" w:after="24" w:line="340" w:lineRule="exact"/>
                    <w:rPr>
                      <w:rFonts w:ascii="Times New Roman"/>
                      <w:color w:val="auto"/>
                      <w:kern w:val="2"/>
                      <w:szCs w:val="21"/>
                    </w:rPr>
                  </w:pPr>
                  <w:r>
                    <w:rPr>
                      <w:rFonts w:ascii="Times New Roman"/>
                      <w:color w:val="auto"/>
                      <w:kern w:val="2"/>
                      <w:szCs w:val="21"/>
                    </w:rPr>
                    <w:t>1</w:t>
                  </w:r>
                </w:p>
              </w:tc>
              <w:tc>
                <w:tcPr>
                  <w:tcW w:w="984" w:type="pct"/>
                  <w:noWrap w:val="0"/>
                  <w:vAlign w:val="center"/>
                </w:tcPr>
                <w:p w14:paraId="58435EDA">
                  <w:pPr>
                    <w:jc w:val="center"/>
                    <w:rPr>
                      <w:rFonts w:hint="default" w:eastAsia="宋体"/>
                      <w:color w:val="auto"/>
                      <w:kern w:val="2"/>
                      <w:sz w:val="21"/>
                      <w:szCs w:val="21"/>
                      <w:lang w:val="en-US" w:eastAsia="zh-CN" w:bidi="ar-SA"/>
                    </w:rPr>
                  </w:pPr>
                  <w:r>
                    <w:rPr>
                      <w:rFonts w:hint="eastAsia"/>
                      <w:color w:val="auto"/>
                      <w:szCs w:val="21"/>
                      <w:lang w:val="en-US" w:eastAsia="zh-CN"/>
                    </w:rPr>
                    <w:t>厂界西北侧</w:t>
                  </w:r>
                </w:p>
              </w:tc>
              <w:tc>
                <w:tcPr>
                  <w:tcW w:w="781" w:type="pct"/>
                  <w:vMerge w:val="restart"/>
                  <w:noWrap w:val="0"/>
                  <w:vAlign w:val="center"/>
                </w:tcPr>
                <w:p w14:paraId="3CAA19B9">
                  <w:pPr>
                    <w:adjustRightInd w:val="0"/>
                    <w:spacing w:line="340" w:lineRule="exact"/>
                    <w:jc w:val="center"/>
                    <w:rPr>
                      <w:rFonts w:hint="eastAsia"/>
                      <w:color w:val="auto"/>
                      <w:szCs w:val="21"/>
                    </w:rPr>
                  </w:pPr>
                  <w:r>
                    <w:rPr>
                      <w:rFonts w:hint="eastAsia"/>
                      <w:snapToGrid w:val="0"/>
                      <w:color w:val="auto"/>
                      <w:szCs w:val="21"/>
                    </w:rPr>
                    <w:t>设备基础减振、</w:t>
                  </w:r>
                  <w:r>
                    <w:rPr>
                      <w:color w:val="auto"/>
                    </w:rPr>
                    <w:t>车间隔声</w:t>
                  </w:r>
                </w:p>
              </w:tc>
              <w:tc>
                <w:tcPr>
                  <w:tcW w:w="542" w:type="pct"/>
                  <w:noWrap w:val="0"/>
                  <w:vAlign w:val="center"/>
                </w:tcPr>
                <w:p w14:paraId="6B70783A">
                  <w:pPr>
                    <w:spacing w:line="340" w:lineRule="exact"/>
                    <w:jc w:val="center"/>
                    <w:rPr>
                      <w:rFonts w:hint="default" w:eastAsia="宋体"/>
                      <w:color w:val="auto"/>
                      <w:szCs w:val="21"/>
                      <w:lang w:val="en-US" w:eastAsia="zh-CN"/>
                    </w:rPr>
                  </w:pPr>
                  <w:r>
                    <w:rPr>
                      <w:rFonts w:hint="eastAsia"/>
                      <w:color w:val="auto"/>
                      <w:szCs w:val="21"/>
                      <w:lang w:val="en-US" w:eastAsia="zh-CN"/>
                    </w:rPr>
                    <w:t>45.2</w:t>
                  </w:r>
                </w:p>
              </w:tc>
              <w:tc>
                <w:tcPr>
                  <w:tcW w:w="542" w:type="pct"/>
                  <w:shd w:val="clear" w:color="auto" w:fill="auto"/>
                  <w:noWrap w:val="0"/>
                  <w:vAlign w:val="center"/>
                </w:tcPr>
                <w:p w14:paraId="1C55ABA6">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40.2</w:t>
                  </w:r>
                </w:p>
              </w:tc>
              <w:tc>
                <w:tcPr>
                  <w:tcW w:w="646" w:type="pct"/>
                  <w:vMerge w:val="restart"/>
                  <w:noWrap w:val="0"/>
                  <w:vAlign w:val="center"/>
                </w:tcPr>
                <w:p w14:paraId="122B5F99">
                  <w:pPr>
                    <w:widowControl/>
                    <w:spacing w:line="340" w:lineRule="exact"/>
                    <w:jc w:val="center"/>
                    <w:rPr>
                      <w:color w:val="auto"/>
                      <w:szCs w:val="21"/>
                    </w:rPr>
                  </w:pPr>
                  <w:r>
                    <w:rPr>
                      <w:color w:val="auto"/>
                      <w:szCs w:val="21"/>
                    </w:rPr>
                    <w:t>65</w:t>
                  </w:r>
                </w:p>
              </w:tc>
              <w:tc>
                <w:tcPr>
                  <w:tcW w:w="625" w:type="pct"/>
                  <w:vMerge w:val="restart"/>
                  <w:noWrap w:val="0"/>
                  <w:vAlign w:val="center"/>
                </w:tcPr>
                <w:p w14:paraId="499ACA60">
                  <w:pPr>
                    <w:widowControl/>
                    <w:spacing w:line="340" w:lineRule="exact"/>
                    <w:jc w:val="center"/>
                    <w:rPr>
                      <w:rFonts w:hint="default" w:eastAsia="宋体"/>
                      <w:color w:val="auto"/>
                      <w:szCs w:val="21"/>
                      <w:lang w:val="en-US" w:eastAsia="zh-CN"/>
                    </w:rPr>
                  </w:pPr>
                  <w:r>
                    <w:rPr>
                      <w:rFonts w:hint="eastAsia"/>
                      <w:color w:val="auto"/>
                      <w:szCs w:val="21"/>
                      <w:lang w:val="en-US" w:eastAsia="zh-CN"/>
                    </w:rPr>
                    <w:t>55</w:t>
                  </w:r>
                </w:p>
              </w:tc>
              <w:tc>
                <w:tcPr>
                  <w:tcW w:w="535" w:type="pct"/>
                  <w:vMerge w:val="restart"/>
                  <w:noWrap w:val="0"/>
                  <w:vAlign w:val="center"/>
                </w:tcPr>
                <w:p w14:paraId="3DC04E42">
                  <w:pPr>
                    <w:widowControl/>
                    <w:spacing w:line="340" w:lineRule="exact"/>
                    <w:jc w:val="center"/>
                    <w:rPr>
                      <w:color w:val="auto"/>
                      <w:szCs w:val="21"/>
                    </w:rPr>
                  </w:pPr>
                  <w:r>
                    <w:rPr>
                      <w:color w:val="auto"/>
                      <w:szCs w:val="21"/>
                    </w:rPr>
                    <w:t>达标</w:t>
                  </w:r>
                </w:p>
              </w:tc>
            </w:tr>
            <w:tr w14:paraId="0911E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55E33555">
                  <w:pPr>
                    <w:pStyle w:val="59"/>
                    <w:spacing w:before="24" w:after="24" w:line="340" w:lineRule="exact"/>
                    <w:rPr>
                      <w:rFonts w:ascii="Times New Roman"/>
                      <w:color w:val="auto"/>
                      <w:kern w:val="2"/>
                      <w:szCs w:val="21"/>
                    </w:rPr>
                  </w:pPr>
                  <w:r>
                    <w:rPr>
                      <w:rFonts w:hint="eastAsia" w:ascii="Times New Roman"/>
                      <w:color w:val="auto"/>
                      <w:kern w:val="2"/>
                      <w:szCs w:val="21"/>
                    </w:rPr>
                    <w:t>2</w:t>
                  </w:r>
                </w:p>
              </w:tc>
              <w:tc>
                <w:tcPr>
                  <w:tcW w:w="984" w:type="pct"/>
                  <w:noWrap w:val="0"/>
                  <w:vAlign w:val="center"/>
                </w:tcPr>
                <w:p w14:paraId="0FFF3EAD">
                  <w:pPr>
                    <w:jc w:val="center"/>
                    <w:rPr>
                      <w:rFonts w:hint="eastAsia" w:eastAsia="宋体"/>
                      <w:color w:val="auto"/>
                      <w:kern w:val="2"/>
                      <w:sz w:val="21"/>
                      <w:szCs w:val="21"/>
                      <w:lang w:val="en-US" w:eastAsia="zh-CN" w:bidi="ar-SA"/>
                    </w:rPr>
                  </w:pPr>
                  <w:r>
                    <w:rPr>
                      <w:rFonts w:hint="eastAsia"/>
                      <w:color w:val="auto"/>
                      <w:szCs w:val="21"/>
                      <w:lang w:val="en-US" w:eastAsia="zh-CN"/>
                    </w:rPr>
                    <w:t>厂界西南侧</w:t>
                  </w:r>
                </w:p>
              </w:tc>
              <w:tc>
                <w:tcPr>
                  <w:tcW w:w="781" w:type="pct"/>
                  <w:vMerge w:val="continue"/>
                  <w:noWrap w:val="0"/>
                  <w:vAlign w:val="center"/>
                </w:tcPr>
                <w:p w14:paraId="7B29D21F">
                  <w:pPr>
                    <w:adjustRightInd w:val="0"/>
                    <w:spacing w:line="340" w:lineRule="exact"/>
                    <w:jc w:val="center"/>
                    <w:rPr>
                      <w:rFonts w:hint="eastAsia"/>
                      <w:snapToGrid w:val="0"/>
                      <w:color w:val="auto"/>
                      <w:szCs w:val="21"/>
                    </w:rPr>
                  </w:pPr>
                </w:p>
              </w:tc>
              <w:tc>
                <w:tcPr>
                  <w:tcW w:w="542" w:type="pct"/>
                  <w:noWrap w:val="0"/>
                  <w:vAlign w:val="center"/>
                </w:tcPr>
                <w:p w14:paraId="62F22E9B">
                  <w:pPr>
                    <w:spacing w:line="340" w:lineRule="exact"/>
                    <w:jc w:val="center"/>
                    <w:rPr>
                      <w:rFonts w:hint="default" w:eastAsia="宋体"/>
                      <w:color w:val="auto"/>
                      <w:szCs w:val="21"/>
                      <w:lang w:val="en-US" w:eastAsia="zh-CN"/>
                    </w:rPr>
                  </w:pPr>
                  <w:r>
                    <w:rPr>
                      <w:rFonts w:hint="eastAsia"/>
                      <w:color w:val="auto"/>
                      <w:szCs w:val="21"/>
                      <w:lang w:val="en-US" w:eastAsia="zh-CN"/>
                    </w:rPr>
                    <w:t>48.1</w:t>
                  </w:r>
                </w:p>
              </w:tc>
              <w:tc>
                <w:tcPr>
                  <w:tcW w:w="542" w:type="pct"/>
                  <w:shd w:val="clear" w:color="auto" w:fill="auto"/>
                  <w:noWrap w:val="0"/>
                  <w:vAlign w:val="center"/>
                </w:tcPr>
                <w:p w14:paraId="57F4A9A7">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42.5</w:t>
                  </w:r>
                </w:p>
              </w:tc>
              <w:tc>
                <w:tcPr>
                  <w:tcW w:w="646" w:type="pct"/>
                  <w:vMerge w:val="continue"/>
                  <w:noWrap w:val="0"/>
                  <w:vAlign w:val="center"/>
                </w:tcPr>
                <w:p w14:paraId="0E1AF972">
                  <w:pPr>
                    <w:widowControl/>
                    <w:spacing w:line="340" w:lineRule="exact"/>
                    <w:jc w:val="center"/>
                    <w:rPr>
                      <w:rFonts w:hint="eastAsia"/>
                      <w:color w:val="auto"/>
                      <w:szCs w:val="21"/>
                    </w:rPr>
                  </w:pPr>
                </w:p>
              </w:tc>
              <w:tc>
                <w:tcPr>
                  <w:tcW w:w="625" w:type="pct"/>
                  <w:vMerge w:val="continue"/>
                  <w:noWrap w:val="0"/>
                  <w:vAlign w:val="center"/>
                </w:tcPr>
                <w:p w14:paraId="340B8B83">
                  <w:pPr>
                    <w:widowControl/>
                    <w:spacing w:line="340" w:lineRule="exact"/>
                    <w:jc w:val="center"/>
                    <w:rPr>
                      <w:rFonts w:hint="eastAsia"/>
                      <w:color w:val="auto"/>
                      <w:szCs w:val="21"/>
                    </w:rPr>
                  </w:pPr>
                </w:p>
              </w:tc>
              <w:tc>
                <w:tcPr>
                  <w:tcW w:w="535" w:type="pct"/>
                  <w:vMerge w:val="continue"/>
                  <w:noWrap w:val="0"/>
                  <w:vAlign w:val="center"/>
                </w:tcPr>
                <w:p w14:paraId="4B3D5196">
                  <w:pPr>
                    <w:widowControl/>
                    <w:spacing w:line="340" w:lineRule="exact"/>
                    <w:jc w:val="center"/>
                    <w:rPr>
                      <w:color w:val="auto"/>
                      <w:szCs w:val="21"/>
                    </w:rPr>
                  </w:pPr>
                </w:p>
              </w:tc>
            </w:tr>
            <w:tr w14:paraId="4FF0A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3B16C0A6">
                  <w:pPr>
                    <w:pStyle w:val="59"/>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3</w:t>
                  </w:r>
                </w:p>
              </w:tc>
              <w:tc>
                <w:tcPr>
                  <w:tcW w:w="984" w:type="pct"/>
                  <w:noWrap w:val="0"/>
                  <w:vAlign w:val="center"/>
                </w:tcPr>
                <w:p w14:paraId="3F4F2CC1">
                  <w:pPr>
                    <w:jc w:val="center"/>
                    <w:rPr>
                      <w:rFonts w:hint="eastAsia" w:eastAsia="宋体"/>
                      <w:color w:val="auto"/>
                      <w:kern w:val="2"/>
                      <w:sz w:val="21"/>
                      <w:szCs w:val="21"/>
                      <w:lang w:val="en-US" w:eastAsia="zh-CN" w:bidi="ar-SA"/>
                    </w:rPr>
                  </w:pPr>
                  <w:r>
                    <w:rPr>
                      <w:rFonts w:hint="eastAsia"/>
                      <w:color w:val="auto"/>
                      <w:szCs w:val="21"/>
                      <w:lang w:val="en-US" w:eastAsia="zh-CN"/>
                    </w:rPr>
                    <w:t>厂界东北侧</w:t>
                  </w:r>
                </w:p>
              </w:tc>
              <w:tc>
                <w:tcPr>
                  <w:tcW w:w="781" w:type="pct"/>
                  <w:vMerge w:val="continue"/>
                  <w:noWrap w:val="0"/>
                  <w:vAlign w:val="center"/>
                </w:tcPr>
                <w:p w14:paraId="695F1688">
                  <w:pPr>
                    <w:adjustRightInd w:val="0"/>
                    <w:spacing w:line="340" w:lineRule="exact"/>
                    <w:jc w:val="center"/>
                    <w:rPr>
                      <w:rFonts w:hint="eastAsia"/>
                      <w:snapToGrid w:val="0"/>
                      <w:color w:val="auto"/>
                      <w:szCs w:val="21"/>
                    </w:rPr>
                  </w:pPr>
                </w:p>
              </w:tc>
              <w:tc>
                <w:tcPr>
                  <w:tcW w:w="542" w:type="pct"/>
                  <w:noWrap w:val="0"/>
                  <w:vAlign w:val="center"/>
                </w:tcPr>
                <w:p w14:paraId="2ABBBC73">
                  <w:pPr>
                    <w:spacing w:line="340" w:lineRule="exact"/>
                    <w:jc w:val="center"/>
                    <w:rPr>
                      <w:rFonts w:hint="default" w:eastAsia="宋体"/>
                      <w:color w:val="auto"/>
                      <w:szCs w:val="21"/>
                      <w:lang w:val="en-US" w:eastAsia="zh-CN"/>
                    </w:rPr>
                  </w:pPr>
                  <w:r>
                    <w:rPr>
                      <w:rFonts w:hint="eastAsia"/>
                      <w:color w:val="auto"/>
                      <w:szCs w:val="21"/>
                      <w:lang w:val="en-US" w:eastAsia="zh-CN"/>
                    </w:rPr>
                    <w:t>60.2</w:t>
                  </w:r>
                </w:p>
              </w:tc>
              <w:tc>
                <w:tcPr>
                  <w:tcW w:w="542" w:type="pct"/>
                  <w:shd w:val="clear" w:color="auto" w:fill="auto"/>
                  <w:noWrap w:val="0"/>
                  <w:vAlign w:val="center"/>
                </w:tcPr>
                <w:p w14:paraId="2C5AAA9B">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52.5</w:t>
                  </w:r>
                </w:p>
              </w:tc>
              <w:tc>
                <w:tcPr>
                  <w:tcW w:w="646" w:type="pct"/>
                  <w:vMerge w:val="continue"/>
                  <w:noWrap w:val="0"/>
                  <w:vAlign w:val="center"/>
                </w:tcPr>
                <w:p w14:paraId="6280AF54">
                  <w:pPr>
                    <w:widowControl/>
                    <w:spacing w:line="340" w:lineRule="exact"/>
                    <w:jc w:val="center"/>
                    <w:rPr>
                      <w:rFonts w:hint="eastAsia"/>
                      <w:color w:val="auto"/>
                      <w:szCs w:val="21"/>
                    </w:rPr>
                  </w:pPr>
                </w:p>
              </w:tc>
              <w:tc>
                <w:tcPr>
                  <w:tcW w:w="625" w:type="pct"/>
                  <w:vMerge w:val="continue"/>
                  <w:noWrap w:val="0"/>
                  <w:vAlign w:val="center"/>
                </w:tcPr>
                <w:p w14:paraId="1FCB45C8">
                  <w:pPr>
                    <w:widowControl/>
                    <w:spacing w:line="340" w:lineRule="exact"/>
                    <w:jc w:val="center"/>
                    <w:rPr>
                      <w:rFonts w:hint="eastAsia"/>
                      <w:color w:val="auto"/>
                      <w:szCs w:val="21"/>
                    </w:rPr>
                  </w:pPr>
                </w:p>
              </w:tc>
              <w:tc>
                <w:tcPr>
                  <w:tcW w:w="535" w:type="pct"/>
                  <w:vMerge w:val="continue"/>
                  <w:noWrap w:val="0"/>
                  <w:vAlign w:val="center"/>
                </w:tcPr>
                <w:p w14:paraId="066BC562">
                  <w:pPr>
                    <w:widowControl/>
                    <w:spacing w:line="340" w:lineRule="exact"/>
                    <w:jc w:val="center"/>
                    <w:rPr>
                      <w:color w:val="auto"/>
                      <w:szCs w:val="21"/>
                    </w:rPr>
                  </w:pPr>
                </w:p>
              </w:tc>
            </w:tr>
            <w:tr w14:paraId="2581B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55629297">
                  <w:pPr>
                    <w:pStyle w:val="59"/>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4</w:t>
                  </w:r>
                </w:p>
              </w:tc>
              <w:tc>
                <w:tcPr>
                  <w:tcW w:w="984" w:type="pct"/>
                  <w:noWrap w:val="0"/>
                  <w:vAlign w:val="center"/>
                </w:tcPr>
                <w:p w14:paraId="2977CD8A">
                  <w:pPr>
                    <w:jc w:val="center"/>
                    <w:rPr>
                      <w:rFonts w:hint="eastAsia" w:eastAsia="宋体"/>
                      <w:color w:val="auto"/>
                      <w:kern w:val="2"/>
                      <w:sz w:val="21"/>
                      <w:szCs w:val="21"/>
                      <w:lang w:val="en-US" w:eastAsia="zh-CN" w:bidi="ar-SA"/>
                    </w:rPr>
                  </w:pPr>
                  <w:r>
                    <w:rPr>
                      <w:rFonts w:hint="eastAsia"/>
                      <w:color w:val="auto"/>
                      <w:szCs w:val="21"/>
                      <w:lang w:val="en-US" w:eastAsia="zh-CN"/>
                    </w:rPr>
                    <w:t>厂界东南侧</w:t>
                  </w:r>
                </w:p>
              </w:tc>
              <w:tc>
                <w:tcPr>
                  <w:tcW w:w="781" w:type="pct"/>
                  <w:vMerge w:val="continue"/>
                  <w:noWrap w:val="0"/>
                  <w:vAlign w:val="center"/>
                </w:tcPr>
                <w:p w14:paraId="0BD1125A">
                  <w:pPr>
                    <w:spacing w:line="340" w:lineRule="exact"/>
                    <w:jc w:val="center"/>
                    <w:rPr>
                      <w:rFonts w:hint="eastAsia"/>
                      <w:color w:val="auto"/>
                      <w:szCs w:val="21"/>
                    </w:rPr>
                  </w:pPr>
                </w:p>
              </w:tc>
              <w:tc>
                <w:tcPr>
                  <w:tcW w:w="542" w:type="pct"/>
                  <w:noWrap w:val="0"/>
                  <w:vAlign w:val="center"/>
                </w:tcPr>
                <w:p w14:paraId="48EB4EE4">
                  <w:pPr>
                    <w:spacing w:line="340" w:lineRule="exact"/>
                    <w:jc w:val="center"/>
                    <w:rPr>
                      <w:rFonts w:hint="default" w:eastAsia="宋体"/>
                      <w:color w:val="auto"/>
                      <w:szCs w:val="21"/>
                      <w:lang w:val="en-US" w:eastAsia="zh-CN"/>
                    </w:rPr>
                  </w:pPr>
                  <w:r>
                    <w:rPr>
                      <w:rFonts w:hint="eastAsia"/>
                      <w:color w:val="auto"/>
                      <w:szCs w:val="21"/>
                      <w:lang w:val="en-US" w:eastAsia="zh-CN"/>
                    </w:rPr>
                    <w:t>61.5</w:t>
                  </w:r>
                </w:p>
              </w:tc>
              <w:tc>
                <w:tcPr>
                  <w:tcW w:w="542" w:type="pct"/>
                  <w:shd w:val="clear" w:color="auto" w:fill="auto"/>
                  <w:noWrap w:val="0"/>
                  <w:vAlign w:val="center"/>
                </w:tcPr>
                <w:p w14:paraId="6C16F02D">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53.4</w:t>
                  </w:r>
                </w:p>
              </w:tc>
              <w:tc>
                <w:tcPr>
                  <w:tcW w:w="646" w:type="pct"/>
                  <w:vMerge w:val="continue"/>
                  <w:noWrap w:val="0"/>
                  <w:vAlign w:val="center"/>
                </w:tcPr>
                <w:p w14:paraId="07467076">
                  <w:pPr>
                    <w:widowControl/>
                    <w:spacing w:line="340" w:lineRule="exact"/>
                    <w:jc w:val="center"/>
                    <w:rPr>
                      <w:color w:val="auto"/>
                      <w:szCs w:val="21"/>
                    </w:rPr>
                  </w:pPr>
                </w:p>
              </w:tc>
              <w:tc>
                <w:tcPr>
                  <w:tcW w:w="625" w:type="pct"/>
                  <w:vMerge w:val="continue"/>
                  <w:noWrap w:val="0"/>
                  <w:vAlign w:val="center"/>
                </w:tcPr>
                <w:p w14:paraId="536EACBF">
                  <w:pPr>
                    <w:widowControl/>
                    <w:spacing w:line="340" w:lineRule="exact"/>
                    <w:jc w:val="center"/>
                    <w:rPr>
                      <w:color w:val="auto"/>
                      <w:szCs w:val="21"/>
                    </w:rPr>
                  </w:pPr>
                </w:p>
              </w:tc>
              <w:tc>
                <w:tcPr>
                  <w:tcW w:w="535" w:type="pct"/>
                  <w:vMerge w:val="continue"/>
                  <w:noWrap w:val="0"/>
                  <w:vAlign w:val="center"/>
                </w:tcPr>
                <w:p w14:paraId="1A91FB3A">
                  <w:pPr>
                    <w:widowControl/>
                    <w:spacing w:line="340" w:lineRule="exact"/>
                    <w:jc w:val="center"/>
                    <w:rPr>
                      <w:color w:val="auto"/>
                      <w:szCs w:val="21"/>
                    </w:rPr>
                  </w:pPr>
                </w:p>
              </w:tc>
            </w:tr>
          </w:tbl>
          <w:p w14:paraId="00C69F16">
            <w:pPr>
              <w:pStyle w:val="56"/>
              <w:spacing w:line="360" w:lineRule="auto"/>
              <w:ind w:firstLine="480"/>
              <w:rPr>
                <w:rFonts w:ascii="Times New Roman" w:hAnsi="Times New Roman"/>
                <w:bCs w:val="0"/>
                <w:szCs w:val="24"/>
              </w:rPr>
            </w:pPr>
            <w:r>
              <w:rPr>
                <w:rFonts w:ascii="Times New Roman" w:hAnsi="Times New Roman"/>
                <w:bCs w:val="0"/>
                <w:szCs w:val="24"/>
                <w:lang w:val="zh-CN"/>
              </w:rPr>
              <w:t>根据表</w:t>
            </w:r>
            <w:r>
              <w:rPr>
                <w:rFonts w:ascii="Times New Roman" w:hAnsi="Times New Roman"/>
                <w:bCs w:val="0"/>
                <w:szCs w:val="24"/>
              </w:rPr>
              <w:t>4.3-2</w:t>
            </w:r>
            <w:r>
              <w:rPr>
                <w:rFonts w:ascii="Times New Roman" w:hAnsi="Times New Roman"/>
                <w:bCs w:val="0"/>
                <w:szCs w:val="24"/>
                <w:lang w:val="zh-CN"/>
              </w:rPr>
              <w:t>预测结果表明，</w:t>
            </w:r>
            <w:r>
              <w:rPr>
                <w:rFonts w:hint="eastAsia" w:ascii="Times New Roman" w:hAnsi="Times New Roman"/>
                <w:bCs w:val="0"/>
                <w:szCs w:val="24"/>
                <w:lang w:val="en-US" w:eastAsia="zh-CN"/>
              </w:rPr>
              <w:t>本项目夜间仅生产汽车塑料制品，</w:t>
            </w:r>
            <w:r>
              <w:rPr>
                <w:rFonts w:ascii="Times New Roman" w:hAnsi="Times New Roman"/>
                <w:bCs w:val="0"/>
                <w:szCs w:val="24"/>
                <w:lang w:val="zh-CN"/>
              </w:rPr>
              <w:t>项目主要噪声源在采取有效的降噪措施前提下，项目边界噪声均可满足《工业企业厂界环境噪声排放标准》</w:t>
            </w:r>
            <w:r>
              <w:rPr>
                <w:rFonts w:hint="eastAsia"/>
                <w:bCs w:val="0"/>
                <w:szCs w:val="24"/>
                <w:lang w:val="zh-CN"/>
              </w:rPr>
              <w:t>（</w:t>
            </w:r>
            <w:r>
              <w:rPr>
                <w:rFonts w:ascii="Times New Roman" w:hAnsi="Times New Roman"/>
                <w:bCs w:val="0"/>
                <w:szCs w:val="24"/>
                <w:lang w:val="zh-CN"/>
              </w:rPr>
              <w:t>GB12348-2008</w:t>
            </w:r>
            <w:r>
              <w:rPr>
                <w:rFonts w:hint="eastAsia"/>
                <w:bCs w:val="0"/>
                <w:szCs w:val="24"/>
                <w:lang w:val="zh-CN"/>
              </w:rPr>
              <w:t>）</w:t>
            </w:r>
            <w:r>
              <w:rPr>
                <w:rFonts w:ascii="Times New Roman" w:hAnsi="Times New Roman"/>
                <w:bCs w:val="0"/>
                <w:szCs w:val="24"/>
                <w:lang w:val="zh-CN"/>
              </w:rPr>
              <w:t>中3类标准。</w:t>
            </w:r>
          </w:p>
          <w:p w14:paraId="4EF09AFB">
            <w:pPr>
              <w:pStyle w:val="48"/>
              <w:ind w:firstLine="480"/>
              <w:rPr>
                <w:rFonts w:ascii="Times New Roman" w:hAnsi="Times New Roman"/>
                <w:sz w:val="24"/>
                <w:szCs w:val="24"/>
                <w:lang w:val="zh-CN"/>
              </w:rPr>
            </w:pPr>
            <w:r>
              <w:rPr>
                <w:rFonts w:hint="eastAsia" w:ascii="Times New Roman" w:hAnsi="Times New Roman"/>
                <w:sz w:val="24"/>
                <w:szCs w:val="24"/>
                <w:lang w:val="zh-CN"/>
              </w:rPr>
              <w:t>（</w:t>
            </w:r>
            <w:r>
              <w:rPr>
                <w:rFonts w:hint="eastAsia" w:ascii="Times New Roman" w:hAnsi="Times New Roman"/>
                <w:sz w:val="24"/>
                <w:szCs w:val="24"/>
                <w:lang w:val="en-US" w:eastAsia="zh-CN"/>
              </w:rPr>
              <w:t>7</w:t>
            </w:r>
            <w:r>
              <w:rPr>
                <w:rFonts w:hint="eastAsia" w:ascii="Times New Roman" w:hAnsi="Times New Roman"/>
                <w:sz w:val="24"/>
                <w:szCs w:val="24"/>
                <w:lang w:val="zh-CN"/>
              </w:rPr>
              <w:t>）</w:t>
            </w:r>
            <w:r>
              <w:rPr>
                <w:rFonts w:ascii="Times New Roman" w:hAnsi="Times New Roman"/>
                <w:sz w:val="24"/>
                <w:szCs w:val="24"/>
                <w:lang w:val="zh-CN"/>
              </w:rPr>
              <w:t>敏感点噪声预测结果分析</w:t>
            </w:r>
          </w:p>
          <w:p w14:paraId="1F372741">
            <w:pPr>
              <w:spacing w:line="360" w:lineRule="auto"/>
              <w:ind w:firstLine="480"/>
              <w:rPr>
                <w:sz w:val="24"/>
                <w:lang w:val="zh-CN"/>
              </w:rPr>
            </w:pPr>
            <w:r>
              <w:rPr>
                <w:rFonts w:hint="eastAsia"/>
                <w:sz w:val="24"/>
                <w:lang w:val="zh-CN"/>
              </w:rPr>
              <w:t>根据现场勘查，项目</w:t>
            </w:r>
            <w:r>
              <w:rPr>
                <w:sz w:val="24"/>
                <w:lang w:val="zh-CN"/>
              </w:rPr>
              <w:t>周边</w:t>
            </w:r>
            <w:r>
              <w:rPr>
                <w:rFonts w:hint="eastAsia"/>
                <w:sz w:val="24"/>
              </w:rPr>
              <w:t>5</w:t>
            </w:r>
            <w:r>
              <w:rPr>
                <w:sz w:val="24"/>
              </w:rPr>
              <w:t>0m范围内</w:t>
            </w:r>
            <w:r>
              <w:rPr>
                <w:rFonts w:hint="eastAsia"/>
                <w:sz w:val="24"/>
              </w:rPr>
              <w:t>无</w:t>
            </w:r>
            <w:r>
              <w:rPr>
                <w:sz w:val="24"/>
              </w:rPr>
              <w:t>声环境</w:t>
            </w:r>
            <w:r>
              <w:rPr>
                <w:rFonts w:hint="eastAsia"/>
                <w:sz w:val="24"/>
              </w:rPr>
              <w:t>保护目标</w:t>
            </w:r>
            <w:r>
              <w:rPr>
                <w:sz w:val="24"/>
                <w:lang w:val="zh-CN"/>
              </w:rPr>
              <w:t>。</w:t>
            </w:r>
          </w:p>
          <w:p w14:paraId="75A434C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zh-CN" w:eastAsia="zh-CN"/>
              </w:rPr>
            </w:pPr>
            <w:bookmarkStart w:id="118" w:name="_Toc31999"/>
            <w:bookmarkStart w:id="119" w:name="_Toc3053"/>
            <w:r>
              <w:rPr>
                <w:rFonts w:hint="default"/>
                <w:b/>
                <w:color w:val="262626"/>
                <w:kern w:val="0"/>
                <w:sz w:val="24"/>
                <w:lang w:val="en-US" w:eastAsia="zh-CN"/>
              </w:rPr>
              <w:t>4.3.3</w:t>
            </w:r>
            <w:r>
              <w:rPr>
                <w:rFonts w:hint="default"/>
                <w:b/>
                <w:color w:val="262626"/>
                <w:kern w:val="0"/>
                <w:sz w:val="24"/>
                <w:lang w:val="zh-CN" w:eastAsia="zh-CN"/>
              </w:rPr>
              <w:t>噪声污染控制措施</w:t>
            </w:r>
            <w:bookmarkEnd w:id="118"/>
            <w:bookmarkEnd w:id="119"/>
          </w:p>
          <w:p w14:paraId="4C948660">
            <w:pPr>
              <w:spacing w:line="360" w:lineRule="auto"/>
              <w:ind w:firstLine="480"/>
              <w:rPr>
                <w:rFonts w:hint="eastAsia" w:ascii="Times New Roman" w:hAnsi="Times New Roman" w:eastAsia="宋体" w:cs="Times New Roman"/>
                <w:bCs/>
                <w:color w:val="auto"/>
                <w:sz w:val="24"/>
                <w:lang w:val="en-US" w:eastAsia="zh-CN"/>
              </w:rPr>
            </w:pPr>
            <w:r>
              <w:rPr>
                <w:color w:val="000000"/>
                <w:sz w:val="24"/>
                <w:lang w:val="zh-CN"/>
              </w:rPr>
              <w:t>为了确保厂界噪声达到《工业企业厂界环境噪声排放标准》</w:t>
            </w:r>
            <w:r>
              <w:rPr>
                <w:rFonts w:hint="eastAsia"/>
                <w:color w:val="000000"/>
                <w:sz w:val="24"/>
                <w:lang w:val="zh-CN"/>
              </w:rPr>
              <w:t>（</w:t>
            </w:r>
            <w:r>
              <w:rPr>
                <w:color w:val="000000"/>
                <w:sz w:val="24"/>
                <w:lang w:val="zh-CN"/>
              </w:rPr>
              <w:t>GB 12348-2008</w:t>
            </w:r>
            <w:r>
              <w:rPr>
                <w:rFonts w:hint="eastAsia"/>
                <w:color w:val="000000"/>
                <w:sz w:val="24"/>
                <w:lang w:val="zh-CN"/>
              </w:rPr>
              <w:t>）</w:t>
            </w:r>
            <w:r>
              <w:rPr>
                <w:color w:val="000000"/>
                <w:sz w:val="24"/>
                <w:lang w:val="zh-CN"/>
              </w:rPr>
              <w:t>中3类标准，本报告建议采用以下降噪措施：</w:t>
            </w:r>
          </w:p>
          <w:p w14:paraId="1A0CD3B0">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val="zh-CN"/>
              </w:rPr>
              <w:t>噪声源控制措施</w:t>
            </w:r>
          </w:p>
          <w:p w14:paraId="50E20EC8">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①</w:t>
            </w:r>
            <w:r>
              <w:rPr>
                <w:rFonts w:ascii="Times New Roman" w:hAnsi="Times New Roman" w:eastAsia="宋体" w:cs="Times New Roman"/>
                <w:bCs/>
                <w:color w:val="auto"/>
                <w:sz w:val="24"/>
              </w:rPr>
              <w:t>项目选用低噪声生产设备，</w:t>
            </w:r>
            <w:r>
              <w:rPr>
                <w:rFonts w:hint="eastAsia" w:ascii="Times New Roman" w:hAnsi="Times New Roman" w:eastAsia="宋体" w:cs="Times New Roman"/>
                <w:bCs/>
                <w:color w:val="auto"/>
                <w:sz w:val="24"/>
                <w:lang w:val="en-US" w:eastAsia="zh-CN"/>
              </w:rPr>
              <w:t>采用</w:t>
            </w:r>
            <w:r>
              <w:rPr>
                <w:rFonts w:hint="default" w:ascii="Times New Roman" w:hAnsi="Times New Roman" w:eastAsia="宋体" w:cs="Times New Roman"/>
                <w:bCs/>
                <w:color w:val="auto"/>
                <w:sz w:val="24"/>
              </w:rPr>
              <w:t>低噪声</w:t>
            </w:r>
            <w:r>
              <w:rPr>
                <w:rFonts w:hint="eastAsia" w:ascii="Times New Roman" w:hAnsi="Times New Roman" w:eastAsia="宋体" w:cs="Times New Roman"/>
                <w:bCs/>
                <w:color w:val="auto"/>
                <w:sz w:val="24"/>
                <w:lang w:val="en-US" w:eastAsia="zh-CN"/>
              </w:rPr>
              <w:t>生产</w:t>
            </w:r>
            <w:r>
              <w:rPr>
                <w:rFonts w:hint="default" w:ascii="Times New Roman" w:hAnsi="Times New Roman" w:eastAsia="宋体" w:cs="Times New Roman"/>
                <w:bCs/>
                <w:color w:val="auto"/>
                <w:sz w:val="24"/>
              </w:rPr>
              <w:t>工艺；</w:t>
            </w:r>
          </w:p>
          <w:p w14:paraId="5A80EA48">
            <w:pPr>
              <w:adjustRightInd w:val="0"/>
              <w:snapToGrid w:val="0"/>
              <w:spacing w:line="360" w:lineRule="auto"/>
              <w:ind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②</w:t>
            </w:r>
            <w:r>
              <w:rPr>
                <w:rFonts w:hint="default" w:ascii="Times New Roman" w:hAnsi="Times New Roman" w:eastAsia="宋体" w:cs="Times New Roman"/>
                <w:bCs/>
                <w:color w:val="auto"/>
                <w:sz w:val="24"/>
              </w:rPr>
              <w:t>采取声学控制措施，</w:t>
            </w:r>
            <w:r>
              <w:rPr>
                <w:rFonts w:ascii="Times New Roman" w:hAnsi="Times New Roman" w:eastAsia="宋体" w:cs="Times New Roman"/>
                <w:bCs/>
                <w:color w:val="auto"/>
                <w:sz w:val="24"/>
              </w:rPr>
              <w:t>对</w:t>
            </w:r>
            <w:r>
              <w:rPr>
                <w:rFonts w:hint="eastAsia" w:ascii="Times New Roman" w:hAnsi="Times New Roman" w:eastAsia="宋体" w:cs="Times New Roman"/>
                <w:bCs/>
                <w:color w:val="auto"/>
                <w:sz w:val="24"/>
                <w:lang w:val="en-US" w:eastAsia="zh-CN"/>
              </w:rPr>
              <w:t>项目</w:t>
            </w:r>
            <w:r>
              <w:rPr>
                <w:rFonts w:ascii="Times New Roman" w:hAnsi="Times New Roman" w:eastAsia="宋体" w:cs="Times New Roman"/>
                <w:bCs/>
                <w:color w:val="auto"/>
                <w:sz w:val="24"/>
              </w:rPr>
              <w:t>高噪声设备</w:t>
            </w:r>
            <w:r>
              <w:rPr>
                <w:rFonts w:hint="eastAsia" w:ascii="Times New Roman" w:hAnsi="Times New Roman" w:eastAsia="宋体" w:cs="Times New Roman"/>
                <w:bCs/>
                <w:color w:val="auto"/>
                <w:sz w:val="24"/>
                <w:lang w:val="en-US" w:eastAsia="zh-CN"/>
              </w:rPr>
              <w:t>基础设置减振垫；</w:t>
            </w:r>
          </w:p>
          <w:p w14:paraId="4F3F5746">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③</w:t>
            </w:r>
            <w:r>
              <w:rPr>
                <w:rFonts w:ascii="Times New Roman" w:hAnsi="Times New Roman" w:eastAsia="宋体" w:cs="Times New Roman"/>
                <w:bCs/>
                <w:color w:val="auto"/>
                <w:sz w:val="24"/>
              </w:rPr>
              <w:t>加强对设备的管理和维护，</w:t>
            </w:r>
            <w:r>
              <w:rPr>
                <w:rFonts w:hint="eastAsia" w:ascii="Times New Roman" w:hAnsi="Times New Roman" w:eastAsia="宋体" w:cs="Times New Roman"/>
                <w:bCs/>
                <w:color w:val="auto"/>
                <w:sz w:val="24"/>
                <w:lang w:val="en-US" w:eastAsia="zh-CN"/>
              </w:rPr>
              <w:t>避免设备在异常情况下运行；</w:t>
            </w:r>
          </w:p>
          <w:p w14:paraId="6CC2B4F6">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④</w:t>
            </w:r>
            <w:r>
              <w:rPr>
                <w:rFonts w:hint="default" w:ascii="Times New Roman" w:hAnsi="Times New Roman" w:eastAsia="宋体" w:cs="Times New Roman"/>
                <w:bCs/>
                <w:color w:val="auto"/>
                <w:sz w:val="24"/>
              </w:rPr>
              <w:t>优先选用低噪声车辆</w:t>
            </w:r>
            <w:r>
              <w:rPr>
                <w:rFonts w:hint="eastAsia" w:ascii="Times New Roman" w:hAnsi="Times New Roman" w:eastAsia="宋体" w:cs="Times New Roman"/>
                <w:bCs/>
                <w:color w:val="auto"/>
                <w:sz w:val="24"/>
                <w:lang w:eastAsia="zh-CN"/>
              </w:rPr>
              <w:t>，</w:t>
            </w:r>
            <w:r>
              <w:rPr>
                <w:rFonts w:ascii="Times New Roman" w:hAnsi="Times New Roman" w:eastAsia="宋体" w:cs="Times New Roman"/>
                <w:bCs/>
                <w:color w:val="auto"/>
                <w:sz w:val="24"/>
              </w:rPr>
              <w:t>车辆运输物料</w:t>
            </w:r>
            <w:r>
              <w:rPr>
                <w:rFonts w:hint="eastAsia" w:ascii="Times New Roman" w:hAnsi="Times New Roman" w:eastAsia="宋体" w:cs="Times New Roman"/>
                <w:bCs/>
                <w:color w:val="auto"/>
                <w:sz w:val="24"/>
              </w:rPr>
              <w:t>时</w:t>
            </w:r>
            <w:r>
              <w:rPr>
                <w:rFonts w:ascii="Times New Roman" w:hAnsi="Times New Roman" w:eastAsia="宋体" w:cs="Times New Roman"/>
                <w:bCs/>
                <w:color w:val="auto"/>
                <w:sz w:val="24"/>
              </w:rPr>
              <w:t>，在靠近居民点等对声环境质量要求较高的地方，应减小车速，禁止或少鸣喇叭。</w:t>
            </w:r>
          </w:p>
          <w:p w14:paraId="597C0BF7">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（2）噪声传播途径控制措施</w:t>
            </w:r>
          </w:p>
          <w:p w14:paraId="7FEDEB4B">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①合理规划平面布置，将高噪声设备设置于厂区中间，设备运转期间，关闭车间门窗，通过车间墙体等进行阻隔，降低噪声源强。</w:t>
            </w:r>
          </w:p>
          <w:p w14:paraId="626BD7B2">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②</w:t>
            </w:r>
            <w:r>
              <w:rPr>
                <w:rFonts w:hint="default" w:ascii="Times New Roman" w:hAnsi="Times New Roman" w:eastAsia="宋体" w:cs="Times New Roman"/>
                <w:bCs/>
                <w:color w:val="auto"/>
                <w:sz w:val="24"/>
                <w:lang w:val="en-US" w:eastAsia="zh-CN"/>
              </w:rPr>
              <w:t>设置声屏障等措施，</w:t>
            </w:r>
            <w:r>
              <w:rPr>
                <w:rFonts w:hint="eastAsia" w:ascii="Times New Roman" w:hAnsi="Times New Roman" w:eastAsia="宋体" w:cs="Times New Roman"/>
                <w:bCs/>
                <w:color w:val="auto"/>
                <w:sz w:val="24"/>
                <w:lang w:val="en-US" w:eastAsia="zh-CN"/>
              </w:rPr>
              <w:t>将高噪声设备设置专门设备隔间，对冷却塔、引风机采用设置隔声罩、</w:t>
            </w:r>
            <w:r>
              <w:rPr>
                <w:rFonts w:hint="default" w:ascii="Times New Roman" w:hAnsi="Times New Roman" w:eastAsia="宋体" w:cs="Times New Roman"/>
                <w:bCs/>
                <w:color w:val="auto"/>
                <w:sz w:val="24"/>
                <w:lang w:val="en-US" w:eastAsia="zh-CN"/>
              </w:rPr>
              <w:t>设备基础减振</w:t>
            </w:r>
            <w:r>
              <w:rPr>
                <w:rFonts w:hint="eastAsia" w:ascii="Times New Roman" w:hAnsi="Times New Roman" w:eastAsia="宋体" w:cs="Times New Roman"/>
                <w:bCs/>
                <w:color w:val="auto"/>
                <w:sz w:val="24"/>
                <w:lang w:val="en-US" w:eastAsia="zh-CN"/>
              </w:rPr>
              <w:t>、安装消声器等综合降噪措施。</w:t>
            </w:r>
          </w:p>
          <w:p w14:paraId="6E49CEE5">
            <w:pPr>
              <w:adjustRightInd w:val="0"/>
              <w:snapToGrid w:val="0"/>
              <w:spacing w:line="360" w:lineRule="auto"/>
              <w:ind w:firstLine="480" w:firstLineChars="200"/>
              <w:rPr>
                <w:rFonts w:hint="eastAsia" w:ascii="Times New Roman" w:hAnsi="Times New Roman" w:eastAsia="宋体" w:cs="Times New Roman"/>
                <w:bCs/>
                <w:color w:val="auto"/>
                <w:sz w:val="24"/>
              </w:rPr>
            </w:pPr>
            <w:r>
              <w:rPr>
                <w:rFonts w:ascii="Times New Roman" w:hAnsi="Times New Roman" w:eastAsia="宋体" w:cs="Times New Roman"/>
                <w:bCs/>
                <w:color w:val="auto"/>
                <w:sz w:val="24"/>
              </w:rPr>
              <w:t>通过以上降噪措施，有效降低设备噪声对厂界的影响程度，确保</w:t>
            </w:r>
            <w:r>
              <w:rPr>
                <w:rFonts w:hint="eastAsia" w:ascii="Times New Roman" w:hAnsi="Times New Roman" w:eastAsia="宋体" w:cs="Times New Roman"/>
                <w:bCs/>
                <w:color w:val="auto"/>
                <w:sz w:val="24"/>
              </w:rPr>
              <w:t>厂</w:t>
            </w:r>
            <w:r>
              <w:rPr>
                <w:rFonts w:ascii="Times New Roman" w:hAnsi="Times New Roman" w:eastAsia="宋体" w:cs="Times New Roman"/>
                <w:bCs/>
                <w:color w:val="auto"/>
                <w:sz w:val="24"/>
              </w:rPr>
              <w:t>界噪声符合《工业企业厂界环境噪声排放标准》</w:t>
            </w:r>
            <w:r>
              <w:rPr>
                <w:rFonts w:hint="eastAsia" w:cs="Times New Roman"/>
                <w:bCs/>
                <w:color w:val="auto"/>
                <w:sz w:val="24"/>
                <w:lang w:eastAsia="zh-CN"/>
              </w:rPr>
              <w:t>（</w:t>
            </w:r>
            <w:r>
              <w:rPr>
                <w:rFonts w:ascii="Times New Roman" w:hAnsi="Times New Roman" w:eastAsia="宋体" w:cs="Times New Roman"/>
                <w:bCs/>
                <w:color w:val="auto"/>
                <w:sz w:val="24"/>
              </w:rPr>
              <w:t>GB12348-2008</w:t>
            </w:r>
            <w:r>
              <w:rPr>
                <w:rFonts w:hint="eastAsia" w:cs="Times New Roman"/>
                <w:bCs/>
                <w:color w:val="auto"/>
                <w:sz w:val="24"/>
                <w:lang w:eastAsia="zh-CN"/>
              </w:rPr>
              <w:t>）</w:t>
            </w:r>
            <w:r>
              <w:rPr>
                <w:rFonts w:ascii="Times New Roman" w:hAnsi="Times New Roman" w:eastAsia="宋体" w:cs="Times New Roman"/>
                <w:bCs/>
                <w:color w:val="auto"/>
                <w:sz w:val="24"/>
              </w:rPr>
              <w:t>中的</w:t>
            </w:r>
            <w:r>
              <w:rPr>
                <w:rFonts w:hint="eastAsia" w:ascii="Times New Roman" w:hAnsi="Times New Roman" w:eastAsia="宋体" w:cs="Times New Roman"/>
                <w:bCs/>
                <w:color w:val="auto"/>
                <w:sz w:val="24"/>
                <w:lang w:val="en-US" w:eastAsia="zh-CN"/>
              </w:rPr>
              <w:t>3类</w:t>
            </w:r>
            <w:r>
              <w:rPr>
                <w:rFonts w:ascii="Times New Roman" w:hAnsi="Times New Roman" w:eastAsia="宋体" w:cs="Times New Roman"/>
                <w:bCs/>
                <w:color w:val="auto"/>
                <w:sz w:val="24"/>
              </w:rPr>
              <w:t>标准要求，措施可行。</w:t>
            </w:r>
          </w:p>
          <w:p w14:paraId="2E67B531">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20" w:name="_Toc2553"/>
            <w:r>
              <w:rPr>
                <w:rFonts w:hint="eastAsia" w:ascii="Times New Roman" w:hAnsi="Times New Roman" w:eastAsia="宋体" w:cs="Times New Roman"/>
                <w:color w:val="auto"/>
                <w:sz w:val="28"/>
                <w:szCs w:val="28"/>
                <w:u w:val="none"/>
                <w:lang w:val="en-US" w:eastAsia="zh-CN"/>
              </w:rPr>
              <w:t>4.4固体废物环境影响分析和污染防治措施</w:t>
            </w:r>
            <w:bookmarkEnd w:id="120"/>
          </w:p>
          <w:p w14:paraId="5A780EC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zh-CN" w:eastAsia="zh-CN"/>
              </w:rPr>
            </w:pPr>
            <w:bookmarkStart w:id="121" w:name="_Toc8509"/>
            <w:r>
              <w:rPr>
                <w:rFonts w:hint="default"/>
                <w:b/>
                <w:color w:val="262626"/>
                <w:kern w:val="0"/>
                <w:sz w:val="24"/>
                <w:lang w:val="zh-CN" w:eastAsia="zh-CN"/>
              </w:rPr>
              <w:t>4.4.1 固体废物</w:t>
            </w:r>
            <w:r>
              <w:rPr>
                <w:rFonts w:hint="eastAsia"/>
                <w:b/>
                <w:color w:val="262626"/>
                <w:kern w:val="0"/>
                <w:sz w:val="24"/>
                <w:lang w:val="en-US" w:eastAsia="zh-CN"/>
              </w:rPr>
              <w:t>污染源</w:t>
            </w:r>
            <w:r>
              <w:rPr>
                <w:rFonts w:hint="default"/>
                <w:b/>
                <w:color w:val="262626"/>
                <w:kern w:val="0"/>
                <w:sz w:val="24"/>
                <w:lang w:val="zh-CN" w:eastAsia="zh-CN"/>
              </w:rPr>
              <w:t>分析</w:t>
            </w:r>
            <w:bookmarkEnd w:id="121"/>
          </w:p>
          <w:p w14:paraId="1CD97209">
            <w:pPr>
              <w:spacing w:line="360" w:lineRule="auto"/>
              <w:ind w:firstLine="480" w:firstLineChars="200"/>
              <w:rPr>
                <w:color w:val="000000"/>
                <w:sz w:val="24"/>
              </w:rPr>
            </w:pPr>
            <w:r>
              <w:rPr>
                <w:color w:val="000000"/>
                <w:sz w:val="24"/>
              </w:rPr>
              <w:t>（</w:t>
            </w:r>
            <w:r>
              <w:rPr>
                <w:rFonts w:hint="eastAsia"/>
                <w:color w:val="000000"/>
                <w:sz w:val="24"/>
                <w:lang w:val="en-US" w:eastAsia="zh-CN"/>
              </w:rPr>
              <w:t>1</w:t>
            </w:r>
            <w:r>
              <w:rPr>
                <w:color w:val="000000"/>
                <w:sz w:val="24"/>
              </w:rPr>
              <w:t>）生活固废</w:t>
            </w:r>
          </w:p>
          <w:p w14:paraId="09BEC9F4">
            <w:pPr>
              <w:spacing w:line="360" w:lineRule="auto"/>
              <w:ind w:firstLine="480"/>
              <w:rPr>
                <w:color w:val="000000"/>
                <w:sz w:val="24"/>
                <w:lang w:val="zh-CN"/>
              </w:rPr>
            </w:pPr>
            <w:r>
              <w:rPr>
                <w:rFonts w:hint="eastAsia"/>
                <w:color w:val="000000"/>
                <w:sz w:val="24"/>
              </w:rPr>
              <w:t xml:space="preserve">根据我国生活垃圾排放系数，不住厂职工生活垃圾排放系数取 </w:t>
            </w:r>
            <w:r>
              <w:rPr>
                <w:color w:val="000000"/>
                <w:sz w:val="24"/>
              </w:rPr>
              <w:t>K=0.5kg/</w:t>
            </w:r>
            <w:r>
              <w:rPr>
                <w:rFonts w:hint="eastAsia"/>
                <w:color w:val="000000"/>
                <w:sz w:val="24"/>
              </w:rPr>
              <w:t>人</w:t>
            </w:r>
            <w:r>
              <w:rPr>
                <w:color w:val="000000"/>
                <w:sz w:val="24"/>
              </w:rPr>
              <w:t>•</w:t>
            </w:r>
            <w:r>
              <w:rPr>
                <w:rFonts w:hint="eastAsia"/>
                <w:color w:val="000000"/>
                <w:sz w:val="24"/>
              </w:rPr>
              <w:t>天，项目职工</w:t>
            </w:r>
            <w:r>
              <w:rPr>
                <w:rFonts w:hint="eastAsia"/>
                <w:color w:val="000000"/>
                <w:sz w:val="24"/>
                <w:lang w:val="en-US" w:eastAsia="zh-CN"/>
              </w:rPr>
              <w:t>30</w:t>
            </w:r>
            <w:r>
              <w:rPr>
                <w:rFonts w:hint="eastAsia"/>
                <w:color w:val="000000"/>
                <w:sz w:val="24"/>
              </w:rPr>
              <w:t>人，按</w:t>
            </w:r>
            <w:r>
              <w:rPr>
                <w:color w:val="000000"/>
                <w:sz w:val="24"/>
              </w:rPr>
              <w:t>300</w:t>
            </w:r>
            <w:r>
              <w:rPr>
                <w:rFonts w:hint="eastAsia"/>
                <w:color w:val="000000"/>
                <w:sz w:val="24"/>
              </w:rPr>
              <w:t>天</w:t>
            </w:r>
            <w:r>
              <w:rPr>
                <w:color w:val="000000"/>
                <w:sz w:val="24"/>
              </w:rPr>
              <w:t>/</w:t>
            </w:r>
            <w:r>
              <w:rPr>
                <w:rFonts w:hint="eastAsia"/>
                <w:color w:val="000000"/>
                <w:sz w:val="24"/>
              </w:rPr>
              <w:t>年计，则项目生活垃圾产生量为</w:t>
            </w:r>
            <w:r>
              <w:rPr>
                <w:rFonts w:hint="eastAsia"/>
                <w:color w:val="000000"/>
                <w:sz w:val="24"/>
                <w:lang w:val="en-US" w:eastAsia="zh-CN"/>
              </w:rPr>
              <w:t>4.5</w:t>
            </w:r>
            <w:r>
              <w:rPr>
                <w:color w:val="000000"/>
                <w:sz w:val="24"/>
              </w:rPr>
              <w:t>t/a</w:t>
            </w:r>
            <w:r>
              <w:rPr>
                <w:rFonts w:hint="eastAsia"/>
                <w:color w:val="000000"/>
                <w:sz w:val="24"/>
              </w:rPr>
              <w:t>。</w:t>
            </w:r>
            <w:r>
              <w:rPr>
                <w:color w:val="000000"/>
                <w:sz w:val="24"/>
              </w:rPr>
              <w:t>集中收集后委托环卫部门清运处理。</w:t>
            </w:r>
            <w:r>
              <w:rPr>
                <w:rFonts w:hint="eastAsia"/>
                <w:color w:val="000000"/>
                <w:sz w:val="24"/>
              </w:rPr>
              <w:t>对照《固体废物分类与代码目录》（公告2024年第4号），属于SW64，900-099-S64。</w:t>
            </w:r>
          </w:p>
          <w:p w14:paraId="3734E33D">
            <w:pPr>
              <w:adjustRightInd w:val="0"/>
              <w:snapToGrid w:val="0"/>
              <w:spacing w:line="360" w:lineRule="auto"/>
              <w:ind w:firstLine="480" w:firstLineChars="200"/>
              <w:rPr>
                <w:color w:val="000000"/>
                <w:sz w:val="24"/>
                <w:lang w:val="zh-CN"/>
              </w:rPr>
            </w:pPr>
            <w:r>
              <w:rPr>
                <w:color w:val="000000"/>
                <w:sz w:val="24"/>
                <w:lang w:val="zh-CN"/>
              </w:rPr>
              <w:t>（</w:t>
            </w:r>
            <w:r>
              <w:rPr>
                <w:rFonts w:hint="eastAsia"/>
                <w:color w:val="000000"/>
                <w:sz w:val="24"/>
                <w:lang w:val="en-US" w:eastAsia="zh-CN"/>
              </w:rPr>
              <w:t>2</w:t>
            </w:r>
            <w:r>
              <w:rPr>
                <w:color w:val="000000"/>
                <w:sz w:val="24"/>
              </w:rPr>
              <w:t>）</w:t>
            </w:r>
            <w:r>
              <w:rPr>
                <w:color w:val="000000"/>
                <w:sz w:val="24"/>
                <w:lang w:val="zh-CN"/>
              </w:rPr>
              <w:t>一般工业固废</w:t>
            </w:r>
          </w:p>
          <w:p w14:paraId="43080DD6">
            <w:pPr>
              <w:spacing w:line="360" w:lineRule="auto"/>
              <w:ind w:firstLine="480"/>
              <w:rPr>
                <w:rFonts w:hint="default" w:eastAsia="宋体"/>
                <w:color w:val="000000"/>
                <w:sz w:val="24"/>
                <w:lang w:val="en-US" w:eastAsia="zh-CN"/>
              </w:rPr>
            </w:pPr>
            <w:r>
              <w:rPr>
                <w:rFonts w:hint="eastAsia"/>
                <w:color w:val="000000"/>
                <w:sz w:val="24"/>
              </w:rPr>
              <w:t>①</w:t>
            </w:r>
            <w:r>
              <w:rPr>
                <w:rFonts w:hint="eastAsia"/>
                <w:color w:val="000000"/>
                <w:sz w:val="24"/>
                <w:lang w:val="en-US" w:eastAsia="zh-CN"/>
              </w:rPr>
              <w:t>塑料</w:t>
            </w:r>
            <w:r>
              <w:rPr>
                <w:rFonts w:hint="eastAsia"/>
                <w:color w:val="000000"/>
                <w:sz w:val="24"/>
              </w:rPr>
              <w:t>边角料</w:t>
            </w:r>
            <w:r>
              <w:rPr>
                <w:rFonts w:hint="eastAsia"/>
                <w:color w:val="000000"/>
                <w:sz w:val="24"/>
                <w:lang w:val="en-US" w:eastAsia="zh-CN"/>
              </w:rPr>
              <w:t>及不合格产品</w:t>
            </w:r>
          </w:p>
          <w:p w14:paraId="7B7E5F4F">
            <w:pPr>
              <w:spacing w:line="360" w:lineRule="auto"/>
              <w:ind w:firstLine="480"/>
              <w:rPr>
                <w:rFonts w:hint="eastAsia"/>
                <w:color w:val="000000"/>
                <w:sz w:val="24"/>
              </w:rPr>
            </w:pPr>
            <w:r>
              <w:rPr>
                <w:rFonts w:hint="eastAsia"/>
                <w:color w:val="000000"/>
                <w:sz w:val="24"/>
              </w:rPr>
              <w:t>项目在</w:t>
            </w:r>
            <w:r>
              <w:rPr>
                <w:rFonts w:hint="eastAsia"/>
                <w:color w:val="000000"/>
                <w:sz w:val="24"/>
                <w:lang w:val="en-US" w:eastAsia="zh-CN"/>
              </w:rPr>
              <w:t>汽车塑料制品生产</w:t>
            </w:r>
            <w:r>
              <w:rPr>
                <w:rFonts w:hint="eastAsia"/>
                <w:color w:val="000000"/>
                <w:sz w:val="24"/>
              </w:rPr>
              <w:t>过</w:t>
            </w:r>
            <w:r>
              <w:rPr>
                <w:rFonts w:hint="eastAsia"/>
                <w:color w:val="000000"/>
                <w:sz w:val="24"/>
                <w:lang w:eastAsia="zh-CN"/>
              </w:rPr>
              <w:t>程中</w:t>
            </w:r>
            <w:r>
              <w:rPr>
                <w:rFonts w:hint="eastAsia"/>
                <w:color w:val="000000"/>
                <w:sz w:val="24"/>
              </w:rPr>
              <w:t>会产生少许边角料</w:t>
            </w:r>
            <w:r>
              <w:rPr>
                <w:rFonts w:hint="eastAsia"/>
                <w:color w:val="000000"/>
                <w:sz w:val="24"/>
                <w:lang w:val="en-US" w:eastAsia="zh-CN"/>
              </w:rPr>
              <w:t>及不合格产品</w:t>
            </w:r>
            <w:r>
              <w:rPr>
                <w:rFonts w:hint="eastAsia"/>
                <w:color w:val="000000"/>
                <w:sz w:val="24"/>
              </w:rPr>
              <w:t>，</w:t>
            </w:r>
            <w:r>
              <w:rPr>
                <w:color w:val="000000"/>
                <w:sz w:val="24"/>
              </w:rPr>
              <w:t>参考《排放源统计调查产排污核算方法和系数手册》中《292塑料制品行业系数手册》，一般工业固废产生量为2.5</w:t>
            </w:r>
            <w:r>
              <w:rPr>
                <w:rFonts w:hint="eastAsia"/>
                <w:color w:val="000000"/>
                <w:sz w:val="24"/>
                <w:lang w:val="en-US" w:eastAsia="zh-CN"/>
              </w:rPr>
              <w:t>kg</w:t>
            </w:r>
            <w:r>
              <w:rPr>
                <w:color w:val="000000"/>
                <w:sz w:val="24"/>
              </w:rPr>
              <w:t>/t-产品，</w:t>
            </w:r>
            <w:r>
              <w:rPr>
                <w:rFonts w:hint="eastAsia"/>
                <w:color w:val="000000"/>
                <w:sz w:val="24"/>
              </w:rPr>
              <w:t>则边角料</w:t>
            </w:r>
            <w:r>
              <w:rPr>
                <w:rFonts w:hint="eastAsia"/>
                <w:color w:val="000000"/>
                <w:sz w:val="24"/>
                <w:lang w:val="en-US" w:eastAsia="zh-CN"/>
              </w:rPr>
              <w:t>及次品的</w:t>
            </w:r>
            <w:r>
              <w:rPr>
                <w:rFonts w:hint="eastAsia"/>
                <w:color w:val="000000"/>
                <w:sz w:val="24"/>
              </w:rPr>
              <w:t>产生量为</w:t>
            </w:r>
            <w:r>
              <w:rPr>
                <w:rFonts w:hint="eastAsia"/>
                <w:color w:val="000000"/>
                <w:sz w:val="24"/>
                <w:lang w:val="en-US" w:eastAsia="zh-CN"/>
              </w:rPr>
              <w:t>0.996</w:t>
            </w:r>
            <w:r>
              <w:rPr>
                <w:color w:val="000000"/>
                <w:sz w:val="24"/>
              </w:rPr>
              <w:t>t/a</w:t>
            </w:r>
            <w:r>
              <w:rPr>
                <w:rFonts w:hint="eastAsia"/>
                <w:color w:val="000000"/>
                <w:sz w:val="24"/>
              </w:rPr>
              <w:t>，</w:t>
            </w:r>
            <w:r>
              <w:rPr>
                <w:rFonts w:hint="eastAsia"/>
                <w:color w:val="auto"/>
                <w:sz w:val="24"/>
              </w:rPr>
              <w:t>该部分固废</w:t>
            </w:r>
            <w:r>
              <w:rPr>
                <w:rFonts w:hint="eastAsia"/>
                <w:color w:val="auto"/>
                <w:sz w:val="24"/>
                <w:lang w:val="en-US" w:eastAsia="zh-CN"/>
              </w:rPr>
              <w:t>收集后经破碎回用于生产</w:t>
            </w:r>
            <w:r>
              <w:rPr>
                <w:rFonts w:hint="eastAsia"/>
                <w:color w:val="auto"/>
                <w:sz w:val="24"/>
              </w:rPr>
              <w:t>。对照《固体废物分类与代码目录》（公告</w:t>
            </w:r>
            <w:r>
              <w:rPr>
                <w:rFonts w:hint="eastAsia"/>
                <w:color w:val="000000"/>
                <w:sz w:val="24"/>
              </w:rPr>
              <w:t>2024年第4号），属于SW17，废物代码为900-003-S17。</w:t>
            </w:r>
          </w:p>
          <w:p w14:paraId="22021A28">
            <w:pPr>
              <w:spacing w:line="360" w:lineRule="auto"/>
              <w:ind w:firstLine="480" w:firstLineChars="200"/>
              <w:rPr>
                <w:color w:val="000000"/>
                <w:sz w:val="24"/>
              </w:rPr>
            </w:pPr>
            <w:r>
              <w:rPr>
                <w:rFonts w:hint="eastAsia"/>
                <w:color w:val="000000"/>
                <w:sz w:val="24"/>
              </w:rPr>
              <w:t>②废包装材料</w:t>
            </w:r>
          </w:p>
          <w:p w14:paraId="2B456FB8">
            <w:pPr>
              <w:adjustRightInd w:val="0"/>
              <w:snapToGrid w:val="0"/>
              <w:spacing w:line="360" w:lineRule="auto"/>
              <w:ind w:firstLine="480" w:firstLineChars="200"/>
              <w:rPr>
                <w:color w:val="000000"/>
                <w:sz w:val="24"/>
              </w:rPr>
            </w:pPr>
            <w:r>
              <w:rPr>
                <w:rFonts w:hint="eastAsia"/>
                <w:color w:val="000000"/>
                <w:sz w:val="24"/>
              </w:rPr>
              <w:t>项目</w:t>
            </w:r>
            <w:r>
              <w:rPr>
                <w:rFonts w:hint="eastAsia"/>
                <w:color w:val="000000"/>
                <w:sz w:val="24"/>
                <w:lang w:val="en-US" w:eastAsia="zh-CN"/>
              </w:rPr>
              <w:t>EVA</w:t>
            </w:r>
            <w:r>
              <w:rPr>
                <w:rFonts w:hint="eastAsia"/>
                <w:color w:val="000000"/>
                <w:sz w:val="24"/>
              </w:rPr>
              <w:t>颗粒使用后会有废包装袋，项目使用颗粒为</w:t>
            </w:r>
            <w:r>
              <w:rPr>
                <w:color w:val="000000"/>
                <w:sz w:val="24"/>
              </w:rPr>
              <w:t>25kg/</w:t>
            </w:r>
            <w:r>
              <w:rPr>
                <w:rFonts w:hint="eastAsia"/>
                <w:color w:val="000000"/>
                <w:sz w:val="24"/>
              </w:rPr>
              <w:t>袋，包装袋重约</w:t>
            </w:r>
            <w:r>
              <w:rPr>
                <w:rFonts w:hint="eastAsia"/>
                <w:color w:val="000000"/>
                <w:sz w:val="24"/>
                <w:lang w:val="en-US" w:eastAsia="zh-CN"/>
              </w:rPr>
              <w:t>15</w:t>
            </w:r>
            <w:r>
              <w:rPr>
                <w:color w:val="000000"/>
                <w:sz w:val="24"/>
              </w:rPr>
              <w:t>g/</w:t>
            </w:r>
            <w:r>
              <w:rPr>
                <w:rFonts w:hint="eastAsia"/>
                <w:color w:val="000000"/>
                <w:sz w:val="24"/>
              </w:rPr>
              <w:t>个，则共计产生废包装袋</w:t>
            </w:r>
            <w:r>
              <w:rPr>
                <w:rFonts w:hint="eastAsia"/>
                <w:color w:val="000000"/>
                <w:sz w:val="24"/>
                <w:lang w:val="en-US" w:eastAsia="zh-CN"/>
              </w:rPr>
              <w:t>0.24</w:t>
            </w:r>
            <w:r>
              <w:rPr>
                <w:color w:val="000000"/>
                <w:sz w:val="24"/>
              </w:rPr>
              <w:t>t/a</w:t>
            </w:r>
            <w:r>
              <w:rPr>
                <w:rFonts w:hint="eastAsia"/>
                <w:color w:val="000000"/>
                <w:sz w:val="24"/>
              </w:rPr>
              <w:t>，该部分固废收集后暂存一般固废</w:t>
            </w:r>
            <w:r>
              <w:rPr>
                <w:rFonts w:hint="eastAsia"/>
                <w:color w:val="000000"/>
                <w:sz w:val="24"/>
                <w:lang w:val="en-US" w:eastAsia="zh-CN"/>
              </w:rPr>
              <w:t>区</w:t>
            </w:r>
            <w:r>
              <w:rPr>
                <w:rFonts w:hint="eastAsia"/>
                <w:color w:val="000000"/>
                <w:sz w:val="24"/>
              </w:rPr>
              <w:t>，外售综合利用。对照《固体废物分类与代码目录》（公告2024年第4号），属于SW17，废物代码为900-00</w:t>
            </w:r>
            <w:r>
              <w:rPr>
                <w:rFonts w:hint="eastAsia"/>
                <w:color w:val="000000"/>
                <w:sz w:val="24"/>
                <w:lang w:val="en-US" w:eastAsia="zh-CN"/>
              </w:rPr>
              <w:t>3</w:t>
            </w:r>
            <w:r>
              <w:rPr>
                <w:rFonts w:hint="eastAsia"/>
                <w:color w:val="000000"/>
                <w:sz w:val="24"/>
              </w:rPr>
              <w:t>-S17。</w:t>
            </w:r>
          </w:p>
          <w:p w14:paraId="4FF40B03">
            <w:pPr>
              <w:adjustRightInd w:val="0"/>
              <w:snapToGrid w:val="0"/>
              <w:spacing w:line="360" w:lineRule="auto"/>
              <w:ind w:firstLine="480" w:firstLineChars="200"/>
              <w:rPr>
                <w:rFonts w:hint="eastAsia" w:ascii="Times New Roman" w:hAnsi="Times New Roman" w:eastAsia="宋体" w:cs="Times New Roman"/>
                <w:strike w:val="0"/>
                <w:dstrike w:val="0"/>
                <w:color w:val="auto"/>
                <w:sz w:val="24"/>
              </w:rPr>
            </w:pPr>
            <w:r>
              <w:rPr>
                <w:rFonts w:hint="eastAsia" w:ascii="Times New Roman" w:hAnsi="Times New Roman" w:eastAsia="宋体" w:cs="Times New Roman"/>
                <w:color w:val="000000"/>
                <w:sz w:val="24"/>
                <w:lang w:val="en-US" w:eastAsia="zh-CN"/>
              </w:rPr>
              <w:t>（3）危险废物</w:t>
            </w:r>
            <w:bookmarkEnd w:id="110"/>
            <w:bookmarkEnd w:id="111"/>
            <w:bookmarkEnd w:id="112"/>
          </w:p>
          <w:p w14:paraId="1A0BE328">
            <w:pPr>
              <w:widowControl/>
              <w:spacing w:line="360" w:lineRule="auto"/>
              <w:ind w:firstLine="480" w:firstLineChars="200"/>
              <w:jc w:val="left"/>
              <w:rPr>
                <w:rFonts w:hint="default" w:ascii="Times New Roman" w:hAnsi="Times New Roman" w:eastAsia="宋体" w:cs="Times New Roman"/>
                <w:strike w:val="0"/>
                <w:dstrike w:val="0"/>
                <w:color w:val="auto"/>
                <w:sz w:val="24"/>
              </w:rPr>
            </w:pPr>
            <w:r>
              <w:rPr>
                <w:rFonts w:hint="eastAsia" w:ascii="Times New Roman" w:hAnsi="Times New Roman" w:eastAsia="宋体" w:cs="Times New Roman"/>
                <w:strike w:val="0"/>
                <w:dstrike w:val="0"/>
                <w:color w:val="auto"/>
                <w:sz w:val="24"/>
              </w:rPr>
              <w:t>①</w:t>
            </w:r>
            <w:r>
              <w:rPr>
                <w:rFonts w:hint="default" w:ascii="Times New Roman" w:hAnsi="Times New Roman" w:eastAsia="宋体" w:cs="Times New Roman"/>
                <w:strike w:val="0"/>
                <w:dstrike w:val="0"/>
                <w:color w:val="auto"/>
                <w:sz w:val="24"/>
              </w:rPr>
              <w:t>废活性炭</w:t>
            </w:r>
          </w:p>
          <w:p w14:paraId="32A249D2">
            <w:pPr>
              <w:widowControl/>
              <w:spacing w:line="360" w:lineRule="auto"/>
              <w:ind w:firstLine="480" w:firstLineChars="200"/>
              <w:jc w:val="left"/>
              <w:rPr>
                <w:rFonts w:hint="eastAsia"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strike w:val="0"/>
                <w:dstrike w:val="0"/>
                <w:color w:val="auto"/>
                <w:sz w:val="24"/>
                <w:lang w:val="en-US" w:eastAsia="zh-CN"/>
              </w:rPr>
              <w:t>根据中国建筑出版社</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1997</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出版的《简明通风设计手册》第十章中关于活性吸附处理治理废气的方法中提供的数据：每1.0kg活性炭吸附有机废气的平衡量为0.43～0.61kg，本项目按1t活性炭吸附</w:t>
            </w:r>
            <w:r>
              <w:rPr>
                <w:rFonts w:hint="eastAsia" w:ascii="Times New Roman" w:hAnsi="Times New Roman" w:eastAsia="宋体" w:cs="Times New Roman"/>
                <w:strike w:val="0"/>
                <w:dstrike w:val="0"/>
                <w:color w:val="auto"/>
                <w:sz w:val="24"/>
                <w:lang w:val="en-US" w:eastAsia="zh-CN"/>
              </w:rPr>
              <w:t>0.3</w:t>
            </w:r>
            <w:r>
              <w:rPr>
                <w:rFonts w:hint="default" w:ascii="Times New Roman" w:hAnsi="Times New Roman" w:eastAsia="宋体" w:cs="Times New Roman"/>
                <w:strike w:val="0"/>
                <w:dstrike w:val="0"/>
                <w:color w:val="auto"/>
                <w:sz w:val="24"/>
                <w:lang w:val="en-US" w:eastAsia="zh-CN"/>
              </w:rPr>
              <w:t>t有机废气计算，</w:t>
            </w:r>
            <w:r>
              <w:rPr>
                <w:rFonts w:hint="default" w:ascii="Times New Roman" w:hAnsi="Times New Roman" w:eastAsia="宋体" w:cs="Times New Roman"/>
                <w:strike w:val="0"/>
                <w:dstrike w:val="0"/>
                <w:color w:val="auto"/>
                <w:sz w:val="24"/>
                <w:lang w:val="zh-CN" w:eastAsia="zh-CN"/>
              </w:rPr>
              <w:t>根据前文产排污分</w:t>
            </w:r>
            <w:r>
              <w:rPr>
                <w:rFonts w:hint="default" w:ascii="Times New Roman" w:hAnsi="Times New Roman" w:eastAsia="宋体" w:cs="Times New Roman"/>
                <w:bCs/>
                <w:color w:val="auto"/>
                <w:sz w:val="24"/>
                <w:highlight w:val="none"/>
                <w:lang w:val="zh-CN" w:eastAsia="zh-CN"/>
              </w:rPr>
              <w:t>析可知，项目有组织有机废气</w:t>
            </w:r>
            <w:r>
              <w:rPr>
                <w:rFonts w:hint="default" w:ascii="Times New Roman" w:hAnsi="Times New Roman" w:eastAsia="宋体" w:cs="Times New Roman"/>
                <w:bCs/>
                <w:color w:val="auto"/>
                <w:sz w:val="24"/>
                <w:highlight w:val="none"/>
                <w:lang w:val="en-US" w:eastAsia="zh-CN"/>
              </w:rPr>
              <w:t>净化了</w:t>
            </w:r>
            <w:r>
              <w:rPr>
                <w:rFonts w:hint="eastAsia" w:ascii="Times New Roman" w:hAnsi="Times New Roman" w:eastAsia="宋体" w:cs="Times New Roman"/>
                <w:bCs/>
                <w:color w:val="auto"/>
                <w:sz w:val="24"/>
                <w:highlight w:val="none"/>
                <w:lang w:val="en-US" w:eastAsia="zh-CN"/>
              </w:rPr>
              <w:t>0.</w:t>
            </w:r>
            <w:r>
              <w:rPr>
                <w:rFonts w:hint="eastAsia" w:cs="Times New Roman"/>
                <w:bCs/>
                <w:color w:val="auto"/>
                <w:sz w:val="24"/>
                <w:highlight w:val="none"/>
                <w:lang w:val="en-US" w:eastAsia="zh-CN"/>
              </w:rPr>
              <w:t>6454</w:t>
            </w:r>
            <w:r>
              <w:rPr>
                <w:rFonts w:hint="eastAsia" w:ascii="Times New Roman" w:hAnsi="Times New Roman" w:eastAsia="宋体" w:cs="Times New Roman"/>
                <w:bCs/>
                <w:color w:val="auto"/>
                <w:sz w:val="24"/>
                <w:highlight w:val="none"/>
                <w:lang w:val="en-US" w:eastAsia="zh-CN"/>
              </w:rPr>
              <w:t>t</w:t>
            </w:r>
            <w:r>
              <w:rPr>
                <w:rFonts w:hint="default" w:ascii="Times New Roman" w:hAnsi="Times New Roman" w:eastAsia="宋体" w:cs="Times New Roman"/>
                <w:bCs/>
                <w:color w:val="auto"/>
                <w:sz w:val="24"/>
                <w:highlight w:val="none"/>
                <w:lang w:val="en-US" w:eastAsia="zh-CN"/>
              </w:rPr>
              <w:t>/a</w:t>
            </w:r>
            <w:r>
              <w:rPr>
                <w:rFonts w:hint="default" w:ascii="Times New Roman" w:hAnsi="Times New Roman" w:eastAsia="宋体" w:cs="Times New Roman"/>
                <w:bCs/>
                <w:color w:val="auto"/>
                <w:sz w:val="24"/>
                <w:highlight w:val="none"/>
                <w:lang w:val="zh-CN" w:eastAsia="zh-CN"/>
              </w:rPr>
              <w:t>，本项目有机废气采用</w:t>
            </w:r>
            <w:r>
              <w:rPr>
                <w:rFonts w:hint="eastAsia" w:ascii="Times New Roman" w:hAnsi="Times New Roman" w:eastAsia="宋体" w:cs="Times New Roman"/>
                <w:bCs/>
                <w:color w:val="auto"/>
                <w:sz w:val="24"/>
                <w:highlight w:val="none"/>
                <w:lang w:val="en-US" w:eastAsia="zh-CN"/>
              </w:rPr>
              <w:t>活性炭吸附装置</w:t>
            </w:r>
            <w:r>
              <w:rPr>
                <w:rFonts w:hint="default" w:ascii="Times New Roman" w:hAnsi="Times New Roman" w:eastAsia="宋体" w:cs="Times New Roman"/>
                <w:bCs/>
                <w:color w:val="auto"/>
                <w:sz w:val="24"/>
                <w:highlight w:val="none"/>
                <w:lang w:val="en-US" w:eastAsia="zh-CN"/>
              </w:rPr>
              <w:t>净化处理，则预计项目年</w:t>
            </w:r>
            <w:r>
              <w:rPr>
                <w:rFonts w:hint="eastAsia" w:ascii="Times New Roman" w:hAnsi="Times New Roman" w:eastAsia="宋体" w:cs="Times New Roman"/>
                <w:bCs/>
                <w:color w:val="auto"/>
                <w:sz w:val="24"/>
                <w:highlight w:val="none"/>
                <w:lang w:val="en-US" w:eastAsia="zh-CN"/>
              </w:rPr>
              <w:t>废</w:t>
            </w:r>
            <w:r>
              <w:rPr>
                <w:rFonts w:hint="default" w:ascii="Times New Roman" w:hAnsi="Times New Roman" w:eastAsia="宋体" w:cs="Times New Roman"/>
                <w:bCs/>
                <w:color w:val="auto"/>
                <w:sz w:val="24"/>
                <w:highlight w:val="none"/>
                <w:lang w:val="en-US" w:eastAsia="zh-CN"/>
              </w:rPr>
              <w:t>活性炭</w:t>
            </w:r>
            <w:r>
              <w:rPr>
                <w:rFonts w:hint="eastAsia" w:ascii="Times New Roman" w:hAnsi="Times New Roman" w:eastAsia="宋体" w:cs="Times New Roman"/>
                <w:bCs/>
                <w:color w:val="auto"/>
                <w:sz w:val="24"/>
                <w:highlight w:val="none"/>
                <w:lang w:val="en-US" w:eastAsia="zh-CN"/>
              </w:rPr>
              <w:t>产生</w:t>
            </w:r>
            <w:r>
              <w:rPr>
                <w:rFonts w:hint="default" w:ascii="Times New Roman" w:hAnsi="Times New Roman" w:eastAsia="宋体" w:cs="Times New Roman"/>
                <w:bCs/>
                <w:color w:val="auto"/>
                <w:sz w:val="24"/>
                <w:highlight w:val="none"/>
                <w:lang w:val="en-US" w:eastAsia="zh-CN"/>
              </w:rPr>
              <w:t>量为</w:t>
            </w:r>
            <w:r>
              <w:rPr>
                <w:rFonts w:hint="eastAsia" w:ascii="Times New Roman" w:hAnsi="Times New Roman" w:eastAsia="宋体" w:cs="Times New Roman"/>
                <w:bCs/>
                <w:color w:val="auto"/>
                <w:sz w:val="24"/>
                <w:highlight w:val="none"/>
                <w:lang w:val="en-US" w:eastAsia="zh-CN"/>
              </w:rPr>
              <w:t>0.</w:t>
            </w:r>
            <w:r>
              <w:rPr>
                <w:rFonts w:hint="eastAsia" w:cs="Times New Roman"/>
                <w:bCs/>
                <w:color w:val="auto"/>
                <w:sz w:val="24"/>
                <w:highlight w:val="none"/>
                <w:lang w:val="en-US" w:eastAsia="zh-CN"/>
              </w:rPr>
              <w:t>6454</w:t>
            </w:r>
            <w:r>
              <w:rPr>
                <w:rFonts w:hint="eastAsia" w:ascii="Times New Roman" w:hAnsi="Times New Roman" w:eastAsia="宋体" w:cs="Times New Roman"/>
                <w:bCs/>
                <w:color w:val="auto"/>
                <w:sz w:val="24"/>
                <w:highlight w:val="none"/>
                <w:lang w:val="en-US" w:eastAsia="zh-CN"/>
              </w:rPr>
              <w:t>t/a÷0.3</w:t>
            </w:r>
            <w:r>
              <w:rPr>
                <w:rFonts w:hint="eastAsia" w:ascii="Times New Roman" w:hAnsi="Times New Roman" w:cs="Times New Roman"/>
                <w:bCs/>
                <w:color w:val="auto"/>
                <w:sz w:val="24"/>
                <w:highlight w:val="none"/>
                <w:lang w:val="en-US" w:eastAsia="zh-CN"/>
              </w:rPr>
              <w:t>t</w:t>
            </w:r>
            <w:r>
              <w:rPr>
                <w:rFonts w:hint="eastAsia" w:ascii="Times New Roman" w:hAnsi="Times New Roman" w:eastAsia="宋体" w:cs="Times New Roman"/>
                <w:bCs/>
                <w:color w:val="auto"/>
                <w:sz w:val="24"/>
                <w:highlight w:val="none"/>
                <w:lang w:val="en-US" w:eastAsia="zh-CN"/>
              </w:rPr>
              <w:t>+0.</w:t>
            </w:r>
            <w:r>
              <w:rPr>
                <w:rFonts w:hint="eastAsia" w:cs="Times New Roman"/>
                <w:bCs/>
                <w:color w:val="auto"/>
                <w:sz w:val="24"/>
                <w:highlight w:val="none"/>
                <w:lang w:val="en-US" w:eastAsia="zh-CN"/>
              </w:rPr>
              <w:t>6454</w:t>
            </w:r>
            <w:r>
              <w:rPr>
                <w:rFonts w:hint="eastAsia" w:ascii="Times New Roman" w:hAnsi="Times New Roman" w:eastAsia="宋体" w:cs="Times New Roman"/>
                <w:bCs/>
                <w:color w:val="auto"/>
                <w:sz w:val="24"/>
                <w:highlight w:val="none"/>
                <w:lang w:val="en-US" w:eastAsia="zh-CN"/>
              </w:rPr>
              <w:t>t/a=</w:t>
            </w:r>
            <w:r>
              <w:rPr>
                <w:rFonts w:hint="eastAsia" w:cs="Times New Roman"/>
                <w:bCs/>
                <w:color w:val="auto"/>
                <w:sz w:val="24"/>
                <w:highlight w:val="none"/>
                <w:lang w:val="en-US" w:eastAsia="zh-CN"/>
              </w:rPr>
              <w:t>2.7967</w:t>
            </w:r>
            <w:r>
              <w:rPr>
                <w:rFonts w:hint="default" w:ascii="Times New Roman" w:hAnsi="Times New Roman" w:eastAsia="宋体" w:cs="Times New Roman"/>
                <w:bCs/>
                <w:color w:val="auto"/>
                <w:sz w:val="24"/>
                <w:highlight w:val="none"/>
                <w:lang w:val="en-US" w:eastAsia="zh-CN"/>
              </w:rPr>
              <w:t>t</w:t>
            </w:r>
            <w:r>
              <w:rPr>
                <w:rFonts w:hint="eastAsia" w:cs="Times New Roman"/>
                <w:bCs/>
                <w:color w:val="auto"/>
                <w:sz w:val="24"/>
                <w:highlight w:val="none"/>
                <w:lang w:val="en-US" w:eastAsia="zh-CN"/>
              </w:rPr>
              <w:t>/a</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活性炭的填充量为0.</w:t>
            </w:r>
            <w:r>
              <w:rPr>
                <w:rFonts w:hint="eastAsia" w:cs="Times New Roman"/>
                <w:bCs/>
                <w:color w:val="auto"/>
                <w:sz w:val="24"/>
                <w:highlight w:val="none"/>
                <w:lang w:val="en-US" w:eastAsia="zh-CN"/>
              </w:rPr>
              <w:t>6991</w:t>
            </w:r>
            <w:r>
              <w:rPr>
                <w:rFonts w:hint="eastAsia" w:ascii="Times New Roman" w:hAnsi="Times New Roman" w:eastAsia="宋体" w:cs="Times New Roman"/>
                <w:bCs/>
                <w:color w:val="auto"/>
                <w:sz w:val="24"/>
                <w:highlight w:val="none"/>
                <w:lang w:val="en-US" w:eastAsia="zh-CN"/>
              </w:rPr>
              <w:t>t</w:t>
            </w:r>
            <w:r>
              <w:rPr>
                <w:rFonts w:hint="default" w:ascii="Times New Roman" w:hAnsi="Times New Roman" w:eastAsia="宋体" w:cs="Times New Roman"/>
                <w:bCs/>
                <w:color w:val="auto"/>
                <w:sz w:val="24"/>
                <w:highlight w:val="none"/>
                <w:lang w:val="en-US" w:eastAsia="zh-CN"/>
              </w:rPr>
              <w:t>，项目计划</w:t>
            </w:r>
            <w:r>
              <w:rPr>
                <w:rFonts w:hint="eastAsia" w:ascii="Times New Roman" w:hAnsi="Times New Roman" w:eastAsia="宋体" w:cs="Times New Roman"/>
                <w:bCs/>
                <w:color w:val="auto"/>
                <w:sz w:val="24"/>
                <w:highlight w:val="none"/>
                <w:lang w:val="en-US" w:eastAsia="zh-CN"/>
              </w:rPr>
              <w:t>每三</w:t>
            </w:r>
            <w:r>
              <w:rPr>
                <w:rFonts w:hint="default" w:ascii="Times New Roman" w:hAnsi="Times New Roman" w:eastAsia="宋体" w:cs="Times New Roman"/>
                <w:bCs/>
                <w:color w:val="auto"/>
                <w:sz w:val="24"/>
                <w:highlight w:val="none"/>
                <w:lang w:val="zh-CN" w:eastAsia="zh-CN"/>
              </w:rPr>
              <w:t>个月更换一次活性炭吸附填料，确保项目有机废气达标排放</w:t>
            </w:r>
            <w:r>
              <w:rPr>
                <w:rFonts w:hint="eastAsia" w:ascii="Times New Roman" w:hAnsi="Times New Roman" w:eastAsia="宋体" w:cs="Times New Roman"/>
                <w:bCs/>
                <w:color w:val="auto"/>
                <w:sz w:val="24"/>
                <w:highlight w:val="none"/>
                <w:lang w:val="zh-CN" w:eastAsia="zh-CN"/>
              </w:rPr>
              <w:t>。</w:t>
            </w:r>
            <w:r>
              <w:rPr>
                <w:rFonts w:hint="default" w:ascii="Times New Roman" w:hAnsi="Times New Roman" w:eastAsia="宋体" w:cs="Times New Roman"/>
                <w:bCs/>
                <w:color w:val="auto"/>
                <w:sz w:val="24"/>
                <w:highlight w:val="none"/>
                <w:lang w:val="en-US" w:eastAsia="zh-CN"/>
              </w:rPr>
              <w:t>根据《国家危险废物名录》</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202</w:t>
            </w:r>
            <w:r>
              <w:rPr>
                <w:rFonts w:hint="eastAsia" w:ascii="Times New Roman" w:hAnsi="Times New Roman" w:eastAsia="宋体" w:cs="Times New Roman"/>
                <w:bCs/>
                <w:color w:val="auto"/>
                <w:sz w:val="24"/>
                <w:highlight w:val="none"/>
                <w:lang w:val="en-US" w:eastAsia="zh-CN"/>
              </w:rPr>
              <w:t>5</w:t>
            </w:r>
            <w:r>
              <w:rPr>
                <w:rFonts w:hint="default" w:ascii="Times New Roman" w:hAnsi="Times New Roman" w:eastAsia="宋体" w:cs="Times New Roman"/>
                <w:bCs/>
                <w:color w:val="auto"/>
                <w:sz w:val="24"/>
                <w:highlight w:val="none"/>
                <w:lang w:val="en-US" w:eastAsia="zh-CN"/>
              </w:rPr>
              <w:t>年版</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，废活性炭属于危险废物，废物类别为HW49其他废物，废物代码900-039-49</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妥善收集后</w:t>
            </w:r>
            <w:r>
              <w:rPr>
                <w:rFonts w:hint="eastAsia" w:ascii="Times New Roman" w:hAnsi="Times New Roman" w:eastAsia="宋体" w:cs="Times New Roman"/>
                <w:bCs/>
                <w:color w:val="auto"/>
                <w:sz w:val="24"/>
                <w:highlight w:val="none"/>
              </w:rPr>
              <w:t>暂存于危险废物</w:t>
            </w:r>
            <w:r>
              <w:rPr>
                <w:rFonts w:hint="eastAsia" w:ascii="Times New Roman" w:hAnsi="Times New Roman" w:eastAsia="宋体" w:cs="Times New Roman"/>
                <w:bCs/>
                <w:color w:val="auto"/>
                <w:sz w:val="24"/>
                <w:highlight w:val="none"/>
                <w:lang w:val="en-US" w:eastAsia="zh-CN"/>
              </w:rPr>
              <w:t>贮存库，定期委托有资质单位处置。</w:t>
            </w:r>
          </w:p>
          <w:p w14:paraId="4FDBCCC3">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②废机油</w:t>
            </w:r>
          </w:p>
          <w:p w14:paraId="498697D2">
            <w:pPr>
              <w:widowControl/>
              <w:spacing w:line="360" w:lineRule="auto"/>
              <w:ind w:firstLine="480" w:firstLineChars="200"/>
              <w:jc w:val="left"/>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本项目在设备检修维护过程会产生少量废机油，参考同类企业，废机油产生量为</w:t>
            </w:r>
            <w:r>
              <w:rPr>
                <w:rFonts w:hint="default" w:ascii="Times New Roman" w:hAnsi="Times New Roman" w:eastAsia="宋体" w:cs="Times New Roman"/>
                <w:bCs/>
                <w:color w:val="auto"/>
                <w:sz w:val="24"/>
                <w:highlight w:val="none"/>
                <w:lang w:val="en-US" w:eastAsia="zh-CN"/>
              </w:rPr>
              <w:t>0.</w:t>
            </w:r>
            <w:r>
              <w:rPr>
                <w:rFonts w:hint="eastAsia" w:ascii="Times New Roman" w:hAnsi="Times New Roman" w:eastAsia="宋体" w:cs="Times New Roman"/>
                <w:bCs/>
                <w:color w:val="auto"/>
                <w:sz w:val="24"/>
                <w:highlight w:val="none"/>
                <w:lang w:val="en-US" w:eastAsia="zh-CN"/>
              </w:rPr>
              <w:t>12</w:t>
            </w:r>
            <w:r>
              <w:rPr>
                <w:rFonts w:hint="default" w:ascii="Times New Roman" w:hAnsi="Times New Roman" w:eastAsia="宋体" w:cs="Times New Roman"/>
                <w:bCs/>
                <w:color w:val="auto"/>
                <w:sz w:val="24"/>
                <w:highlight w:val="none"/>
                <w:lang w:val="en-US" w:eastAsia="zh-CN"/>
              </w:rPr>
              <w:t>t/a</w:t>
            </w:r>
            <w:r>
              <w:rPr>
                <w:rFonts w:hint="eastAsia" w:ascii="Times New Roman" w:hAnsi="Times New Roman" w:eastAsia="宋体" w:cs="Times New Roman"/>
                <w:bCs/>
                <w:color w:val="auto"/>
                <w:sz w:val="24"/>
                <w:highlight w:val="none"/>
                <w:lang w:val="en-US" w:eastAsia="zh-CN"/>
              </w:rPr>
              <w:t>。废润滑油属于《国家危险废物名录》（</w:t>
            </w:r>
            <w:r>
              <w:rPr>
                <w:rFonts w:hint="default" w:ascii="Times New Roman" w:hAnsi="Times New Roman" w:eastAsia="宋体" w:cs="Times New Roman"/>
                <w:bCs/>
                <w:color w:val="auto"/>
                <w:sz w:val="24"/>
                <w:highlight w:val="none"/>
                <w:lang w:val="en-US" w:eastAsia="zh-CN"/>
              </w:rPr>
              <w:t>2025</w:t>
            </w:r>
            <w:r>
              <w:rPr>
                <w:rFonts w:hint="eastAsia" w:ascii="Times New Roman" w:hAnsi="Times New Roman" w:eastAsia="宋体" w:cs="Times New Roman"/>
                <w:bCs/>
                <w:color w:val="auto"/>
                <w:sz w:val="24"/>
                <w:highlight w:val="none"/>
                <w:lang w:val="en-US" w:eastAsia="zh-CN"/>
              </w:rPr>
              <w:t>年版）中的</w:t>
            </w:r>
            <w:r>
              <w:rPr>
                <w:rFonts w:hint="default" w:ascii="Times New Roman" w:hAnsi="Times New Roman" w:eastAsia="宋体" w:cs="Times New Roman"/>
                <w:bCs/>
                <w:color w:val="auto"/>
                <w:sz w:val="24"/>
                <w:highlight w:val="none"/>
                <w:lang w:val="en-US" w:eastAsia="zh-CN"/>
              </w:rPr>
              <w:t>HW08</w:t>
            </w:r>
            <w:r>
              <w:rPr>
                <w:rFonts w:hint="eastAsia" w:ascii="Times New Roman" w:hAnsi="Times New Roman" w:eastAsia="宋体" w:cs="Times New Roman"/>
                <w:bCs/>
                <w:color w:val="auto"/>
                <w:sz w:val="24"/>
                <w:highlight w:val="none"/>
                <w:lang w:val="en-US" w:eastAsia="zh-CN"/>
              </w:rPr>
              <w:t>类危废（</w:t>
            </w:r>
            <w:r>
              <w:rPr>
                <w:rFonts w:hint="default" w:ascii="Times New Roman" w:hAnsi="Times New Roman" w:eastAsia="宋体" w:cs="Times New Roman"/>
                <w:bCs/>
                <w:color w:val="auto"/>
                <w:sz w:val="24"/>
                <w:highlight w:val="none"/>
                <w:lang w:val="en-US" w:eastAsia="zh-CN"/>
              </w:rPr>
              <w:t>900-217-08</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HW08</w:t>
            </w:r>
            <w:r>
              <w:rPr>
                <w:rFonts w:hint="eastAsia" w:ascii="Times New Roman" w:hAnsi="Times New Roman" w:eastAsia="宋体" w:cs="Times New Roman"/>
                <w:bCs/>
                <w:color w:val="auto"/>
                <w:sz w:val="24"/>
                <w:highlight w:val="none"/>
                <w:lang w:val="en-US" w:eastAsia="zh-CN"/>
              </w:rPr>
              <w:t>废矿物油与含矿物油废物：</w:t>
            </w:r>
            <w:r>
              <w:rPr>
                <w:rFonts w:hint="default" w:ascii="Times New Roman" w:hAnsi="Times New Roman" w:eastAsia="宋体" w:cs="Times New Roman"/>
                <w:bCs/>
                <w:color w:val="auto"/>
                <w:sz w:val="24"/>
                <w:highlight w:val="none"/>
                <w:lang w:val="en-US" w:eastAsia="zh-CN"/>
              </w:rPr>
              <w:t>900-21</w:t>
            </w:r>
            <w:r>
              <w:rPr>
                <w:rFonts w:hint="eastAsia" w:ascii="Times New Roman" w:hAnsi="Times New Roman" w:eastAsia="宋体" w:cs="Times New Roman"/>
                <w:bCs/>
                <w:color w:val="auto"/>
                <w:sz w:val="24"/>
                <w:highlight w:val="none"/>
                <w:lang w:val="en-US" w:eastAsia="zh-CN"/>
              </w:rPr>
              <w:t>4</w:t>
            </w:r>
            <w:r>
              <w:rPr>
                <w:rFonts w:hint="default" w:ascii="Times New Roman" w:hAnsi="Times New Roman" w:eastAsia="宋体" w:cs="Times New Roman"/>
                <w:bCs/>
                <w:color w:val="auto"/>
                <w:sz w:val="24"/>
                <w:highlight w:val="none"/>
                <w:lang w:val="en-US" w:eastAsia="zh-CN"/>
              </w:rPr>
              <w:t>-08</w:t>
            </w:r>
            <w:r>
              <w:rPr>
                <w:rFonts w:hint="eastAsia" w:ascii="Times New Roman" w:hAnsi="Times New Roman" w:eastAsia="宋体" w:cs="Times New Roman"/>
                <w:bCs/>
                <w:color w:val="auto"/>
                <w:sz w:val="24"/>
                <w:highlight w:val="none"/>
                <w:lang w:val="en-US" w:eastAsia="zh-CN"/>
              </w:rPr>
              <w:t>车辆、轮船及其它机械维修过程中产生的废发动机油、制动器油、自动变速器油、齿轮油等废润滑油”。废机油统一收集后暂存于危险废物贮存库，后交由有资质单位进行处置。</w:t>
            </w:r>
          </w:p>
          <w:p w14:paraId="352422B1">
            <w:pPr>
              <w:keepNext w:val="0"/>
              <w:pageBreakBefore w:val="0"/>
              <w:kinsoku/>
              <w:wordWrap/>
              <w:overflowPunct/>
              <w:topLinePunct w:val="0"/>
              <w:bidi w:val="0"/>
              <w:adjustRightInd w:val="0"/>
              <w:snapToGrid w:val="0"/>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综上分析，项目运营期各类固体废物产生及处置情况详见表</w:t>
            </w:r>
            <w:r>
              <w:rPr>
                <w:rFonts w:hint="eastAsia" w:ascii="Times New Roman" w:hAnsi="Times New Roman" w:eastAsia="宋体" w:cs="Times New Roman"/>
                <w:bCs/>
                <w:color w:val="auto"/>
                <w:sz w:val="24"/>
                <w:highlight w:val="none"/>
                <w:lang w:val="en-US" w:eastAsia="zh-CN"/>
              </w:rPr>
              <w:t>4.</w:t>
            </w:r>
            <w:r>
              <w:rPr>
                <w:rFonts w:hint="eastAsia" w:eastAsia="宋体" w:cs="Times New Roman"/>
                <w:bCs/>
                <w:color w:val="auto"/>
                <w:sz w:val="24"/>
                <w:highlight w:val="none"/>
                <w:lang w:val="en-US" w:eastAsia="zh-CN"/>
              </w:rPr>
              <w:t>4</w:t>
            </w:r>
            <w:r>
              <w:rPr>
                <w:rFonts w:hint="eastAsia" w:ascii="Times New Roman" w:hAnsi="Times New Roman" w:eastAsia="宋体" w:cs="Times New Roman"/>
                <w:bCs/>
                <w:color w:val="auto"/>
                <w:sz w:val="24"/>
                <w:highlight w:val="none"/>
                <w:lang w:val="en-US" w:eastAsia="zh-CN"/>
              </w:rPr>
              <w:t>-1</w:t>
            </w:r>
            <w:r>
              <w:rPr>
                <w:rFonts w:ascii="Times New Roman" w:hAnsi="Times New Roman" w:eastAsia="宋体" w:cs="Times New Roman"/>
                <w:bCs/>
                <w:color w:val="auto"/>
                <w:sz w:val="24"/>
                <w:highlight w:val="none"/>
              </w:rPr>
              <w:t>。</w:t>
            </w:r>
          </w:p>
          <w:p w14:paraId="57B57145">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Times New Roman" w:cs="Times New Roman"/>
                <w:b/>
                <w:bCs/>
                <w:color w:val="auto"/>
                <w:sz w:val="24"/>
                <w:highlight w:val="none"/>
                <w:lang w:val="zh-CN"/>
              </w:rPr>
              <w:t>表</w:t>
            </w:r>
            <w:r>
              <w:rPr>
                <w:rFonts w:hint="eastAsia" w:ascii="Times New Roman" w:hAnsi="Times New Roman" w:cs="Times New Roman"/>
                <w:b/>
                <w:bCs/>
                <w:color w:val="auto"/>
                <w:sz w:val="24"/>
                <w:highlight w:val="none"/>
                <w:lang w:val="en-US" w:eastAsia="zh-CN"/>
              </w:rPr>
              <w:t>4.</w:t>
            </w:r>
            <w:r>
              <w:rPr>
                <w:rFonts w:hint="eastAsia" w:cs="Times New Roman"/>
                <w:b/>
                <w:bCs/>
                <w:color w:val="auto"/>
                <w:sz w:val="24"/>
                <w:highlight w:val="none"/>
                <w:lang w:val="en-US" w:eastAsia="zh-CN"/>
              </w:rPr>
              <w:t>4</w:t>
            </w:r>
            <w:r>
              <w:rPr>
                <w:rFonts w:hint="eastAsia" w:ascii="Times New Roman" w:hAnsi="Times New Roman" w:cs="Times New Roman"/>
                <w:b/>
                <w:bCs/>
                <w:color w:val="auto"/>
                <w:sz w:val="24"/>
                <w:highlight w:val="none"/>
                <w:lang w:val="en-US" w:eastAsia="zh-CN"/>
              </w:rPr>
              <w:t>-1</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lang w:val="en-US" w:eastAsia="zh-CN"/>
              </w:rPr>
              <w:t xml:space="preserve"> 项目</w:t>
            </w:r>
            <w:r>
              <w:rPr>
                <w:rFonts w:hint="default" w:ascii="Times New Roman" w:hAnsi="Times New Roman" w:cs="Times New Roman"/>
                <w:b/>
                <w:bCs/>
                <w:color w:val="auto"/>
                <w:sz w:val="24"/>
                <w:highlight w:val="none"/>
                <w:lang w:val="en-US" w:eastAsia="zh-CN"/>
              </w:rPr>
              <w:t>固废产生及处置</w:t>
            </w:r>
            <w:r>
              <w:rPr>
                <w:rFonts w:hint="default" w:ascii="Times New Roman" w:hAnsi="Times New Roman" w:eastAsia="宋体" w:cs="Times New Roman"/>
                <w:b/>
                <w:bCs/>
                <w:color w:val="auto"/>
                <w:sz w:val="24"/>
                <w:highlight w:val="none"/>
                <w:lang w:val="en-US" w:eastAsia="zh-CN"/>
              </w:rPr>
              <w:t>情况汇总表</w:t>
            </w:r>
          </w:p>
          <w:tbl>
            <w:tblPr>
              <w:tblStyle w:val="22"/>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6"/>
              <w:gridCol w:w="529"/>
              <w:gridCol w:w="911"/>
              <w:gridCol w:w="868"/>
              <w:gridCol w:w="857"/>
              <w:gridCol w:w="718"/>
              <w:gridCol w:w="804"/>
              <w:gridCol w:w="385"/>
              <w:gridCol w:w="697"/>
              <w:gridCol w:w="707"/>
              <w:gridCol w:w="1693"/>
            </w:tblGrid>
            <w:tr w14:paraId="7CB8F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242" w:type="pct"/>
                  <w:tcBorders>
                    <w:tl2br w:val="nil"/>
                    <w:tr2bl w:val="nil"/>
                  </w:tcBorders>
                  <w:noWrap w:val="0"/>
                  <w:vAlign w:val="center"/>
                </w:tcPr>
                <w:p w14:paraId="6D11DC3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308" w:type="pct"/>
                  <w:tcBorders>
                    <w:tl2br w:val="nil"/>
                    <w:tr2bl w:val="nil"/>
                  </w:tcBorders>
                  <w:noWrap w:val="0"/>
                  <w:vAlign w:val="center"/>
                </w:tcPr>
                <w:p w14:paraId="0E3A77A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分类</w:t>
                  </w:r>
                </w:p>
              </w:tc>
              <w:tc>
                <w:tcPr>
                  <w:tcW w:w="530" w:type="pct"/>
                  <w:tcBorders>
                    <w:tl2br w:val="nil"/>
                    <w:tr2bl w:val="nil"/>
                  </w:tcBorders>
                  <w:noWrap w:val="0"/>
                  <w:vAlign w:val="center"/>
                </w:tcPr>
                <w:p w14:paraId="413762D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固废名称</w:t>
                  </w:r>
                </w:p>
              </w:tc>
              <w:tc>
                <w:tcPr>
                  <w:tcW w:w="505" w:type="pct"/>
                  <w:tcBorders>
                    <w:tl2br w:val="nil"/>
                    <w:tr2bl w:val="nil"/>
                  </w:tcBorders>
                  <w:noWrap w:val="0"/>
                  <w:vAlign w:val="center"/>
                </w:tcPr>
                <w:p w14:paraId="1827C08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类别</w:t>
                  </w:r>
                </w:p>
              </w:tc>
              <w:tc>
                <w:tcPr>
                  <w:tcW w:w="499" w:type="pct"/>
                  <w:tcBorders>
                    <w:tl2br w:val="nil"/>
                    <w:tr2bl w:val="nil"/>
                  </w:tcBorders>
                  <w:noWrap w:val="0"/>
                  <w:vAlign w:val="center"/>
                </w:tcPr>
                <w:p w14:paraId="782EDD4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废物代码</w:t>
                  </w:r>
                </w:p>
              </w:tc>
              <w:tc>
                <w:tcPr>
                  <w:tcW w:w="418" w:type="pct"/>
                  <w:tcBorders>
                    <w:tl2br w:val="nil"/>
                    <w:tr2bl w:val="nil"/>
                  </w:tcBorders>
                  <w:noWrap w:val="0"/>
                  <w:vAlign w:val="center"/>
                </w:tcPr>
                <w:p w14:paraId="4591C45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产生量t/a</w:t>
                  </w:r>
                </w:p>
              </w:tc>
              <w:tc>
                <w:tcPr>
                  <w:tcW w:w="468" w:type="pct"/>
                  <w:tcBorders>
                    <w:tl2br w:val="nil"/>
                    <w:tr2bl w:val="nil"/>
                  </w:tcBorders>
                  <w:noWrap w:val="0"/>
                  <w:vAlign w:val="center"/>
                </w:tcPr>
                <w:p w14:paraId="39551D2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产生环节</w:t>
                  </w:r>
                </w:p>
              </w:tc>
              <w:tc>
                <w:tcPr>
                  <w:tcW w:w="224" w:type="pct"/>
                  <w:tcBorders>
                    <w:tl2br w:val="nil"/>
                    <w:tr2bl w:val="nil"/>
                  </w:tcBorders>
                  <w:noWrap w:val="0"/>
                  <w:vAlign w:val="center"/>
                </w:tcPr>
                <w:p w14:paraId="772D9E3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形态</w:t>
                  </w:r>
                </w:p>
              </w:tc>
              <w:tc>
                <w:tcPr>
                  <w:tcW w:w="405" w:type="pct"/>
                  <w:tcBorders>
                    <w:tl2br w:val="nil"/>
                    <w:tr2bl w:val="nil"/>
                  </w:tcBorders>
                  <w:noWrap w:val="0"/>
                  <w:vAlign w:val="center"/>
                </w:tcPr>
                <w:p w14:paraId="681713B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主要成分</w:t>
                  </w:r>
                </w:p>
              </w:tc>
              <w:tc>
                <w:tcPr>
                  <w:tcW w:w="411" w:type="pct"/>
                  <w:tcBorders>
                    <w:tl2br w:val="nil"/>
                    <w:tr2bl w:val="nil"/>
                  </w:tcBorders>
                  <w:noWrap w:val="0"/>
                  <w:vAlign w:val="center"/>
                </w:tcPr>
                <w:p w14:paraId="53E1420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有害成分</w:t>
                  </w:r>
                </w:p>
              </w:tc>
              <w:tc>
                <w:tcPr>
                  <w:tcW w:w="986" w:type="pct"/>
                  <w:tcBorders>
                    <w:tl2br w:val="nil"/>
                    <w:tr2bl w:val="nil"/>
                  </w:tcBorders>
                  <w:noWrap w:val="0"/>
                  <w:vAlign w:val="center"/>
                </w:tcPr>
                <w:p w14:paraId="5461749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处置方式</w:t>
                  </w:r>
                </w:p>
              </w:tc>
            </w:tr>
            <w:tr w14:paraId="3DE22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11" w:hRule="atLeast"/>
              </w:trPr>
              <w:tc>
                <w:tcPr>
                  <w:tcW w:w="242" w:type="pct"/>
                  <w:tcBorders>
                    <w:tl2br w:val="nil"/>
                    <w:tr2bl w:val="nil"/>
                  </w:tcBorders>
                  <w:shd w:val="clear" w:color="auto" w:fill="auto"/>
                  <w:noWrap w:val="0"/>
                  <w:vAlign w:val="center"/>
                </w:tcPr>
                <w:p w14:paraId="2019507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308" w:type="pct"/>
                  <w:tcBorders>
                    <w:tl2br w:val="nil"/>
                    <w:tr2bl w:val="nil"/>
                  </w:tcBorders>
                  <w:shd w:val="clear" w:color="auto" w:fill="auto"/>
                  <w:noWrap w:val="0"/>
                  <w:vAlign w:val="center"/>
                </w:tcPr>
                <w:p w14:paraId="01D32F6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生活垃圾</w:t>
                  </w:r>
                </w:p>
              </w:tc>
              <w:tc>
                <w:tcPr>
                  <w:tcW w:w="530" w:type="pct"/>
                  <w:tcBorders>
                    <w:tl2br w:val="nil"/>
                    <w:tr2bl w:val="nil"/>
                  </w:tcBorders>
                  <w:shd w:val="clear" w:color="auto" w:fill="auto"/>
                  <w:noWrap w:val="0"/>
                  <w:vAlign w:val="center"/>
                </w:tcPr>
                <w:p w14:paraId="01EFA31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办公、生活等</w:t>
                  </w:r>
                </w:p>
              </w:tc>
              <w:tc>
                <w:tcPr>
                  <w:tcW w:w="505" w:type="pct"/>
                  <w:tcBorders>
                    <w:tl2br w:val="nil"/>
                    <w:tr2bl w:val="nil"/>
                  </w:tcBorders>
                  <w:shd w:val="clear" w:color="auto" w:fill="auto"/>
                  <w:noWrap w:val="0"/>
                  <w:vAlign w:val="center"/>
                </w:tcPr>
                <w:p w14:paraId="2F60316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SW64其他垃圾</w:t>
                  </w:r>
                </w:p>
              </w:tc>
              <w:tc>
                <w:tcPr>
                  <w:tcW w:w="499" w:type="pct"/>
                  <w:tcBorders>
                    <w:tl2br w:val="nil"/>
                    <w:tr2bl w:val="nil"/>
                  </w:tcBorders>
                  <w:shd w:val="clear" w:color="auto" w:fill="auto"/>
                  <w:noWrap w:val="0"/>
                  <w:vAlign w:val="center"/>
                </w:tcPr>
                <w:p w14:paraId="0BD9CA4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900-099-S64</w:t>
                  </w:r>
                </w:p>
              </w:tc>
              <w:tc>
                <w:tcPr>
                  <w:tcW w:w="418" w:type="pct"/>
                  <w:tcBorders>
                    <w:tl2br w:val="nil"/>
                    <w:tr2bl w:val="nil"/>
                  </w:tcBorders>
                  <w:shd w:val="clear" w:color="auto" w:fill="auto"/>
                  <w:noWrap w:val="0"/>
                  <w:vAlign w:val="center"/>
                </w:tcPr>
                <w:p w14:paraId="5500BB7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w:t>
                  </w:r>
                </w:p>
              </w:tc>
              <w:tc>
                <w:tcPr>
                  <w:tcW w:w="468" w:type="pct"/>
                  <w:tcBorders>
                    <w:tl2br w:val="nil"/>
                    <w:tr2bl w:val="nil"/>
                  </w:tcBorders>
                  <w:shd w:val="clear" w:color="auto" w:fill="auto"/>
                  <w:noWrap w:val="0"/>
                  <w:vAlign w:val="center"/>
                </w:tcPr>
                <w:p w14:paraId="25E5302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职工日常生活</w:t>
                  </w:r>
                </w:p>
              </w:tc>
              <w:tc>
                <w:tcPr>
                  <w:tcW w:w="224" w:type="pct"/>
                  <w:tcBorders>
                    <w:tl2br w:val="nil"/>
                    <w:tr2bl w:val="nil"/>
                  </w:tcBorders>
                  <w:shd w:val="clear" w:color="auto" w:fill="auto"/>
                  <w:noWrap w:val="0"/>
                  <w:vAlign w:val="center"/>
                </w:tcPr>
                <w:p w14:paraId="658DE75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05" w:type="pct"/>
                  <w:tcBorders>
                    <w:tl2br w:val="nil"/>
                    <w:tr2bl w:val="nil"/>
                  </w:tcBorders>
                  <w:shd w:val="clear" w:color="auto" w:fill="auto"/>
                  <w:noWrap w:val="0"/>
                  <w:vAlign w:val="center"/>
                </w:tcPr>
                <w:p w14:paraId="65BA945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11" w:type="pct"/>
                  <w:tcBorders>
                    <w:tl2br w:val="nil"/>
                    <w:tr2bl w:val="nil"/>
                  </w:tcBorders>
                  <w:shd w:val="clear" w:color="auto" w:fill="auto"/>
                  <w:noWrap w:val="0"/>
                  <w:vAlign w:val="center"/>
                </w:tcPr>
                <w:p w14:paraId="6006289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86" w:type="pct"/>
                  <w:tcBorders>
                    <w:tl2br w:val="nil"/>
                    <w:tr2bl w:val="nil"/>
                  </w:tcBorders>
                  <w:shd w:val="clear" w:color="auto" w:fill="auto"/>
                  <w:noWrap w:val="0"/>
                  <w:vAlign w:val="center"/>
                </w:tcPr>
                <w:p w14:paraId="43AECF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分类</w:t>
                  </w:r>
                  <w:r>
                    <w:rPr>
                      <w:rFonts w:hint="default" w:ascii="Times New Roman" w:hAnsi="Times New Roman" w:eastAsia="宋体" w:cs="Times New Roman"/>
                      <w:color w:val="auto"/>
                      <w:sz w:val="21"/>
                      <w:szCs w:val="21"/>
                      <w:highlight w:val="none"/>
                    </w:rPr>
                    <w:t>收集后交由环卫部门统一清运处置</w:t>
                  </w:r>
                </w:p>
              </w:tc>
            </w:tr>
            <w:tr w14:paraId="60D39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42" w:type="pct"/>
                  <w:vMerge w:val="restart"/>
                  <w:tcBorders>
                    <w:tl2br w:val="nil"/>
                    <w:tr2bl w:val="nil"/>
                  </w:tcBorders>
                  <w:noWrap w:val="0"/>
                  <w:vAlign w:val="center"/>
                </w:tcPr>
                <w:p w14:paraId="51298C0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308" w:type="pct"/>
                  <w:vMerge w:val="restart"/>
                  <w:tcBorders>
                    <w:tl2br w:val="nil"/>
                    <w:tr2bl w:val="nil"/>
                  </w:tcBorders>
                  <w:noWrap w:val="0"/>
                  <w:vAlign w:val="center"/>
                </w:tcPr>
                <w:p w14:paraId="3C4008E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一般工业固废</w:t>
                  </w:r>
                </w:p>
              </w:tc>
              <w:tc>
                <w:tcPr>
                  <w:tcW w:w="530" w:type="pct"/>
                  <w:tcBorders>
                    <w:tl2br w:val="nil"/>
                    <w:tr2bl w:val="nil"/>
                  </w:tcBorders>
                  <w:noWrap w:val="0"/>
                  <w:vAlign w:val="center"/>
                </w:tcPr>
                <w:p w14:paraId="640C16A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sz w:val="21"/>
                      <w:szCs w:val="21"/>
                      <w:lang w:val="en-US" w:eastAsia="zh-CN"/>
                    </w:rPr>
                    <w:t>塑料</w:t>
                  </w:r>
                  <w:r>
                    <w:rPr>
                      <w:rFonts w:hint="default" w:ascii="Times New Roman" w:hAnsi="Times New Roman" w:eastAsia="宋体" w:cs="Times New Roman"/>
                      <w:color w:val="000000"/>
                      <w:sz w:val="21"/>
                      <w:szCs w:val="21"/>
                    </w:rPr>
                    <w:t>边角料</w:t>
                  </w:r>
                  <w:r>
                    <w:rPr>
                      <w:rFonts w:hint="default" w:ascii="Times New Roman" w:hAnsi="Times New Roman" w:eastAsia="宋体" w:cs="Times New Roman"/>
                      <w:color w:val="000000"/>
                      <w:sz w:val="21"/>
                      <w:szCs w:val="21"/>
                      <w:lang w:val="en-US" w:eastAsia="zh-CN"/>
                    </w:rPr>
                    <w:t>及</w:t>
                  </w:r>
                  <w:r>
                    <w:rPr>
                      <w:rFonts w:hint="eastAsia" w:ascii="Times New Roman" w:hAnsi="Times New Roman" w:eastAsia="宋体" w:cs="Times New Roman"/>
                      <w:color w:val="000000"/>
                      <w:sz w:val="21"/>
                      <w:szCs w:val="21"/>
                      <w:lang w:val="en-US" w:eastAsia="zh-CN"/>
                    </w:rPr>
                    <w:t>不合格产品</w:t>
                  </w:r>
                </w:p>
              </w:tc>
              <w:tc>
                <w:tcPr>
                  <w:tcW w:w="505" w:type="pct"/>
                  <w:tcBorders>
                    <w:tl2br w:val="nil"/>
                    <w:tr2bl w:val="nil"/>
                  </w:tcBorders>
                  <w:noWrap w:val="0"/>
                  <w:vAlign w:val="center"/>
                </w:tcPr>
                <w:p w14:paraId="5353DBB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00"/>
                      <w:kern w:val="0"/>
                      <w:sz w:val="21"/>
                      <w:szCs w:val="21"/>
                      <w:lang w:val="en-US" w:eastAsia="zh-CN" w:bidi="ar"/>
                    </w:rPr>
                    <w:t>SW17可再生类废物</w:t>
                  </w:r>
                </w:p>
              </w:tc>
              <w:tc>
                <w:tcPr>
                  <w:tcW w:w="499" w:type="pct"/>
                  <w:tcBorders>
                    <w:tl2br w:val="nil"/>
                    <w:tr2bl w:val="nil"/>
                  </w:tcBorders>
                  <w:noWrap w:val="0"/>
                  <w:vAlign w:val="center"/>
                </w:tcPr>
                <w:p w14:paraId="16A67B8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00"/>
                      <w:kern w:val="0"/>
                      <w:sz w:val="21"/>
                      <w:szCs w:val="21"/>
                      <w:lang w:val="en-US" w:eastAsia="zh-CN" w:bidi="ar"/>
                    </w:rPr>
                    <w:t>900-003-S17</w:t>
                  </w:r>
                </w:p>
              </w:tc>
              <w:tc>
                <w:tcPr>
                  <w:tcW w:w="418" w:type="pct"/>
                  <w:tcBorders>
                    <w:tl2br w:val="nil"/>
                    <w:tr2bl w:val="nil"/>
                  </w:tcBorders>
                  <w:noWrap w:val="0"/>
                  <w:vAlign w:val="center"/>
                </w:tcPr>
                <w:p w14:paraId="16BD10D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0.996</w:t>
                  </w:r>
                </w:p>
              </w:tc>
              <w:tc>
                <w:tcPr>
                  <w:tcW w:w="468" w:type="pct"/>
                  <w:tcBorders>
                    <w:tl2br w:val="nil"/>
                    <w:tr2bl w:val="nil"/>
                  </w:tcBorders>
                  <w:noWrap w:val="0"/>
                  <w:vAlign w:val="center"/>
                </w:tcPr>
                <w:p w14:paraId="47F46CC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检验、修剪</w:t>
                  </w:r>
                </w:p>
              </w:tc>
              <w:tc>
                <w:tcPr>
                  <w:tcW w:w="224" w:type="pct"/>
                  <w:tcBorders>
                    <w:tl2br w:val="nil"/>
                    <w:tr2bl w:val="nil"/>
                  </w:tcBorders>
                  <w:noWrap w:val="0"/>
                  <w:vAlign w:val="center"/>
                </w:tcPr>
                <w:p w14:paraId="6A302E4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405" w:type="pct"/>
                  <w:tcBorders>
                    <w:tl2br w:val="nil"/>
                    <w:tr2bl w:val="nil"/>
                  </w:tcBorders>
                  <w:noWrap w:val="0"/>
                  <w:vAlign w:val="center"/>
                </w:tcPr>
                <w:p w14:paraId="5BD786B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废塑料</w:t>
                  </w:r>
                </w:p>
              </w:tc>
              <w:tc>
                <w:tcPr>
                  <w:tcW w:w="411" w:type="pct"/>
                  <w:tcBorders>
                    <w:tl2br w:val="nil"/>
                    <w:tr2bl w:val="nil"/>
                  </w:tcBorders>
                  <w:noWrap w:val="0"/>
                  <w:vAlign w:val="center"/>
                </w:tcPr>
                <w:p w14:paraId="459FE91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986" w:type="pct"/>
                  <w:tcBorders>
                    <w:tl2br w:val="nil"/>
                    <w:tr2bl w:val="nil"/>
                  </w:tcBorders>
                  <w:noWrap w:val="0"/>
                  <w:vAlign w:val="center"/>
                </w:tcPr>
                <w:p w14:paraId="73B7DED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收集后经破碎处理回用于生产</w:t>
                  </w:r>
                </w:p>
              </w:tc>
            </w:tr>
            <w:tr w14:paraId="2397FD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16" w:hRule="atLeast"/>
              </w:trPr>
              <w:tc>
                <w:tcPr>
                  <w:tcW w:w="242" w:type="pct"/>
                  <w:vMerge w:val="continue"/>
                  <w:tcBorders>
                    <w:tl2br w:val="nil"/>
                    <w:tr2bl w:val="nil"/>
                  </w:tcBorders>
                  <w:noWrap w:val="0"/>
                  <w:vAlign w:val="center"/>
                </w:tcPr>
                <w:p w14:paraId="2659EE9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308" w:type="pct"/>
                  <w:vMerge w:val="continue"/>
                  <w:tcBorders>
                    <w:tl2br w:val="nil"/>
                    <w:tr2bl w:val="nil"/>
                  </w:tcBorders>
                  <w:noWrap w:val="0"/>
                  <w:vAlign w:val="center"/>
                </w:tcPr>
                <w:p w14:paraId="0614911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30" w:type="pct"/>
                  <w:tcBorders>
                    <w:tl2br w:val="nil"/>
                    <w:tr2bl w:val="nil"/>
                  </w:tcBorders>
                  <w:noWrap w:val="0"/>
                  <w:vAlign w:val="center"/>
                </w:tcPr>
                <w:p w14:paraId="49DE04F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废包装纸箱、包装袋</w:t>
                  </w:r>
                </w:p>
              </w:tc>
              <w:tc>
                <w:tcPr>
                  <w:tcW w:w="505" w:type="pct"/>
                  <w:tcBorders>
                    <w:tl2br w:val="nil"/>
                    <w:tr2bl w:val="nil"/>
                  </w:tcBorders>
                  <w:noWrap w:val="0"/>
                  <w:vAlign w:val="center"/>
                </w:tcPr>
                <w:p w14:paraId="54492FE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00"/>
                      <w:kern w:val="0"/>
                      <w:sz w:val="21"/>
                      <w:szCs w:val="21"/>
                      <w:lang w:val="en-US" w:eastAsia="zh-CN" w:bidi="ar"/>
                    </w:rPr>
                    <w:t>SW17可再生类废物</w:t>
                  </w:r>
                </w:p>
              </w:tc>
              <w:tc>
                <w:tcPr>
                  <w:tcW w:w="499" w:type="pct"/>
                  <w:tcBorders>
                    <w:tl2br w:val="nil"/>
                    <w:tr2bl w:val="nil"/>
                  </w:tcBorders>
                  <w:noWrap w:val="0"/>
                  <w:vAlign w:val="center"/>
                </w:tcPr>
                <w:p w14:paraId="3E1283C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00"/>
                      <w:kern w:val="0"/>
                      <w:sz w:val="21"/>
                      <w:szCs w:val="21"/>
                      <w:lang w:val="en-US" w:eastAsia="zh-CN" w:bidi="ar"/>
                    </w:rPr>
                    <w:t>900-003-S17</w:t>
                  </w:r>
                </w:p>
              </w:tc>
              <w:tc>
                <w:tcPr>
                  <w:tcW w:w="418" w:type="pct"/>
                  <w:tcBorders>
                    <w:tl2br w:val="nil"/>
                    <w:tr2bl w:val="nil"/>
                  </w:tcBorders>
                  <w:noWrap w:val="0"/>
                  <w:vAlign w:val="center"/>
                </w:tcPr>
                <w:p w14:paraId="2572CCC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24</w:t>
                  </w:r>
                </w:p>
              </w:tc>
              <w:tc>
                <w:tcPr>
                  <w:tcW w:w="468" w:type="pct"/>
                  <w:tcBorders>
                    <w:tl2br w:val="nil"/>
                    <w:tr2bl w:val="nil"/>
                  </w:tcBorders>
                  <w:noWrap w:val="0"/>
                  <w:vAlign w:val="center"/>
                </w:tcPr>
                <w:p w14:paraId="4C1451F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配料、包装</w:t>
                  </w:r>
                </w:p>
              </w:tc>
              <w:tc>
                <w:tcPr>
                  <w:tcW w:w="224" w:type="pct"/>
                  <w:tcBorders>
                    <w:tl2br w:val="nil"/>
                    <w:tr2bl w:val="nil"/>
                  </w:tcBorders>
                  <w:noWrap w:val="0"/>
                  <w:vAlign w:val="center"/>
                </w:tcPr>
                <w:p w14:paraId="19819C3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405" w:type="pct"/>
                  <w:tcBorders>
                    <w:tl2br w:val="nil"/>
                    <w:tr2bl w:val="nil"/>
                  </w:tcBorders>
                  <w:noWrap w:val="0"/>
                  <w:vAlign w:val="center"/>
                </w:tcPr>
                <w:p w14:paraId="5693F73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纸箱、塑料</w:t>
                  </w:r>
                </w:p>
              </w:tc>
              <w:tc>
                <w:tcPr>
                  <w:tcW w:w="411" w:type="pct"/>
                  <w:tcBorders>
                    <w:tl2br w:val="nil"/>
                    <w:tr2bl w:val="nil"/>
                  </w:tcBorders>
                  <w:noWrap w:val="0"/>
                  <w:vAlign w:val="center"/>
                </w:tcPr>
                <w:p w14:paraId="52F7FBA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986" w:type="pct"/>
                  <w:tcBorders>
                    <w:tl2br w:val="nil"/>
                    <w:tr2bl w:val="nil"/>
                  </w:tcBorders>
                  <w:noWrap w:val="0"/>
                  <w:vAlign w:val="center"/>
                </w:tcPr>
                <w:p w14:paraId="332427C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经妥善分类收集后暂存于一般工业固废暂存间内，定期出售给回收企业综合利用</w:t>
                  </w:r>
                </w:p>
              </w:tc>
            </w:tr>
            <w:tr w14:paraId="338B4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242" w:type="pct"/>
                  <w:vMerge w:val="restart"/>
                  <w:tcBorders>
                    <w:tl2br w:val="nil"/>
                    <w:tr2bl w:val="nil"/>
                  </w:tcBorders>
                  <w:noWrap w:val="0"/>
                  <w:vAlign w:val="center"/>
                </w:tcPr>
                <w:p w14:paraId="69B7C7C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308" w:type="pct"/>
                  <w:vMerge w:val="restart"/>
                  <w:tcBorders>
                    <w:tl2br w:val="nil"/>
                    <w:tr2bl w:val="nil"/>
                  </w:tcBorders>
                  <w:noWrap w:val="0"/>
                  <w:vAlign w:val="center"/>
                </w:tcPr>
                <w:p w14:paraId="7AF7341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530" w:type="pct"/>
                  <w:tcBorders>
                    <w:tl2br w:val="nil"/>
                    <w:tr2bl w:val="nil"/>
                  </w:tcBorders>
                  <w:noWrap w:val="0"/>
                  <w:vAlign w:val="center"/>
                </w:tcPr>
                <w:p w14:paraId="23E0DF0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505" w:type="pct"/>
                  <w:tcBorders>
                    <w:tl2br w:val="nil"/>
                    <w:tr2bl w:val="nil"/>
                  </w:tcBorders>
                  <w:noWrap w:val="0"/>
                  <w:vAlign w:val="center"/>
                </w:tcPr>
                <w:p w14:paraId="4308189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HW49</w:t>
                  </w:r>
                  <w:r>
                    <w:rPr>
                      <w:rFonts w:hint="default" w:ascii="Times New Roman" w:hAnsi="Times New Roman" w:eastAsia="宋体" w:cs="Times New Roman"/>
                      <w:color w:val="auto"/>
                      <w:kern w:val="0"/>
                      <w:sz w:val="21"/>
                      <w:szCs w:val="21"/>
                      <w:lang w:val="en-US" w:eastAsia="zh-CN" w:bidi="ar"/>
                    </w:rPr>
                    <w:t>其他废物</w:t>
                  </w:r>
                </w:p>
              </w:tc>
              <w:tc>
                <w:tcPr>
                  <w:tcW w:w="499" w:type="pct"/>
                  <w:tcBorders>
                    <w:tl2br w:val="nil"/>
                    <w:tr2bl w:val="nil"/>
                  </w:tcBorders>
                  <w:noWrap w:val="0"/>
                  <w:vAlign w:val="center"/>
                </w:tcPr>
                <w:p w14:paraId="58F15A0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900-039-49</w:t>
                  </w:r>
                </w:p>
              </w:tc>
              <w:tc>
                <w:tcPr>
                  <w:tcW w:w="418" w:type="pct"/>
                  <w:tcBorders>
                    <w:tl2br w:val="nil"/>
                    <w:tr2bl w:val="nil"/>
                  </w:tcBorders>
                  <w:noWrap w:val="0"/>
                  <w:vAlign w:val="center"/>
                </w:tcPr>
                <w:p w14:paraId="5668D01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2.7967</w:t>
                  </w:r>
                </w:p>
              </w:tc>
              <w:tc>
                <w:tcPr>
                  <w:tcW w:w="468" w:type="pct"/>
                  <w:tcBorders>
                    <w:tl2br w:val="nil"/>
                    <w:tr2bl w:val="nil"/>
                  </w:tcBorders>
                  <w:noWrap w:val="0"/>
                  <w:vAlign w:val="center"/>
                </w:tcPr>
                <w:p w14:paraId="2355F76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废气处理</w:t>
                  </w:r>
                </w:p>
              </w:tc>
              <w:tc>
                <w:tcPr>
                  <w:tcW w:w="224" w:type="pct"/>
                  <w:tcBorders>
                    <w:tl2br w:val="nil"/>
                    <w:tr2bl w:val="nil"/>
                  </w:tcBorders>
                  <w:noWrap w:val="0"/>
                  <w:vAlign w:val="center"/>
                </w:tcPr>
                <w:p w14:paraId="716BF1B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405" w:type="pct"/>
                  <w:tcBorders>
                    <w:tl2br w:val="nil"/>
                    <w:tr2bl w:val="nil"/>
                  </w:tcBorders>
                  <w:noWrap w:val="0"/>
                  <w:vAlign w:val="center"/>
                </w:tcPr>
                <w:p w14:paraId="605BFDE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活性炭、有机物</w:t>
                  </w:r>
                </w:p>
              </w:tc>
              <w:tc>
                <w:tcPr>
                  <w:tcW w:w="411" w:type="pct"/>
                  <w:tcBorders>
                    <w:tl2br w:val="nil"/>
                    <w:tr2bl w:val="nil"/>
                  </w:tcBorders>
                  <w:noWrap w:val="0"/>
                  <w:vAlign w:val="center"/>
                </w:tcPr>
                <w:p w14:paraId="320D463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有机物</w:t>
                  </w:r>
                </w:p>
              </w:tc>
              <w:tc>
                <w:tcPr>
                  <w:tcW w:w="986" w:type="pct"/>
                  <w:vMerge w:val="restart"/>
                  <w:tcBorders>
                    <w:tl2br w:val="nil"/>
                    <w:tr2bl w:val="nil"/>
                  </w:tcBorders>
                  <w:noWrap w:val="0"/>
                  <w:vAlign w:val="center"/>
                </w:tcPr>
                <w:p w14:paraId="1D7A78C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暂存于危废贮存库，定期委托有资质的单位处置</w:t>
                  </w:r>
                </w:p>
              </w:tc>
            </w:tr>
            <w:tr w14:paraId="76D16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2" w:hRule="atLeast"/>
              </w:trPr>
              <w:tc>
                <w:tcPr>
                  <w:tcW w:w="242" w:type="pct"/>
                  <w:vMerge w:val="continue"/>
                  <w:tcBorders>
                    <w:tl2br w:val="nil"/>
                    <w:tr2bl w:val="nil"/>
                  </w:tcBorders>
                  <w:noWrap w:val="0"/>
                  <w:vAlign w:val="center"/>
                </w:tcPr>
                <w:p w14:paraId="45A392D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308" w:type="pct"/>
                  <w:vMerge w:val="continue"/>
                  <w:tcBorders>
                    <w:tl2br w:val="nil"/>
                    <w:tr2bl w:val="nil"/>
                  </w:tcBorders>
                  <w:noWrap w:val="0"/>
                  <w:vAlign w:val="center"/>
                </w:tcPr>
                <w:p w14:paraId="3543667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30" w:type="pct"/>
                  <w:tcBorders>
                    <w:tl2br w:val="nil"/>
                    <w:tr2bl w:val="nil"/>
                  </w:tcBorders>
                  <w:noWrap w:val="0"/>
                  <w:vAlign w:val="center"/>
                </w:tcPr>
                <w:p w14:paraId="5678B10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505" w:type="pct"/>
                  <w:tcBorders>
                    <w:tl2br w:val="nil"/>
                    <w:tr2bl w:val="nil"/>
                  </w:tcBorders>
                  <w:noWrap w:val="0"/>
                  <w:vAlign w:val="center"/>
                </w:tcPr>
                <w:p w14:paraId="05BA374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HW08</w:t>
                  </w:r>
                  <w:r>
                    <w:rPr>
                      <w:rFonts w:hint="default" w:ascii="Times New Roman" w:hAnsi="Times New Roman" w:eastAsia="宋体" w:cs="Times New Roman"/>
                      <w:color w:val="auto"/>
                      <w:kern w:val="0"/>
                      <w:sz w:val="21"/>
                      <w:szCs w:val="21"/>
                      <w:lang w:val="en-US" w:eastAsia="zh-CN" w:bidi="ar"/>
                    </w:rPr>
                    <w:t>废矿物油与含矿物油废物</w:t>
                  </w:r>
                </w:p>
              </w:tc>
              <w:tc>
                <w:tcPr>
                  <w:tcW w:w="499" w:type="pct"/>
                  <w:tcBorders>
                    <w:tl2br w:val="nil"/>
                    <w:tr2bl w:val="nil"/>
                  </w:tcBorders>
                  <w:noWrap w:val="0"/>
                  <w:vAlign w:val="center"/>
                </w:tcPr>
                <w:p w14:paraId="1873F89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900-217-08</w:t>
                  </w:r>
                </w:p>
                <w:p w14:paraId="7068C73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18" w:type="pct"/>
                  <w:tcBorders>
                    <w:tl2br w:val="nil"/>
                    <w:tr2bl w:val="nil"/>
                  </w:tcBorders>
                  <w:noWrap w:val="0"/>
                  <w:vAlign w:val="center"/>
                </w:tcPr>
                <w:p w14:paraId="65BDBA2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0.12</w:t>
                  </w:r>
                </w:p>
              </w:tc>
              <w:tc>
                <w:tcPr>
                  <w:tcW w:w="468" w:type="pct"/>
                  <w:tcBorders>
                    <w:tl2br w:val="nil"/>
                    <w:tr2bl w:val="nil"/>
                  </w:tcBorders>
                  <w:noWrap w:val="0"/>
                  <w:vAlign w:val="center"/>
                </w:tcPr>
                <w:p w14:paraId="74FE7BC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设备维护</w:t>
                  </w:r>
                </w:p>
              </w:tc>
              <w:tc>
                <w:tcPr>
                  <w:tcW w:w="224" w:type="pct"/>
                  <w:tcBorders>
                    <w:tl2br w:val="nil"/>
                    <w:tr2bl w:val="nil"/>
                  </w:tcBorders>
                  <w:noWrap w:val="0"/>
                  <w:vAlign w:val="center"/>
                </w:tcPr>
                <w:p w14:paraId="270E859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405" w:type="pct"/>
                  <w:tcBorders>
                    <w:tl2br w:val="nil"/>
                    <w:tr2bl w:val="nil"/>
                  </w:tcBorders>
                  <w:noWrap w:val="0"/>
                  <w:vAlign w:val="center"/>
                </w:tcPr>
                <w:p w14:paraId="1E4479D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矿物油</w:t>
                  </w:r>
                </w:p>
              </w:tc>
              <w:tc>
                <w:tcPr>
                  <w:tcW w:w="411" w:type="pct"/>
                  <w:tcBorders>
                    <w:tl2br w:val="nil"/>
                    <w:tr2bl w:val="nil"/>
                  </w:tcBorders>
                  <w:noWrap w:val="0"/>
                  <w:vAlign w:val="center"/>
                </w:tcPr>
                <w:p w14:paraId="69E8071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986" w:type="pct"/>
                  <w:vMerge w:val="continue"/>
                  <w:tcBorders>
                    <w:tl2br w:val="nil"/>
                    <w:tr2bl w:val="nil"/>
                  </w:tcBorders>
                  <w:noWrap w:val="0"/>
                  <w:vAlign w:val="center"/>
                </w:tcPr>
                <w:p w14:paraId="61F93D3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bl>
          <w:p w14:paraId="79631D03">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 xml:space="preserve">表4.4-2 </w:t>
            </w:r>
            <w:r>
              <w:rPr>
                <w:rFonts w:hint="default" w:ascii="Times New Roman" w:hAnsi="Times New Roman" w:eastAsia="宋体" w:cs="Times New Roman"/>
                <w:b/>
                <w:bCs/>
                <w:color w:val="auto"/>
                <w:sz w:val="24"/>
                <w:highlight w:val="none"/>
                <w:lang w:val="en-US" w:eastAsia="zh-CN"/>
              </w:rPr>
              <w:t>危险废物暂存间基本情况</w:t>
            </w:r>
          </w:p>
          <w:tbl>
            <w:tblPr>
              <w:tblStyle w:val="2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2"/>
              <w:gridCol w:w="967"/>
              <w:gridCol w:w="1297"/>
              <w:gridCol w:w="1379"/>
              <w:gridCol w:w="1003"/>
              <w:gridCol w:w="856"/>
              <w:gridCol w:w="987"/>
              <w:gridCol w:w="805"/>
              <w:gridCol w:w="826"/>
            </w:tblGrid>
            <w:tr w14:paraId="77FCA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75" w:type="pct"/>
                  <w:noWrap w:val="0"/>
                  <w:vAlign w:val="center"/>
                </w:tcPr>
                <w:p w14:paraId="6ABE97B1">
                  <w:pPr>
                    <w:pStyle w:val="32"/>
                    <w:rPr>
                      <w:kern w:val="0"/>
                      <w:szCs w:val="21"/>
                    </w:rPr>
                  </w:pPr>
                  <w:r>
                    <w:rPr>
                      <w:rFonts w:hint="eastAsia"/>
                      <w:kern w:val="0"/>
                      <w:szCs w:val="21"/>
                    </w:rPr>
                    <w:t>序</w:t>
                  </w:r>
                  <w:r>
                    <w:rPr>
                      <w:kern w:val="0"/>
                      <w:szCs w:val="21"/>
                    </w:rPr>
                    <w:t>号</w:t>
                  </w:r>
                </w:p>
              </w:tc>
              <w:tc>
                <w:tcPr>
                  <w:tcW w:w="562" w:type="pct"/>
                  <w:noWrap w:val="0"/>
                  <w:vAlign w:val="center"/>
                </w:tcPr>
                <w:p w14:paraId="49B4147D">
                  <w:pPr>
                    <w:pStyle w:val="32"/>
                    <w:rPr>
                      <w:kern w:val="0"/>
                      <w:szCs w:val="21"/>
                    </w:rPr>
                  </w:pPr>
                  <w:r>
                    <w:rPr>
                      <w:kern w:val="0"/>
                      <w:szCs w:val="21"/>
                    </w:rPr>
                    <w:t>危险废</w:t>
                  </w:r>
                </w:p>
                <w:p w14:paraId="479011FE">
                  <w:pPr>
                    <w:pStyle w:val="32"/>
                    <w:rPr>
                      <w:kern w:val="0"/>
                      <w:szCs w:val="21"/>
                    </w:rPr>
                  </w:pPr>
                  <w:r>
                    <w:rPr>
                      <w:kern w:val="0"/>
                      <w:szCs w:val="21"/>
                    </w:rPr>
                    <w:t>物名称</w:t>
                  </w:r>
                </w:p>
              </w:tc>
              <w:tc>
                <w:tcPr>
                  <w:tcW w:w="754" w:type="pct"/>
                  <w:noWrap w:val="0"/>
                  <w:vAlign w:val="center"/>
                </w:tcPr>
                <w:p w14:paraId="0E230372">
                  <w:pPr>
                    <w:pStyle w:val="32"/>
                    <w:rPr>
                      <w:kern w:val="0"/>
                      <w:szCs w:val="21"/>
                    </w:rPr>
                  </w:pPr>
                  <w:r>
                    <w:rPr>
                      <w:kern w:val="0"/>
                      <w:szCs w:val="21"/>
                    </w:rPr>
                    <w:t>危险废物</w:t>
                  </w:r>
                </w:p>
                <w:p w14:paraId="52678819">
                  <w:pPr>
                    <w:pStyle w:val="32"/>
                    <w:rPr>
                      <w:kern w:val="0"/>
                      <w:szCs w:val="21"/>
                    </w:rPr>
                  </w:pPr>
                  <w:r>
                    <w:rPr>
                      <w:kern w:val="0"/>
                      <w:szCs w:val="21"/>
                    </w:rPr>
                    <w:t>类别</w:t>
                  </w:r>
                </w:p>
              </w:tc>
              <w:tc>
                <w:tcPr>
                  <w:tcW w:w="802" w:type="pct"/>
                  <w:noWrap w:val="0"/>
                  <w:vAlign w:val="center"/>
                </w:tcPr>
                <w:p w14:paraId="11019A44">
                  <w:pPr>
                    <w:pStyle w:val="32"/>
                    <w:rPr>
                      <w:kern w:val="0"/>
                      <w:szCs w:val="21"/>
                    </w:rPr>
                  </w:pPr>
                  <w:r>
                    <w:rPr>
                      <w:kern w:val="0"/>
                      <w:szCs w:val="21"/>
                    </w:rPr>
                    <w:t>危险废物代码</w:t>
                  </w:r>
                </w:p>
              </w:tc>
              <w:tc>
                <w:tcPr>
                  <w:tcW w:w="583" w:type="pct"/>
                  <w:noWrap w:val="0"/>
                  <w:vAlign w:val="center"/>
                </w:tcPr>
                <w:p w14:paraId="3896B892">
                  <w:pPr>
                    <w:pStyle w:val="32"/>
                    <w:rPr>
                      <w:kern w:val="0"/>
                      <w:szCs w:val="21"/>
                    </w:rPr>
                  </w:pPr>
                  <w:r>
                    <w:rPr>
                      <w:kern w:val="0"/>
                      <w:szCs w:val="21"/>
                    </w:rPr>
                    <w:t>位置</w:t>
                  </w:r>
                </w:p>
              </w:tc>
              <w:tc>
                <w:tcPr>
                  <w:tcW w:w="498" w:type="pct"/>
                  <w:noWrap w:val="0"/>
                  <w:vAlign w:val="center"/>
                </w:tcPr>
                <w:p w14:paraId="5A54E2E6">
                  <w:pPr>
                    <w:pStyle w:val="32"/>
                    <w:rPr>
                      <w:kern w:val="0"/>
                      <w:szCs w:val="21"/>
                    </w:rPr>
                  </w:pPr>
                  <w:r>
                    <w:rPr>
                      <w:kern w:val="0"/>
                      <w:szCs w:val="21"/>
                    </w:rPr>
                    <w:t>占地面积</w:t>
                  </w:r>
                </w:p>
              </w:tc>
              <w:tc>
                <w:tcPr>
                  <w:tcW w:w="574" w:type="pct"/>
                  <w:noWrap w:val="0"/>
                  <w:vAlign w:val="center"/>
                </w:tcPr>
                <w:p w14:paraId="18F34BA4">
                  <w:pPr>
                    <w:pStyle w:val="32"/>
                    <w:rPr>
                      <w:kern w:val="0"/>
                      <w:szCs w:val="21"/>
                    </w:rPr>
                  </w:pPr>
                  <w:r>
                    <w:rPr>
                      <w:kern w:val="0"/>
                      <w:szCs w:val="21"/>
                    </w:rPr>
                    <w:t>贮存方式</w:t>
                  </w:r>
                </w:p>
              </w:tc>
              <w:tc>
                <w:tcPr>
                  <w:tcW w:w="468" w:type="pct"/>
                  <w:noWrap w:val="0"/>
                  <w:vAlign w:val="center"/>
                </w:tcPr>
                <w:p w14:paraId="131F978F">
                  <w:pPr>
                    <w:pStyle w:val="32"/>
                    <w:rPr>
                      <w:kern w:val="0"/>
                      <w:szCs w:val="21"/>
                    </w:rPr>
                  </w:pPr>
                  <w:r>
                    <w:rPr>
                      <w:kern w:val="0"/>
                      <w:szCs w:val="21"/>
                    </w:rPr>
                    <w:t>贮存</w:t>
                  </w:r>
                </w:p>
                <w:p w14:paraId="345B4CF6">
                  <w:pPr>
                    <w:pStyle w:val="32"/>
                    <w:rPr>
                      <w:kern w:val="0"/>
                      <w:szCs w:val="21"/>
                    </w:rPr>
                  </w:pPr>
                  <w:r>
                    <w:rPr>
                      <w:kern w:val="0"/>
                      <w:szCs w:val="21"/>
                    </w:rPr>
                    <w:t>能力（t）</w:t>
                  </w:r>
                </w:p>
              </w:tc>
              <w:tc>
                <w:tcPr>
                  <w:tcW w:w="480" w:type="pct"/>
                  <w:noWrap w:val="0"/>
                  <w:vAlign w:val="center"/>
                </w:tcPr>
                <w:p w14:paraId="28EB7614">
                  <w:pPr>
                    <w:pStyle w:val="32"/>
                    <w:rPr>
                      <w:kern w:val="0"/>
                      <w:szCs w:val="21"/>
                    </w:rPr>
                  </w:pPr>
                  <w:r>
                    <w:rPr>
                      <w:kern w:val="0"/>
                      <w:szCs w:val="21"/>
                    </w:rPr>
                    <w:t>贮存</w:t>
                  </w:r>
                </w:p>
                <w:p w14:paraId="5C7038B0">
                  <w:pPr>
                    <w:pStyle w:val="32"/>
                    <w:rPr>
                      <w:kern w:val="0"/>
                      <w:szCs w:val="21"/>
                    </w:rPr>
                  </w:pPr>
                  <w:r>
                    <w:rPr>
                      <w:kern w:val="0"/>
                      <w:szCs w:val="21"/>
                    </w:rPr>
                    <w:t>周期</w:t>
                  </w:r>
                </w:p>
              </w:tc>
            </w:tr>
            <w:tr w14:paraId="1D0BF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75" w:type="pct"/>
                  <w:noWrap w:val="0"/>
                  <w:vAlign w:val="center"/>
                </w:tcPr>
                <w:p w14:paraId="0273D53F">
                  <w:pPr>
                    <w:pStyle w:val="61"/>
                    <w:ind w:left="420" w:hanging="420"/>
                    <w:rPr>
                      <w:rFonts w:hint="eastAsia"/>
                      <w:sz w:val="21"/>
                      <w:szCs w:val="21"/>
                    </w:rPr>
                  </w:pPr>
                  <w:r>
                    <w:rPr>
                      <w:rFonts w:hint="eastAsia"/>
                      <w:sz w:val="21"/>
                      <w:szCs w:val="21"/>
                    </w:rPr>
                    <w:t>1</w:t>
                  </w:r>
                </w:p>
              </w:tc>
              <w:tc>
                <w:tcPr>
                  <w:tcW w:w="562" w:type="pct"/>
                  <w:noWrap w:val="0"/>
                  <w:vAlign w:val="center"/>
                </w:tcPr>
                <w:p w14:paraId="52758648">
                  <w:pPr>
                    <w:kinsoku w:val="0"/>
                    <w:overflowPunct w:val="0"/>
                    <w:autoSpaceDE w:val="0"/>
                    <w:autoSpaceDN w:val="0"/>
                    <w:adjustRightInd w:val="0"/>
                    <w:jc w:val="center"/>
                    <w:rPr>
                      <w:kern w:val="0"/>
                      <w:szCs w:val="21"/>
                    </w:rPr>
                  </w:pPr>
                  <w:r>
                    <w:rPr>
                      <w:kern w:val="0"/>
                      <w:szCs w:val="21"/>
                    </w:rPr>
                    <w:t>废活性炭</w:t>
                  </w:r>
                </w:p>
              </w:tc>
              <w:tc>
                <w:tcPr>
                  <w:tcW w:w="754" w:type="pct"/>
                  <w:noWrap w:val="0"/>
                  <w:vAlign w:val="center"/>
                </w:tcPr>
                <w:p w14:paraId="42FF42FA">
                  <w:pPr>
                    <w:kinsoku w:val="0"/>
                    <w:overflowPunct w:val="0"/>
                    <w:autoSpaceDE w:val="0"/>
                    <w:autoSpaceDN w:val="0"/>
                    <w:adjustRightInd w:val="0"/>
                    <w:jc w:val="center"/>
                    <w:rPr>
                      <w:kern w:val="0"/>
                      <w:szCs w:val="21"/>
                    </w:rPr>
                  </w:pPr>
                  <w:r>
                    <w:rPr>
                      <w:rFonts w:hint="eastAsia"/>
                      <w:kern w:val="0"/>
                      <w:szCs w:val="21"/>
                    </w:rPr>
                    <w:t>HW49</w:t>
                  </w:r>
                </w:p>
              </w:tc>
              <w:tc>
                <w:tcPr>
                  <w:tcW w:w="802" w:type="pct"/>
                  <w:noWrap w:val="0"/>
                  <w:vAlign w:val="center"/>
                </w:tcPr>
                <w:p w14:paraId="5D7CF421">
                  <w:pPr>
                    <w:pStyle w:val="32"/>
                    <w:rPr>
                      <w:rFonts w:hint="eastAsia"/>
                      <w:kern w:val="0"/>
                      <w:szCs w:val="21"/>
                    </w:rPr>
                  </w:pPr>
                  <w:r>
                    <w:rPr>
                      <w:kern w:val="0"/>
                      <w:szCs w:val="21"/>
                    </w:rPr>
                    <w:t>900-039-49</w:t>
                  </w:r>
                </w:p>
              </w:tc>
              <w:tc>
                <w:tcPr>
                  <w:tcW w:w="583" w:type="pct"/>
                  <w:noWrap w:val="0"/>
                  <w:vAlign w:val="center"/>
                </w:tcPr>
                <w:p w14:paraId="032B6B1F">
                  <w:pPr>
                    <w:pStyle w:val="32"/>
                    <w:rPr>
                      <w:rFonts w:hint="default" w:eastAsia="宋体"/>
                      <w:kern w:val="0"/>
                      <w:szCs w:val="21"/>
                      <w:lang w:val="en-US" w:eastAsia="zh-CN"/>
                    </w:rPr>
                  </w:pPr>
                  <w:r>
                    <w:rPr>
                      <w:rFonts w:hint="eastAsia"/>
                      <w:kern w:val="0"/>
                      <w:szCs w:val="21"/>
                      <w:lang w:val="en-US" w:eastAsia="zh-CN"/>
                    </w:rPr>
                    <w:t>车间内西南侧</w:t>
                  </w:r>
                </w:p>
              </w:tc>
              <w:tc>
                <w:tcPr>
                  <w:tcW w:w="498" w:type="pct"/>
                  <w:noWrap w:val="0"/>
                  <w:vAlign w:val="center"/>
                </w:tcPr>
                <w:p w14:paraId="7916044D">
                  <w:pPr>
                    <w:pStyle w:val="61"/>
                    <w:ind w:left="420" w:hanging="420"/>
                    <w:rPr>
                      <w:rFonts w:hint="eastAsia"/>
                      <w:sz w:val="21"/>
                      <w:szCs w:val="21"/>
                    </w:rPr>
                  </w:pPr>
                  <w:r>
                    <w:rPr>
                      <w:rFonts w:hint="eastAsia"/>
                      <w:sz w:val="21"/>
                      <w:szCs w:val="21"/>
                    </w:rPr>
                    <w:t>5</w:t>
                  </w:r>
                  <w:r>
                    <w:rPr>
                      <w:sz w:val="21"/>
                      <w:szCs w:val="21"/>
                    </w:rPr>
                    <w:t>m</w:t>
                  </w:r>
                  <w:r>
                    <w:rPr>
                      <w:sz w:val="21"/>
                      <w:szCs w:val="21"/>
                      <w:vertAlign w:val="superscript"/>
                    </w:rPr>
                    <w:t>2</w:t>
                  </w:r>
                </w:p>
              </w:tc>
              <w:tc>
                <w:tcPr>
                  <w:tcW w:w="574" w:type="pct"/>
                  <w:noWrap w:val="0"/>
                  <w:vAlign w:val="center"/>
                </w:tcPr>
                <w:p w14:paraId="27DF2BE4">
                  <w:pPr>
                    <w:pStyle w:val="61"/>
                    <w:ind w:left="420" w:hanging="420"/>
                    <w:rPr>
                      <w:sz w:val="21"/>
                      <w:szCs w:val="21"/>
                    </w:rPr>
                  </w:pPr>
                  <w:r>
                    <w:rPr>
                      <w:rFonts w:hint="eastAsia"/>
                      <w:sz w:val="21"/>
                      <w:szCs w:val="21"/>
                    </w:rPr>
                    <w:t>袋</w:t>
                  </w:r>
                  <w:r>
                    <w:rPr>
                      <w:sz w:val="21"/>
                      <w:szCs w:val="21"/>
                    </w:rPr>
                    <w:t>装</w:t>
                  </w:r>
                </w:p>
              </w:tc>
              <w:tc>
                <w:tcPr>
                  <w:tcW w:w="468" w:type="pct"/>
                  <w:noWrap w:val="0"/>
                  <w:vAlign w:val="center"/>
                </w:tcPr>
                <w:p w14:paraId="712948A2">
                  <w:pPr>
                    <w:pStyle w:val="61"/>
                    <w:ind w:left="420" w:hanging="420"/>
                    <w:rPr>
                      <w:sz w:val="21"/>
                      <w:szCs w:val="21"/>
                    </w:rPr>
                  </w:pPr>
                  <w:r>
                    <w:rPr>
                      <w:rFonts w:hint="eastAsia"/>
                      <w:sz w:val="21"/>
                      <w:szCs w:val="21"/>
                      <w:lang w:val="en-US" w:eastAsia="zh-CN"/>
                    </w:rPr>
                    <w:t>4</w:t>
                  </w:r>
                  <w:r>
                    <w:rPr>
                      <w:rFonts w:hint="eastAsia"/>
                      <w:sz w:val="21"/>
                      <w:szCs w:val="21"/>
                    </w:rPr>
                    <w:t>t</w:t>
                  </w:r>
                </w:p>
              </w:tc>
              <w:tc>
                <w:tcPr>
                  <w:tcW w:w="480" w:type="pct"/>
                  <w:noWrap w:val="0"/>
                  <w:vAlign w:val="center"/>
                </w:tcPr>
                <w:p w14:paraId="5226028C">
                  <w:pPr>
                    <w:pStyle w:val="61"/>
                    <w:ind w:left="420" w:hanging="420"/>
                    <w:rPr>
                      <w:sz w:val="21"/>
                      <w:szCs w:val="21"/>
                    </w:rPr>
                  </w:pPr>
                  <w:r>
                    <w:rPr>
                      <w:rFonts w:hint="eastAsia"/>
                      <w:sz w:val="21"/>
                      <w:szCs w:val="21"/>
                    </w:rPr>
                    <w:t>1</w:t>
                  </w:r>
                  <w:r>
                    <w:rPr>
                      <w:sz w:val="21"/>
                      <w:szCs w:val="21"/>
                    </w:rPr>
                    <w:t>年</w:t>
                  </w:r>
                </w:p>
              </w:tc>
            </w:tr>
            <w:tr w14:paraId="56B64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75" w:type="pct"/>
                  <w:noWrap w:val="0"/>
                  <w:vAlign w:val="center"/>
                </w:tcPr>
                <w:p w14:paraId="54696176">
                  <w:pPr>
                    <w:pStyle w:val="61"/>
                    <w:ind w:left="420" w:hanging="420"/>
                    <w:rPr>
                      <w:rFonts w:hint="eastAsia" w:eastAsia="宋体"/>
                      <w:sz w:val="21"/>
                      <w:szCs w:val="21"/>
                      <w:lang w:val="en-US" w:eastAsia="zh-CN"/>
                    </w:rPr>
                  </w:pPr>
                  <w:r>
                    <w:rPr>
                      <w:rFonts w:hint="eastAsia"/>
                      <w:sz w:val="21"/>
                      <w:szCs w:val="21"/>
                      <w:lang w:val="en-US" w:eastAsia="zh-CN"/>
                    </w:rPr>
                    <w:t>2</w:t>
                  </w:r>
                </w:p>
              </w:tc>
              <w:tc>
                <w:tcPr>
                  <w:tcW w:w="562" w:type="pct"/>
                  <w:noWrap w:val="0"/>
                  <w:vAlign w:val="center"/>
                </w:tcPr>
                <w:p w14:paraId="743EF855">
                  <w:pPr>
                    <w:kinsoku w:val="0"/>
                    <w:overflowPunct w:val="0"/>
                    <w:autoSpaceDE w:val="0"/>
                    <w:autoSpaceDN w:val="0"/>
                    <w:adjustRightInd w:val="0"/>
                    <w:jc w:val="center"/>
                    <w:rPr>
                      <w:rFonts w:hint="default" w:eastAsia="宋体"/>
                      <w:kern w:val="0"/>
                      <w:szCs w:val="21"/>
                      <w:lang w:val="en-US" w:eastAsia="zh-CN"/>
                    </w:rPr>
                  </w:pPr>
                  <w:r>
                    <w:rPr>
                      <w:rFonts w:hint="eastAsia"/>
                      <w:kern w:val="0"/>
                      <w:szCs w:val="21"/>
                      <w:lang w:val="en-US" w:eastAsia="zh-CN"/>
                    </w:rPr>
                    <w:t>废机油</w:t>
                  </w:r>
                </w:p>
              </w:tc>
              <w:tc>
                <w:tcPr>
                  <w:tcW w:w="754" w:type="pct"/>
                  <w:noWrap w:val="0"/>
                  <w:vAlign w:val="center"/>
                </w:tcPr>
                <w:p w14:paraId="78293780">
                  <w:pPr>
                    <w:kinsoku w:val="0"/>
                    <w:overflowPunct w:val="0"/>
                    <w:autoSpaceDE w:val="0"/>
                    <w:autoSpaceDN w:val="0"/>
                    <w:adjustRightInd w:val="0"/>
                    <w:jc w:val="center"/>
                    <w:rPr>
                      <w:rFonts w:hint="default" w:eastAsia="宋体"/>
                      <w:kern w:val="0"/>
                      <w:szCs w:val="21"/>
                      <w:lang w:val="en-US" w:eastAsia="zh-CN"/>
                    </w:rPr>
                  </w:pPr>
                  <w:r>
                    <w:rPr>
                      <w:rFonts w:hint="eastAsia"/>
                      <w:kern w:val="0"/>
                      <w:szCs w:val="21"/>
                      <w:lang w:val="en-US" w:eastAsia="zh-CN"/>
                    </w:rPr>
                    <w:t>HW08</w:t>
                  </w:r>
                </w:p>
              </w:tc>
              <w:tc>
                <w:tcPr>
                  <w:tcW w:w="802" w:type="pct"/>
                  <w:noWrap w:val="0"/>
                  <w:vAlign w:val="center"/>
                </w:tcPr>
                <w:p w14:paraId="66A22B80">
                  <w:pPr>
                    <w:pStyle w:val="32"/>
                    <w:rPr>
                      <w:rFonts w:hint="default" w:eastAsia="宋体"/>
                      <w:kern w:val="0"/>
                      <w:szCs w:val="21"/>
                      <w:lang w:val="en-US" w:eastAsia="zh-CN"/>
                    </w:rPr>
                  </w:pPr>
                  <w:r>
                    <w:rPr>
                      <w:rFonts w:hint="eastAsia"/>
                      <w:kern w:val="0"/>
                      <w:szCs w:val="21"/>
                      <w:lang w:val="en-US" w:eastAsia="zh-CN"/>
                    </w:rPr>
                    <w:t>900-217-08</w:t>
                  </w:r>
                </w:p>
              </w:tc>
              <w:tc>
                <w:tcPr>
                  <w:tcW w:w="583" w:type="pct"/>
                  <w:noWrap w:val="0"/>
                  <w:vAlign w:val="center"/>
                </w:tcPr>
                <w:p w14:paraId="4A83C1C5">
                  <w:pPr>
                    <w:pStyle w:val="32"/>
                    <w:rPr>
                      <w:rFonts w:hint="eastAsia"/>
                      <w:kern w:val="0"/>
                      <w:szCs w:val="21"/>
                      <w:lang w:val="en-US" w:eastAsia="zh-CN"/>
                    </w:rPr>
                  </w:pPr>
                  <w:r>
                    <w:rPr>
                      <w:rFonts w:hint="eastAsia"/>
                      <w:kern w:val="0"/>
                      <w:szCs w:val="21"/>
                      <w:lang w:val="en-US" w:eastAsia="zh-CN"/>
                    </w:rPr>
                    <w:t>车间内西南侧</w:t>
                  </w:r>
                </w:p>
              </w:tc>
              <w:tc>
                <w:tcPr>
                  <w:tcW w:w="498" w:type="pct"/>
                  <w:noWrap w:val="0"/>
                  <w:vAlign w:val="center"/>
                </w:tcPr>
                <w:p w14:paraId="5555A30E">
                  <w:pPr>
                    <w:pStyle w:val="61"/>
                    <w:ind w:left="420" w:hanging="420"/>
                    <w:rPr>
                      <w:rFonts w:hint="eastAsia" w:eastAsia="宋体"/>
                      <w:sz w:val="21"/>
                      <w:szCs w:val="21"/>
                      <w:lang w:val="en-US" w:eastAsia="zh-CN"/>
                    </w:rPr>
                  </w:pPr>
                  <w:r>
                    <w:rPr>
                      <w:rFonts w:hint="eastAsia"/>
                      <w:sz w:val="21"/>
                      <w:szCs w:val="21"/>
                      <w:lang w:val="en-US" w:eastAsia="zh-CN"/>
                    </w:rPr>
                    <w:t>5</w:t>
                  </w:r>
                  <w:r>
                    <w:rPr>
                      <w:sz w:val="21"/>
                      <w:szCs w:val="21"/>
                    </w:rPr>
                    <w:t>m</w:t>
                  </w:r>
                  <w:r>
                    <w:rPr>
                      <w:sz w:val="21"/>
                      <w:szCs w:val="21"/>
                      <w:vertAlign w:val="superscript"/>
                    </w:rPr>
                    <w:t>2</w:t>
                  </w:r>
                </w:p>
              </w:tc>
              <w:tc>
                <w:tcPr>
                  <w:tcW w:w="574" w:type="pct"/>
                  <w:noWrap w:val="0"/>
                  <w:vAlign w:val="center"/>
                </w:tcPr>
                <w:p w14:paraId="0790DD2E">
                  <w:pPr>
                    <w:pStyle w:val="61"/>
                    <w:ind w:left="420" w:hanging="420"/>
                    <w:rPr>
                      <w:rFonts w:hint="default" w:eastAsia="宋体"/>
                      <w:sz w:val="21"/>
                      <w:szCs w:val="21"/>
                      <w:lang w:val="en-US" w:eastAsia="zh-CN"/>
                    </w:rPr>
                  </w:pPr>
                  <w:r>
                    <w:rPr>
                      <w:rFonts w:hint="eastAsia"/>
                      <w:sz w:val="21"/>
                      <w:szCs w:val="21"/>
                      <w:lang w:val="en-US" w:eastAsia="zh-CN"/>
                    </w:rPr>
                    <w:t>桶装</w:t>
                  </w:r>
                </w:p>
              </w:tc>
              <w:tc>
                <w:tcPr>
                  <w:tcW w:w="468" w:type="pct"/>
                  <w:noWrap w:val="0"/>
                  <w:vAlign w:val="center"/>
                </w:tcPr>
                <w:p w14:paraId="2808E85A">
                  <w:pPr>
                    <w:pStyle w:val="61"/>
                    <w:ind w:left="420" w:hanging="420"/>
                    <w:rPr>
                      <w:rFonts w:hint="default"/>
                      <w:sz w:val="21"/>
                      <w:szCs w:val="21"/>
                      <w:lang w:val="en-US" w:eastAsia="zh-CN"/>
                    </w:rPr>
                  </w:pPr>
                  <w:r>
                    <w:rPr>
                      <w:rFonts w:hint="eastAsia"/>
                      <w:sz w:val="21"/>
                      <w:szCs w:val="21"/>
                      <w:lang w:val="en-US" w:eastAsia="zh-CN"/>
                    </w:rPr>
                    <w:t>0.25t</w:t>
                  </w:r>
                </w:p>
              </w:tc>
              <w:tc>
                <w:tcPr>
                  <w:tcW w:w="480" w:type="pct"/>
                  <w:noWrap w:val="0"/>
                  <w:vAlign w:val="center"/>
                </w:tcPr>
                <w:p w14:paraId="00A9FA16">
                  <w:pPr>
                    <w:pStyle w:val="61"/>
                    <w:ind w:left="420" w:hanging="420"/>
                    <w:rPr>
                      <w:rFonts w:hint="default" w:eastAsia="宋体"/>
                      <w:sz w:val="21"/>
                      <w:szCs w:val="21"/>
                      <w:lang w:val="en-US" w:eastAsia="zh-CN"/>
                    </w:rPr>
                  </w:pPr>
                  <w:r>
                    <w:rPr>
                      <w:rFonts w:hint="eastAsia"/>
                      <w:sz w:val="21"/>
                      <w:szCs w:val="21"/>
                      <w:lang w:val="en-US" w:eastAsia="zh-CN"/>
                    </w:rPr>
                    <w:t>1年</w:t>
                  </w:r>
                </w:p>
              </w:tc>
            </w:tr>
          </w:tbl>
          <w:p w14:paraId="5C1E7F5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zh-CN" w:eastAsia="zh-CN"/>
              </w:rPr>
            </w:pPr>
            <w:bookmarkStart w:id="122" w:name="_Toc27622"/>
            <w:r>
              <w:rPr>
                <w:rFonts w:hint="eastAsia"/>
                <w:b/>
                <w:color w:val="262626"/>
                <w:kern w:val="0"/>
                <w:sz w:val="24"/>
                <w:lang w:val="zh-CN" w:eastAsia="zh-CN"/>
              </w:rPr>
              <w:t>4.4.2固废管理要求</w:t>
            </w:r>
            <w:bookmarkEnd w:id="122"/>
          </w:p>
          <w:p w14:paraId="5521F4DC">
            <w:pPr>
              <w:spacing w:line="360" w:lineRule="auto"/>
              <w:ind w:firstLine="480" w:firstLineChars="200"/>
              <w:rPr>
                <w:color w:val="262626"/>
                <w:sz w:val="24"/>
              </w:rPr>
            </w:pPr>
            <w:r>
              <w:rPr>
                <w:rFonts w:hint="eastAsia"/>
                <w:color w:val="262626"/>
                <w:sz w:val="24"/>
              </w:rPr>
              <w:t>本项目在生产过程中产生的</w:t>
            </w:r>
            <w:r>
              <w:rPr>
                <w:rFonts w:hint="eastAsia"/>
                <w:color w:val="262626"/>
                <w:sz w:val="24"/>
                <w:lang w:val="en-US" w:eastAsia="zh-CN"/>
              </w:rPr>
              <w:t>塑料</w:t>
            </w:r>
            <w:r>
              <w:rPr>
                <w:rFonts w:hint="eastAsia"/>
                <w:color w:val="262626"/>
                <w:sz w:val="24"/>
              </w:rPr>
              <w:t>边角料</w:t>
            </w:r>
            <w:r>
              <w:rPr>
                <w:rFonts w:hint="eastAsia"/>
                <w:color w:val="262626"/>
                <w:sz w:val="24"/>
                <w:lang w:val="en-US" w:eastAsia="zh-CN"/>
              </w:rPr>
              <w:t>及次品</w:t>
            </w:r>
            <w:r>
              <w:rPr>
                <w:rFonts w:hint="eastAsia"/>
                <w:color w:val="262626"/>
                <w:sz w:val="24"/>
              </w:rPr>
              <w:t>、废包装材料</w:t>
            </w:r>
            <w:r>
              <w:rPr>
                <w:color w:val="262626"/>
                <w:sz w:val="24"/>
              </w:rPr>
              <w:t>等一般工业固废，经</w:t>
            </w:r>
            <w:r>
              <w:rPr>
                <w:rFonts w:hint="eastAsia"/>
                <w:color w:val="262626"/>
                <w:sz w:val="24"/>
              </w:rPr>
              <w:t>分类</w:t>
            </w:r>
            <w:r>
              <w:rPr>
                <w:color w:val="262626"/>
                <w:sz w:val="24"/>
              </w:rPr>
              <w:t>收集后出售给回收企业回收利用</w:t>
            </w:r>
            <w:r>
              <w:rPr>
                <w:rFonts w:hint="eastAsia"/>
                <w:color w:val="262626"/>
                <w:sz w:val="24"/>
              </w:rPr>
              <w:t>或自行综合利用</w:t>
            </w:r>
            <w:r>
              <w:rPr>
                <w:color w:val="262626"/>
                <w:sz w:val="24"/>
              </w:rPr>
              <w:t>，本评价要求项目产生的一般工业固废应按《一般工业固体废物贮存和填埋污染控制标准》</w:t>
            </w:r>
            <w:r>
              <w:rPr>
                <w:rFonts w:hint="eastAsia"/>
                <w:color w:val="262626"/>
                <w:sz w:val="24"/>
                <w:lang w:eastAsia="zh-CN"/>
              </w:rPr>
              <w:t>（</w:t>
            </w:r>
            <w:r>
              <w:rPr>
                <w:color w:val="262626"/>
                <w:sz w:val="24"/>
              </w:rPr>
              <w:t>GB 18599-2020</w:t>
            </w:r>
            <w:r>
              <w:rPr>
                <w:rFonts w:hint="eastAsia"/>
                <w:color w:val="262626"/>
                <w:sz w:val="24"/>
                <w:lang w:eastAsia="zh-CN"/>
              </w:rPr>
              <w:t>）</w:t>
            </w:r>
            <w:r>
              <w:rPr>
                <w:color w:val="262626"/>
                <w:sz w:val="24"/>
              </w:rPr>
              <w:t>要求进行规范化的</w:t>
            </w:r>
            <w:r>
              <w:rPr>
                <w:rFonts w:hint="eastAsia"/>
                <w:color w:val="262626"/>
                <w:sz w:val="24"/>
              </w:rPr>
              <w:t>暂存管理</w:t>
            </w:r>
            <w:r>
              <w:rPr>
                <w:color w:val="262626"/>
                <w:sz w:val="24"/>
              </w:rPr>
              <w:t>，并做好</w:t>
            </w:r>
            <w:r>
              <w:rPr>
                <w:rFonts w:hint="eastAsia"/>
                <w:color w:val="262626"/>
                <w:sz w:val="24"/>
              </w:rPr>
              <w:t>防雨、防漏、防渗</w:t>
            </w:r>
            <w:r>
              <w:rPr>
                <w:color w:val="262626"/>
                <w:sz w:val="24"/>
              </w:rPr>
              <w:t>等措施。</w:t>
            </w:r>
          </w:p>
          <w:p w14:paraId="0A448CB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123" w:name="_Toc19584"/>
            <w:r>
              <w:rPr>
                <w:rFonts w:hint="eastAsia"/>
                <w:b/>
                <w:color w:val="262626"/>
                <w:kern w:val="0"/>
                <w:sz w:val="24"/>
                <w:lang w:val="zh-CN" w:eastAsia="zh-CN"/>
              </w:rPr>
              <w:t>4.4.3危险废物管理要求</w:t>
            </w:r>
            <w:bookmarkEnd w:id="123"/>
          </w:p>
          <w:p w14:paraId="6DE10EC9">
            <w:pPr>
              <w:pStyle w:val="34"/>
              <w:spacing w:line="360" w:lineRule="auto"/>
              <w:ind w:firstLine="480"/>
              <w:rPr>
                <w:rFonts w:ascii="Times New Roman" w:hAnsi="Times New Roman" w:eastAsia="宋体" w:cs="Times New Roman"/>
                <w:color w:val="262626"/>
                <w:kern w:val="2"/>
                <w:sz w:val="24"/>
                <w:szCs w:val="24"/>
                <w:lang w:val="en-US" w:eastAsia="zh-CN" w:bidi="ar-SA"/>
              </w:rPr>
            </w:pPr>
            <w:r>
              <w:rPr>
                <w:rFonts w:hint="eastAsia" w:ascii="Times New Roman" w:hAnsi="Times New Roman" w:eastAsia="宋体" w:cs="Times New Roman"/>
                <w:color w:val="262626"/>
                <w:kern w:val="2"/>
                <w:sz w:val="24"/>
                <w:szCs w:val="24"/>
                <w:lang w:val="en-US" w:eastAsia="zh-CN" w:bidi="ar-SA"/>
              </w:rPr>
              <w:t>本评价要求企业在建设过程中对危废贮存库须进行防渗防漏处理，危废贮存库的建设与管理符合《危险废物贮存污染控制标准》（GB18597-2023）要求，日常按规范要求进行管理，避免发生危废泄漏事故。</w:t>
            </w:r>
          </w:p>
          <w:p w14:paraId="3B40509C">
            <w:pPr>
              <w:spacing w:line="360" w:lineRule="auto"/>
              <w:ind w:firstLine="480" w:firstLineChars="200"/>
              <w:rPr>
                <w:rFonts w:hint="eastAsia"/>
                <w:color w:val="262626"/>
                <w:sz w:val="24"/>
              </w:rPr>
            </w:pPr>
            <w:r>
              <w:rPr>
                <w:rFonts w:hint="eastAsia"/>
                <w:color w:val="262626"/>
                <w:sz w:val="24"/>
                <w:lang w:eastAsia="zh-CN"/>
              </w:rPr>
              <w:t>（</w:t>
            </w:r>
            <w:r>
              <w:rPr>
                <w:rFonts w:hint="eastAsia"/>
                <w:color w:val="262626"/>
                <w:sz w:val="24"/>
                <w:lang w:val="en-US" w:eastAsia="zh-CN"/>
              </w:rPr>
              <w:t>1）</w:t>
            </w:r>
            <w:r>
              <w:rPr>
                <w:rFonts w:hint="eastAsia"/>
                <w:color w:val="262626"/>
                <w:sz w:val="24"/>
              </w:rPr>
              <w:t>危险废物的收集包装</w:t>
            </w:r>
          </w:p>
          <w:p w14:paraId="611B6FCC">
            <w:pPr>
              <w:spacing w:line="360" w:lineRule="auto"/>
              <w:ind w:firstLine="480" w:firstLineChars="200"/>
              <w:rPr>
                <w:rFonts w:hint="eastAsia"/>
                <w:color w:val="262626"/>
                <w:sz w:val="24"/>
              </w:rPr>
            </w:pPr>
            <w:r>
              <w:rPr>
                <w:rFonts w:hint="eastAsia"/>
                <w:color w:val="262626"/>
                <w:sz w:val="24"/>
                <w:lang w:val="en-US" w:eastAsia="zh-CN"/>
              </w:rPr>
              <w:t>①</w:t>
            </w:r>
            <w:r>
              <w:rPr>
                <w:rFonts w:hint="eastAsia"/>
                <w:color w:val="262626"/>
                <w:sz w:val="24"/>
              </w:rPr>
              <w:t>有符合要求的包装容器、收集人员的个人防护设备；</w:t>
            </w:r>
          </w:p>
          <w:p w14:paraId="744E8A17">
            <w:pPr>
              <w:spacing w:line="360" w:lineRule="auto"/>
              <w:ind w:firstLine="480" w:firstLineChars="200"/>
              <w:rPr>
                <w:rFonts w:hint="eastAsia"/>
                <w:color w:val="262626"/>
                <w:sz w:val="24"/>
              </w:rPr>
            </w:pPr>
            <w:r>
              <w:rPr>
                <w:rFonts w:hint="eastAsia"/>
                <w:color w:val="262626"/>
                <w:sz w:val="24"/>
                <w:lang w:val="en-US" w:eastAsia="zh-CN"/>
              </w:rPr>
              <w:t>②</w:t>
            </w:r>
            <w:r>
              <w:rPr>
                <w:rFonts w:hint="eastAsia"/>
                <w:color w:val="262626"/>
                <w:sz w:val="24"/>
              </w:rPr>
              <w:t>危险废物的收集容器应在醒目位置贴有危险废物标签，在收集场所醒目的地方设置危险废物警告标识。</w:t>
            </w:r>
          </w:p>
          <w:p w14:paraId="19EABA98">
            <w:pPr>
              <w:spacing w:line="360" w:lineRule="auto"/>
              <w:ind w:firstLine="480" w:firstLineChars="200"/>
              <w:rPr>
                <w:rFonts w:hint="eastAsia"/>
                <w:color w:val="262626"/>
                <w:sz w:val="24"/>
              </w:rPr>
            </w:pPr>
            <w:r>
              <w:rPr>
                <w:rFonts w:hint="eastAsia"/>
                <w:color w:val="262626"/>
                <w:sz w:val="24"/>
                <w:lang w:val="en-US" w:eastAsia="zh-CN"/>
              </w:rPr>
              <w:t>③</w:t>
            </w:r>
            <w:r>
              <w:rPr>
                <w:rFonts w:hint="eastAsia"/>
                <w:color w:val="262626"/>
                <w:sz w:val="24"/>
              </w:rPr>
              <w:t xml:space="preserve">危险废物标签应标明以下信息：主要化学成分或危险废物名称、数量、物理形态、危险类别、安全措施以及危险废物产生单位名称、地址、联系人及电话。 </w:t>
            </w:r>
          </w:p>
          <w:p w14:paraId="66230DB1">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lang w:eastAsia="zh-CN"/>
              </w:rPr>
              <w:t>（</w:t>
            </w:r>
            <w:r>
              <w:rPr>
                <w:rFonts w:hint="eastAsia" w:ascii="Times New Roman" w:hAnsi="Times New Roman" w:eastAsia="宋体" w:cs="Times New Roman"/>
                <w:color w:val="262626"/>
                <w:sz w:val="24"/>
                <w:lang w:val="en-US" w:eastAsia="zh-CN"/>
              </w:rPr>
              <w:t>2）</w:t>
            </w:r>
            <w:r>
              <w:rPr>
                <w:rFonts w:hint="eastAsia" w:ascii="Times New Roman" w:hAnsi="Times New Roman" w:eastAsia="宋体" w:cs="Times New Roman"/>
                <w:color w:val="262626"/>
                <w:sz w:val="24"/>
              </w:rPr>
              <w:t>危险废物的暂存要求</w:t>
            </w:r>
          </w:p>
          <w:p w14:paraId="64731189">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a.一般规定：</w:t>
            </w:r>
          </w:p>
          <w:p w14:paraId="46255CAC">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①应根据危险废物的形态、物理化学性质、包装形式和污染物迁移途径，采取必要的防风、防晒、防雨、防漏、防渗、防腐以及其他环境污染防治措施，不应露天堆放危险废物；</w:t>
            </w:r>
          </w:p>
          <w:p w14:paraId="4EDBD6D4">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②应根据危险废物的类别、数量、形态、物理化学性质和污染防治等要求设置必要的贮存分区，避免不相容的危险废物接触、混合；</w:t>
            </w:r>
          </w:p>
          <w:p w14:paraId="4F329746">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③地面、墙面</w:t>
            </w:r>
            <w:r>
              <w:rPr>
                <w:rFonts w:hint="eastAsia" w:cs="Times New Roman"/>
                <w:color w:val="262626"/>
                <w:sz w:val="24"/>
                <w:lang w:eastAsia="zh-CN"/>
              </w:rPr>
              <w:t>裙角</w:t>
            </w:r>
            <w:r>
              <w:rPr>
                <w:rFonts w:hint="eastAsia" w:ascii="Times New Roman" w:hAnsi="Times New Roman" w:eastAsia="宋体" w:cs="Times New Roman"/>
                <w:color w:val="262626"/>
                <w:sz w:val="24"/>
              </w:rPr>
              <w:t>、堵截泄漏的围堰、接触危险废物的隔板和墙体等应采用坚固的材料建造，表面无裂缝；</w:t>
            </w:r>
          </w:p>
          <w:p w14:paraId="3F4275EE">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④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Times New Roman"/>
                <w:color w:val="262626"/>
                <w:sz w:val="24"/>
                <w:vertAlign w:val="superscript"/>
              </w:rPr>
              <w:t>-7</w:t>
            </w:r>
            <w:r>
              <w:rPr>
                <w:rFonts w:hint="eastAsia" w:ascii="Times New Roman" w:hAnsi="Times New Roman" w:eastAsia="宋体" w:cs="Times New Roman"/>
                <w:color w:val="262626"/>
                <w:sz w:val="24"/>
              </w:rPr>
              <w:t>cm/s），或至少2mm厚高密度聚乙烯膜等人工防渗材料（渗透系数不大于10</w:t>
            </w:r>
            <w:r>
              <w:rPr>
                <w:rFonts w:hint="eastAsia" w:ascii="Times New Roman" w:hAnsi="Times New Roman" w:eastAsia="宋体" w:cs="Times New Roman"/>
                <w:color w:val="262626"/>
                <w:sz w:val="24"/>
                <w:vertAlign w:val="superscript"/>
              </w:rPr>
              <w:t>-10</w:t>
            </w:r>
            <w:r>
              <w:rPr>
                <w:rFonts w:hint="eastAsia" w:ascii="Times New Roman" w:hAnsi="Times New Roman" w:eastAsia="宋体" w:cs="Times New Roman"/>
                <w:color w:val="262626"/>
                <w:sz w:val="24"/>
              </w:rPr>
              <w:t>cm/s），或其他防渗性能等效的材料；</w:t>
            </w:r>
          </w:p>
          <w:p w14:paraId="79B8B8D4">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⑤应采取技术和管理措施防止无关人员进入。</w:t>
            </w:r>
          </w:p>
          <w:p w14:paraId="1BD9CDA9">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lang w:val="en-US" w:eastAsia="zh-CN"/>
              </w:rPr>
              <w:t>（3）</w:t>
            </w:r>
            <w:r>
              <w:rPr>
                <w:rFonts w:hint="eastAsia" w:ascii="Times New Roman" w:hAnsi="Times New Roman" w:eastAsia="宋体" w:cs="Times New Roman"/>
                <w:color w:val="262626"/>
                <w:sz w:val="24"/>
              </w:rPr>
              <w:t>危险废物转移要求</w:t>
            </w:r>
          </w:p>
          <w:p w14:paraId="08B5A879">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根据《危险废物转移管理办法》，危险废物转移过程应满足以下要求：</w:t>
            </w:r>
          </w:p>
          <w:p w14:paraId="6499C999">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①危险废物转移联单应当根据危险废物管理计划中填报的危险废物转移等备案信息填写、运行。</w:t>
            </w:r>
          </w:p>
          <w:p w14:paraId="02D52A35">
            <w:pPr>
              <w:pStyle w:val="62"/>
              <w:ind w:firstLine="480"/>
              <w:jc w:val="left"/>
              <w:rPr>
                <w:rFonts w:hint="eastAsia"/>
                <w:color w:val="auto"/>
              </w:rPr>
            </w:pPr>
            <w:r>
              <w:rPr>
                <w:color w:val="auto"/>
                <w:szCs w:val="24"/>
              </w:rPr>
              <w:t>②</w:t>
            </w:r>
            <w:r>
              <w:rPr>
                <w:rFonts w:hint="eastAsia"/>
                <w:color w:val="auto"/>
              </w:rPr>
              <w:t>危险废物转移联单实行全国统一编号，编号由十四位阿拉伯数字组成。</w:t>
            </w:r>
          </w:p>
          <w:p w14:paraId="6CEB878A">
            <w:pPr>
              <w:pStyle w:val="62"/>
              <w:ind w:firstLine="480"/>
              <w:jc w:val="left"/>
              <w:rPr>
                <w:rFonts w:hint="eastAsia"/>
                <w:color w:val="auto"/>
              </w:rPr>
            </w:pPr>
            <w:r>
              <w:rPr>
                <w:color w:val="auto"/>
                <w:szCs w:val="24"/>
              </w:rPr>
              <w:t>③</w:t>
            </w:r>
            <w:r>
              <w:rPr>
                <w:rFonts w:hint="eastAsia"/>
                <w:color w:val="auto"/>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14:paraId="710F58F4">
            <w:pPr>
              <w:pStyle w:val="62"/>
              <w:ind w:firstLine="480"/>
              <w:jc w:val="left"/>
              <w:rPr>
                <w:rFonts w:hint="eastAsia"/>
                <w:color w:val="auto"/>
              </w:rPr>
            </w:pPr>
            <w:r>
              <w:rPr>
                <w:color w:val="auto"/>
                <w:szCs w:val="24"/>
              </w:rPr>
              <w:t>④</w:t>
            </w:r>
            <w:r>
              <w:rPr>
                <w:rFonts w:hint="eastAsia"/>
                <w:color w:val="auto"/>
              </w:rPr>
              <w:t>采用联运方式转移危险废物的，前一承运人和后一承运人应当明确运输交接的时间和地点。后一承运人应当核实危险废物转移联单确定的移出人信息、前一承运人信息及危险废物相关信息。</w:t>
            </w:r>
          </w:p>
          <w:p w14:paraId="48C82FD8">
            <w:pPr>
              <w:pStyle w:val="62"/>
              <w:ind w:firstLine="480"/>
              <w:jc w:val="left"/>
              <w:rPr>
                <w:rFonts w:hint="eastAsia"/>
                <w:color w:val="auto"/>
              </w:rPr>
            </w:pPr>
            <w:r>
              <w:rPr>
                <w:rFonts w:hint="eastAsia"/>
                <w:color w:val="auto"/>
                <w:lang w:val="en-US" w:eastAsia="zh-CN"/>
              </w:rPr>
              <w:t>⑤接收</w:t>
            </w:r>
            <w:r>
              <w:rPr>
                <w:rFonts w:hint="eastAsia"/>
                <w:color w:val="auto"/>
              </w:rPr>
              <w:t>人应当对运抵的危险废物进行核实验收，并在</w:t>
            </w:r>
            <w:r>
              <w:rPr>
                <w:rFonts w:hint="eastAsia"/>
                <w:color w:val="auto"/>
                <w:lang w:eastAsia="zh-CN"/>
              </w:rPr>
              <w:t>接收</w:t>
            </w:r>
            <w:r>
              <w:rPr>
                <w:rFonts w:hint="eastAsia"/>
                <w:color w:val="auto"/>
              </w:rPr>
              <w:t>之日起五个工作日内通过信息系统确认</w:t>
            </w:r>
            <w:r>
              <w:rPr>
                <w:rFonts w:hint="eastAsia"/>
                <w:color w:val="auto"/>
                <w:lang w:eastAsia="zh-CN"/>
              </w:rPr>
              <w:t>接收</w:t>
            </w:r>
            <w:r>
              <w:rPr>
                <w:rFonts w:hint="eastAsia"/>
                <w:color w:val="auto"/>
              </w:rPr>
              <w:t>。运抵的危险废物的名称、数量、特性、形态、包装方式与危险废物转移联单填写内容不符的，接受人应当及时告知移出人，视情况决定是否接受，同时向接受地生态环境主管部门报告。</w:t>
            </w:r>
          </w:p>
          <w:p w14:paraId="6A5AA413">
            <w:pPr>
              <w:pStyle w:val="62"/>
              <w:ind w:firstLine="480"/>
              <w:jc w:val="left"/>
              <w:rPr>
                <w:rFonts w:hint="eastAsia" w:ascii="Times New Roman" w:hAnsi="Times New Roman" w:eastAsia="宋体" w:cs="Times New Roman"/>
                <w:color w:val="auto"/>
              </w:rPr>
            </w:pPr>
            <w:r>
              <w:rPr>
                <w:rFonts w:hint="eastAsia"/>
                <w:color w:val="auto"/>
                <w:lang w:val="en-US" w:eastAsia="zh-CN"/>
              </w:rPr>
              <w:t>⑥</w:t>
            </w:r>
            <w:r>
              <w:rPr>
                <w:rFonts w:hint="eastAsia"/>
                <w:color w:val="auto"/>
              </w:rPr>
              <w:t>危险废物电子转移联单数据应当在信息系统中至少保存十年。因特殊原因无法运行危险废物电子转移联单的，可以先使用纸质转移联单，并于转移活动完成后</w:t>
            </w:r>
            <w:r>
              <w:rPr>
                <w:rFonts w:hint="eastAsia" w:ascii="Times New Roman" w:hAnsi="Times New Roman" w:eastAsia="宋体" w:cs="Times New Roman"/>
                <w:color w:val="auto"/>
              </w:rPr>
              <w:t>十个工作日内在信息系统中补录电子转移联单。</w:t>
            </w:r>
          </w:p>
          <w:p w14:paraId="7D216089">
            <w:pPr>
              <w:pStyle w:val="62"/>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rPr>
              <w:t>运输过程要求</w:t>
            </w:r>
          </w:p>
          <w:p w14:paraId="3D68225E">
            <w:pPr>
              <w:pStyle w:val="62"/>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危险废物运输和转移过程需注意：</w:t>
            </w:r>
          </w:p>
          <w:p w14:paraId="37CAFF02">
            <w:pPr>
              <w:pStyle w:val="62"/>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①危险废物运输单位必须具备相应的条件和能力；</w:t>
            </w:r>
          </w:p>
          <w:p w14:paraId="4CC957EE">
            <w:pPr>
              <w:pStyle w:val="62"/>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②需和负责运输的单位签订安全环保责任状，保证分工明确，责任到位；</w:t>
            </w:r>
          </w:p>
          <w:p w14:paraId="691AD1B0">
            <w:pPr>
              <w:pStyle w:val="62"/>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③危险废物的转移按国家关于危险废物管理办法运输，避免和减缓转移过程的环境风险。</w:t>
            </w:r>
          </w:p>
          <w:p w14:paraId="44EB5D10">
            <w:pPr>
              <w:pStyle w:val="62"/>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另外，危险废物处置或利用单位必须具备相应的能力和资质，不允许将危险废物出售给没有加工或使用能力的单位和个人，废物处理之前需要对其生产技术、设备、加工处理能力进行考察，保证不会产生二次污染，废物处理之后还要进行跟踪，以便及时得到反馈信息并处理遗留问题。</w:t>
            </w:r>
          </w:p>
          <w:p w14:paraId="65C15DAC">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24" w:name="_Toc21282"/>
            <w:r>
              <w:rPr>
                <w:rFonts w:hint="eastAsia" w:ascii="Times New Roman" w:hAnsi="Times New Roman" w:eastAsia="宋体" w:cs="Times New Roman"/>
                <w:color w:val="auto"/>
                <w:sz w:val="28"/>
                <w:szCs w:val="28"/>
                <w:u w:val="none"/>
                <w:lang w:val="en-US" w:eastAsia="zh-CN"/>
              </w:rPr>
              <w:t>4.5地下水、土壤环境影响和保护措施</w:t>
            </w:r>
            <w:bookmarkEnd w:id="124"/>
          </w:p>
          <w:p w14:paraId="4CFC4F21">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125" w:name="_Toc18265"/>
            <w:r>
              <w:rPr>
                <w:rFonts w:hint="eastAsia"/>
                <w:b/>
                <w:color w:val="262626"/>
                <w:kern w:val="0"/>
                <w:sz w:val="24"/>
                <w:lang w:val="zh-CN" w:eastAsia="zh-CN"/>
              </w:rPr>
              <w:t>4.5.1 地下水、土壤环境影响分析</w:t>
            </w:r>
            <w:bookmarkEnd w:id="125"/>
          </w:p>
          <w:p w14:paraId="44352099">
            <w:pPr>
              <w:pStyle w:val="56"/>
              <w:spacing w:line="360" w:lineRule="auto"/>
              <w:ind w:firstLine="480"/>
              <w:rPr>
                <w:rFonts w:hint="eastAsia" w:ascii="Times New Roman" w:hAnsi="Times New Roman"/>
                <w:bCs w:val="0"/>
                <w:color w:val="262626"/>
                <w:szCs w:val="24"/>
              </w:rPr>
            </w:pPr>
            <w:r>
              <w:rPr>
                <w:rFonts w:hint="eastAsia" w:ascii="Times New Roman" w:hAnsi="Times New Roman"/>
                <w:bCs w:val="0"/>
                <w:color w:val="262626"/>
                <w:szCs w:val="24"/>
              </w:rPr>
              <w:t>地下水环境：</w:t>
            </w:r>
            <w:r>
              <w:rPr>
                <w:rFonts w:ascii="Times New Roman" w:hAnsi="Times New Roman"/>
                <w:bCs w:val="0"/>
                <w:color w:val="262626"/>
                <w:szCs w:val="24"/>
              </w:rPr>
              <w:t>本项目生活用水全部采用自来水，不取用地下水，项目对区域地下水环境可能造成影响的污染源主要是化粪池、危废暂存间。</w:t>
            </w:r>
            <w:r>
              <w:rPr>
                <w:rFonts w:hint="eastAsia" w:ascii="Times New Roman" w:hAnsi="Times New Roman"/>
                <w:bCs w:val="0"/>
                <w:color w:val="262626"/>
                <w:szCs w:val="24"/>
              </w:rPr>
              <w:t>主要影响途径为</w:t>
            </w:r>
            <w:r>
              <w:rPr>
                <w:rFonts w:ascii="Times New Roman" w:hAnsi="Times New Roman"/>
                <w:bCs w:val="0"/>
                <w:color w:val="262626"/>
                <w:szCs w:val="24"/>
              </w:rPr>
              <w:t>化粪池</w:t>
            </w:r>
            <w:r>
              <w:rPr>
                <w:rFonts w:hint="eastAsia" w:ascii="Times New Roman" w:hAnsi="Times New Roman"/>
                <w:bCs w:val="0"/>
                <w:color w:val="262626"/>
                <w:szCs w:val="24"/>
              </w:rPr>
              <w:t>、</w:t>
            </w:r>
            <w:r>
              <w:rPr>
                <w:rFonts w:ascii="Times New Roman" w:hAnsi="Times New Roman"/>
                <w:bCs w:val="0"/>
                <w:color w:val="262626"/>
                <w:szCs w:val="24"/>
              </w:rPr>
              <w:t>危废暂存间场地、污水管网系统堵塞、管道破裂破损情况下等污水下渗对地下水造成的污染</w:t>
            </w:r>
            <w:r>
              <w:rPr>
                <w:rFonts w:hint="eastAsia" w:ascii="Times New Roman" w:hAnsi="Times New Roman"/>
                <w:bCs w:val="0"/>
                <w:color w:val="262626"/>
                <w:szCs w:val="24"/>
              </w:rPr>
              <w:t>。</w:t>
            </w:r>
          </w:p>
          <w:p w14:paraId="1D878498">
            <w:pPr>
              <w:pStyle w:val="56"/>
              <w:spacing w:line="360" w:lineRule="auto"/>
              <w:ind w:firstLine="480"/>
              <w:rPr>
                <w:rFonts w:ascii="Times New Roman" w:hAnsi="Times New Roman"/>
                <w:bCs w:val="0"/>
                <w:color w:val="262626"/>
                <w:szCs w:val="24"/>
              </w:rPr>
            </w:pPr>
            <w:r>
              <w:rPr>
                <w:rFonts w:hint="eastAsia" w:ascii="Times New Roman" w:hAnsi="Times New Roman"/>
                <w:bCs w:val="0"/>
                <w:color w:val="262626"/>
                <w:szCs w:val="24"/>
              </w:rPr>
              <w:t>土壤环境：</w:t>
            </w:r>
            <w:r>
              <w:rPr>
                <w:rFonts w:ascii="Times New Roman" w:hAnsi="Times New Roman"/>
                <w:bCs w:val="0"/>
                <w:color w:val="262626"/>
                <w:szCs w:val="24"/>
              </w:rPr>
              <w:t>项目对区域</w:t>
            </w:r>
            <w:r>
              <w:rPr>
                <w:rFonts w:hint="eastAsia" w:ascii="Times New Roman" w:hAnsi="Times New Roman"/>
                <w:bCs w:val="0"/>
                <w:color w:val="262626"/>
                <w:szCs w:val="24"/>
              </w:rPr>
              <w:t>土壤</w:t>
            </w:r>
            <w:r>
              <w:rPr>
                <w:rFonts w:ascii="Times New Roman" w:hAnsi="Times New Roman"/>
                <w:bCs w:val="0"/>
                <w:color w:val="262626"/>
                <w:szCs w:val="24"/>
              </w:rPr>
              <w:t>环境可能造成影响的污染源主要是</w:t>
            </w:r>
            <w:r>
              <w:rPr>
                <w:rFonts w:hint="eastAsia" w:ascii="Times New Roman" w:hAnsi="Times New Roman"/>
                <w:bCs w:val="0"/>
                <w:color w:val="262626"/>
                <w:szCs w:val="24"/>
              </w:rPr>
              <w:t>生产产生的有机废气沉降、</w:t>
            </w:r>
            <w:r>
              <w:rPr>
                <w:rFonts w:ascii="Times New Roman" w:hAnsi="Times New Roman"/>
                <w:bCs w:val="0"/>
                <w:color w:val="262626"/>
                <w:szCs w:val="24"/>
              </w:rPr>
              <w:t>化粪池、危废暂存间。</w:t>
            </w:r>
            <w:r>
              <w:rPr>
                <w:rFonts w:hint="eastAsia" w:ascii="Times New Roman" w:hAnsi="Times New Roman"/>
                <w:bCs w:val="0"/>
                <w:color w:val="262626"/>
                <w:szCs w:val="24"/>
              </w:rPr>
              <w:t>主要影响途径为</w:t>
            </w:r>
            <w:r>
              <w:rPr>
                <w:rFonts w:ascii="Times New Roman" w:hAnsi="Times New Roman"/>
                <w:bCs w:val="0"/>
                <w:color w:val="262626"/>
                <w:szCs w:val="24"/>
              </w:rPr>
              <w:t>有机废气大气沉降影响，以及废水设施及排放管道发生泄漏和危险废物贮存、运输过程中发生泄漏或渗漏，污染因子受土壤的截留作用，因而改变土壤理化性质，影响植物的生长和发育</w:t>
            </w:r>
            <w:r>
              <w:rPr>
                <w:rFonts w:hint="eastAsia" w:ascii="Times New Roman" w:hAnsi="Times New Roman"/>
                <w:bCs w:val="0"/>
                <w:color w:val="262626"/>
                <w:szCs w:val="24"/>
              </w:rPr>
              <w:t>。</w:t>
            </w:r>
          </w:p>
          <w:p w14:paraId="27F7EE3C">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126" w:name="_Toc3600"/>
            <w:r>
              <w:rPr>
                <w:rFonts w:hint="eastAsia"/>
                <w:b/>
                <w:color w:val="262626"/>
                <w:kern w:val="0"/>
                <w:sz w:val="24"/>
                <w:lang w:val="zh-CN" w:eastAsia="zh-CN"/>
              </w:rPr>
              <w:t>4.5.2 地下水、土壤环境防控措施</w:t>
            </w:r>
            <w:bookmarkEnd w:id="126"/>
          </w:p>
          <w:p w14:paraId="1A0C7112">
            <w:pPr>
              <w:pStyle w:val="56"/>
              <w:spacing w:line="360" w:lineRule="auto"/>
              <w:ind w:firstLine="480"/>
              <w:rPr>
                <w:rFonts w:ascii="Times New Roman" w:hAnsi="Times New Roman"/>
                <w:szCs w:val="24"/>
              </w:rPr>
            </w:pPr>
            <w:r>
              <w:rPr>
                <w:rFonts w:hint="eastAsia" w:ascii="Times New Roman" w:hAnsi="Times New Roman"/>
                <w:szCs w:val="24"/>
              </w:rPr>
              <w:t>（</w:t>
            </w:r>
            <w:r>
              <w:rPr>
                <w:rFonts w:ascii="Times New Roman" w:hAnsi="Times New Roman"/>
                <w:szCs w:val="24"/>
              </w:rPr>
              <w:t>1）重点污染区防渗措施为：</w:t>
            </w:r>
            <w:r>
              <w:rPr>
                <w:rFonts w:ascii="Times New Roman" w:hAnsi="Times New Roman"/>
                <w:color w:val="262626"/>
                <w:kern w:val="0"/>
              </w:rPr>
              <w:t>根据《环境影响评价技术导则地下水环境》</w:t>
            </w:r>
            <w:r>
              <w:rPr>
                <w:rFonts w:hint="eastAsia"/>
                <w:color w:val="262626"/>
                <w:kern w:val="0"/>
                <w:lang w:eastAsia="zh-CN"/>
              </w:rPr>
              <w:t>（</w:t>
            </w:r>
            <w:r>
              <w:rPr>
                <w:rFonts w:ascii="Times New Roman" w:hAnsi="Times New Roman"/>
                <w:color w:val="262626"/>
                <w:kern w:val="0"/>
              </w:rPr>
              <w:t>HJ610-2016</w:t>
            </w:r>
            <w:r>
              <w:rPr>
                <w:rFonts w:hint="eastAsia"/>
                <w:color w:val="262626"/>
                <w:kern w:val="0"/>
                <w:lang w:eastAsia="zh-CN"/>
              </w:rPr>
              <w:t>）</w:t>
            </w:r>
            <w:r>
              <w:rPr>
                <w:rFonts w:ascii="Times New Roman" w:hAnsi="Times New Roman"/>
                <w:color w:val="262626"/>
                <w:kern w:val="0"/>
              </w:rPr>
              <w:t>的要求，重点防治区的防渗性能应等效黏土防渗层≥6.0m，渗透系数≤1.0×10</w:t>
            </w:r>
            <w:r>
              <w:rPr>
                <w:rFonts w:ascii="Times New Roman" w:hAnsi="Times New Roman"/>
                <w:color w:val="262626"/>
                <w:kern w:val="0"/>
                <w:vertAlign w:val="superscript"/>
              </w:rPr>
              <w:t>-7</w:t>
            </w:r>
            <w:r>
              <w:rPr>
                <w:rFonts w:ascii="Times New Roman" w:hAnsi="Times New Roman"/>
                <w:color w:val="262626"/>
                <w:kern w:val="0"/>
              </w:rPr>
              <w:t>cm/s。危险废物暂存场重点防渗区应按照《危险废物污染防治技术政策》及</w:t>
            </w:r>
            <w:r>
              <w:rPr>
                <w:rFonts w:ascii="Times New Roman" w:hAnsi="Times New Roman"/>
                <w:color w:val="262626"/>
              </w:rPr>
              <w:t>《危险废物贮存污染控制标准》</w:t>
            </w:r>
            <w:r>
              <w:rPr>
                <w:rFonts w:hint="eastAsia"/>
                <w:color w:val="262626"/>
                <w:lang w:eastAsia="zh-CN"/>
              </w:rPr>
              <w:t>（</w:t>
            </w:r>
            <w:r>
              <w:rPr>
                <w:rFonts w:ascii="Times New Roman" w:hAnsi="Times New Roman"/>
                <w:color w:val="262626"/>
              </w:rPr>
              <w:t>GB18597-2023</w:t>
            </w:r>
            <w:r>
              <w:rPr>
                <w:rFonts w:hint="eastAsia"/>
                <w:color w:val="262626"/>
                <w:lang w:eastAsia="zh-CN"/>
              </w:rPr>
              <w:t>）</w:t>
            </w:r>
            <w:r>
              <w:rPr>
                <w:rFonts w:ascii="Times New Roman" w:hAnsi="Times New Roman"/>
                <w:color w:val="262626"/>
                <w:kern w:val="0"/>
              </w:rPr>
              <w:t>等危险废物处理的相关标准、法律法规的要求</w:t>
            </w:r>
            <w:r>
              <w:rPr>
                <w:rFonts w:ascii="Times New Roman" w:hAnsi="Times New Roman"/>
                <w:szCs w:val="24"/>
              </w:rPr>
              <w:t>；</w:t>
            </w:r>
          </w:p>
          <w:p w14:paraId="78A447C3">
            <w:pPr>
              <w:pStyle w:val="56"/>
              <w:spacing w:line="360" w:lineRule="auto"/>
              <w:ind w:firstLine="480"/>
              <w:rPr>
                <w:color w:val="262626"/>
              </w:rPr>
            </w:pPr>
            <w:bookmarkStart w:id="127" w:name="_Toc15205"/>
            <w:bookmarkStart w:id="128" w:name="_Toc9711"/>
            <w:bookmarkStart w:id="129" w:name="_Toc12701"/>
            <w:bookmarkStart w:id="130" w:name="_Toc3195"/>
            <w:bookmarkStart w:id="131" w:name="_Toc19130"/>
            <w:r>
              <w:rPr>
                <w:rFonts w:ascii="Times New Roman" w:hAnsi="Times New Roman"/>
                <w:szCs w:val="24"/>
              </w:rPr>
              <w:t>（2）一般污染区防渗措施：</w:t>
            </w:r>
            <w:r>
              <w:rPr>
                <w:rFonts w:ascii="Times New Roman" w:hAnsi="Times New Roman"/>
                <w:color w:val="262626"/>
                <w:szCs w:val="24"/>
              </w:rPr>
              <w:t>一般工业固废间、项目生产车间、</w:t>
            </w:r>
            <w:r>
              <w:rPr>
                <w:rFonts w:ascii="Times New Roman" w:hAnsi="Times New Roman"/>
                <w:szCs w:val="24"/>
              </w:rPr>
              <w:t>化粪池地面采取防渗水泥固化。</w:t>
            </w:r>
            <w:r>
              <w:rPr>
                <w:rFonts w:ascii="Times New Roman" w:hAnsi="Times New Roman"/>
                <w:color w:val="262626"/>
                <w:kern w:val="0"/>
              </w:rPr>
              <w:t>根据《环境影响评价技术导则地下水环境》</w:t>
            </w:r>
            <w:r>
              <w:rPr>
                <w:rFonts w:hint="eastAsia"/>
                <w:color w:val="262626"/>
                <w:kern w:val="0"/>
                <w:lang w:eastAsia="zh-CN"/>
              </w:rPr>
              <w:t>（</w:t>
            </w:r>
            <w:r>
              <w:rPr>
                <w:rFonts w:ascii="Times New Roman" w:hAnsi="Times New Roman"/>
                <w:color w:val="262626"/>
                <w:kern w:val="0"/>
              </w:rPr>
              <w:t>HJ610-2016</w:t>
            </w:r>
            <w:r>
              <w:rPr>
                <w:rFonts w:hint="eastAsia"/>
                <w:color w:val="262626"/>
                <w:kern w:val="0"/>
                <w:lang w:eastAsia="zh-CN"/>
              </w:rPr>
              <w:t>）</w:t>
            </w:r>
            <w:r>
              <w:rPr>
                <w:rFonts w:ascii="Times New Roman" w:hAnsi="Times New Roman"/>
                <w:color w:val="262626"/>
                <w:kern w:val="0"/>
              </w:rPr>
              <w:t>，一般防渗区的防渗性能等效黏土防渗层≥1.5m，渗透系数≤1.0×10</w:t>
            </w:r>
            <w:r>
              <w:rPr>
                <w:rFonts w:ascii="Times New Roman" w:hAnsi="Times New Roman"/>
                <w:color w:val="262626"/>
                <w:kern w:val="0"/>
                <w:vertAlign w:val="superscript"/>
              </w:rPr>
              <w:t>-7</w:t>
            </w:r>
            <w:r>
              <w:rPr>
                <w:rFonts w:ascii="Times New Roman" w:hAnsi="Times New Roman"/>
                <w:color w:val="262626"/>
                <w:kern w:val="0"/>
              </w:rPr>
              <w:t>cm/s。一般工业固体废物暂存场一般防渗区应按照</w:t>
            </w:r>
            <w:r>
              <w:rPr>
                <w:rFonts w:ascii="Times New Roman" w:hAnsi="Times New Roman"/>
                <w:color w:val="262626"/>
              </w:rPr>
              <w:t>《一般工业固体废物贮存和填埋污染控制标准》</w:t>
            </w:r>
            <w:r>
              <w:rPr>
                <w:rFonts w:hint="eastAsia"/>
                <w:color w:val="262626"/>
                <w:lang w:eastAsia="zh-CN"/>
              </w:rPr>
              <w:t>（</w:t>
            </w:r>
            <w:r>
              <w:rPr>
                <w:rFonts w:ascii="Times New Roman" w:hAnsi="Times New Roman"/>
                <w:color w:val="262626"/>
              </w:rPr>
              <w:t>GB 18599-2020</w:t>
            </w:r>
            <w:r>
              <w:rPr>
                <w:rFonts w:hint="eastAsia"/>
                <w:color w:val="262626"/>
                <w:lang w:eastAsia="zh-CN"/>
              </w:rPr>
              <w:t>）</w:t>
            </w:r>
            <w:r>
              <w:rPr>
                <w:rFonts w:ascii="Times New Roman" w:hAnsi="Times New Roman"/>
                <w:color w:val="262626"/>
              </w:rPr>
              <w:t>中要求</w:t>
            </w:r>
            <w:r>
              <w:rPr>
                <w:rFonts w:ascii="Times New Roman" w:hAnsi="Times New Roman"/>
                <w:color w:val="262626"/>
                <w:kern w:val="0"/>
              </w:rPr>
              <w:t>进行设计</w:t>
            </w:r>
            <w:r>
              <w:rPr>
                <w:rFonts w:hint="eastAsia"/>
                <w:color w:val="262626"/>
                <w:kern w:val="0"/>
                <w:lang w:eastAsia="zh-CN"/>
              </w:rPr>
              <w:t>且</w:t>
            </w:r>
            <w:r>
              <w:rPr>
                <w:rFonts w:ascii="Times New Roman" w:hAnsi="Times New Roman"/>
                <w:color w:val="262626"/>
              </w:rPr>
              <w:t>具有防雨、防渗、防</w:t>
            </w:r>
            <w:r>
              <w:rPr>
                <w:color w:val="262626"/>
              </w:rPr>
              <w:t>风、防日晒的功能。</w:t>
            </w:r>
          </w:p>
          <w:bookmarkEnd w:id="127"/>
          <w:bookmarkEnd w:id="128"/>
          <w:bookmarkEnd w:id="129"/>
          <w:bookmarkEnd w:id="130"/>
          <w:bookmarkEnd w:id="131"/>
          <w:p w14:paraId="4087ADEA">
            <w:pPr>
              <w:pStyle w:val="56"/>
              <w:spacing w:line="360" w:lineRule="auto"/>
              <w:ind w:firstLine="480"/>
              <w:rPr>
                <w:rFonts w:hint="eastAsia" w:ascii="Times New Roman" w:hAnsi="Times New Roman"/>
                <w:szCs w:val="24"/>
              </w:rPr>
            </w:pPr>
            <w:r>
              <w:rPr>
                <w:rFonts w:ascii="Times New Roman" w:hAnsi="Times New Roman"/>
                <w:szCs w:val="24"/>
              </w:rPr>
              <w:t>（3）污水管网系统堵塞、管道破裂、破损情况</w:t>
            </w:r>
            <w:r>
              <w:rPr>
                <w:rFonts w:hint="eastAsia"/>
                <w:szCs w:val="24"/>
                <w:lang w:eastAsia="zh-CN"/>
              </w:rPr>
              <w:t>下</w:t>
            </w:r>
            <w:r>
              <w:rPr>
                <w:rFonts w:ascii="Times New Roman" w:hAnsi="Times New Roman"/>
                <w:szCs w:val="24"/>
              </w:rPr>
              <w:t>污水下渗可能会对地下水造成污染，但这种情况发生的</w:t>
            </w:r>
            <w:r>
              <w:rPr>
                <w:rFonts w:hint="eastAsia"/>
                <w:szCs w:val="24"/>
                <w:lang w:eastAsia="zh-CN"/>
              </w:rPr>
              <w:t>概率</w:t>
            </w:r>
            <w:r>
              <w:rPr>
                <w:rFonts w:ascii="Times New Roman" w:hAnsi="Times New Roman"/>
                <w:szCs w:val="24"/>
              </w:rPr>
              <w:t>很小，其避免措施是：在污水管道设计中，要选择适当的设计流速和充满度，防止污泥沉积；选择合适的防腐管材，注意其封闭性，防止污水</w:t>
            </w:r>
            <w:r>
              <w:rPr>
                <w:rFonts w:hint="eastAsia"/>
                <w:szCs w:val="24"/>
                <w:lang w:eastAsia="zh-CN"/>
              </w:rPr>
              <w:t>“</w:t>
            </w:r>
            <w:r>
              <w:rPr>
                <w:rFonts w:ascii="Times New Roman" w:hAnsi="Times New Roman"/>
                <w:szCs w:val="24"/>
              </w:rPr>
              <w:t>跑、冒、滴、漏</w:t>
            </w:r>
            <w:r>
              <w:rPr>
                <w:rFonts w:hint="eastAsia"/>
                <w:szCs w:val="24"/>
                <w:lang w:eastAsia="zh-CN"/>
              </w:rPr>
              <w:t>”</w:t>
            </w:r>
            <w:r>
              <w:rPr>
                <w:rFonts w:ascii="Times New Roman" w:hAnsi="Times New Roman"/>
                <w:szCs w:val="24"/>
              </w:rPr>
              <w:t>；制定严格的污水管网维修制度；建设单位应严禁固体废物排入下水管道，</w:t>
            </w:r>
            <w:r>
              <w:rPr>
                <w:rFonts w:hint="eastAsia"/>
                <w:szCs w:val="24"/>
                <w:lang w:eastAsia="zh-CN"/>
              </w:rPr>
              <w:t>生态环境部</w:t>
            </w:r>
            <w:r>
              <w:rPr>
                <w:rFonts w:ascii="Times New Roman" w:hAnsi="Times New Roman"/>
                <w:szCs w:val="24"/>
              </w:rPr>
              <w:t>门应与市政部门密切配合，强化监测与管理工作</w:t>
            </w:r>
            <w:r>
              <w:rPr>
                <w:rFonts w:hint="eastAsia" w:ascii="Times New Roman" w:hAnsi="Times New Roman"/>
                <w:szCs w:val="24"/>
              </w:rPr>
              <w:t>；</w:t>
            </w:r>
          </w:p>
          <w:p w14:paraId="2173EA2A">
            <w:pPr>
              <w:pStyle w:val="56"/>
              <w:spacing w:line="360" w:lineRule="auto"/>
              <w:ind w:firstLine="480"/>
              <w:rPr>
                <w:rFonts w:hint="eastAsia" w:ascii="Times New Roman" w:hAnsi="Times New Roman"/>
                <w:szCs w:val="24"/>
              </w:rPr>
            </w:pPr>
            <w:r>
              <w:rPr>
                <w:rFonts w:hint="eastAsia" w:ascii="Times New Roman" w:hAnsi="Times New Roman"/>
                <w:szCs w:val="24"/>
              </w:rPr>
              <w:t>（4）</w:t>
            </w:r>
            <w:r>
              <w:rPr>
                <w:rFonts w:ascii="Times New Roman" w:hAnsi="Times New Roman"/>
                <w:szCs w:val="24"/>
              </w:rPr>
              <w:t>加强废气环保设施管理，保证废气达标排放</w:t>
            </w:r>
            <w:r>
              <w:rPr>
                <w:rFonts w:hint="eastAsia" w:ascii="Times New Roman" w:hAnsi="Times New Roman"/>
                <w:szCs w:val="24"/>
              </w:rPr>
              <w:t>，减少大气沉降对地面土壤的影响；</w:t>
            </w:r>
          </w:p>
          <w:p w14:paraId="1B63EF67">
            <w:pPr>
              <w:pStyle w:val="10"/>
              <w:spacing w:before="0" w:after="0" w:line="360" w:lineRule="auto"/>
              <w:ind w:firstLine="480" w:firstLineChars="200"/>
              <w:rPr>
                <w:rFonts w:hint="eastAsia"/>
                <w:sz w:val="24"/>
                <w:szCs w:val="24"/>
              </w:rPr>
            </w:pPr>
            <w:r>
              <w:rPr>
                <w:rFonts w:hint="eastAsia"/>
                <w:b w:val="0"/>
                <w:bCs/>
                <w:sz w:val="24"/>
                <w:szCs w:val="24"/>
              </w:rPr>
              <w:t>跟踪监测要求：项</w:t>
            </w:r>
            <w:r>
              <w:rPr>
                <w:rFonts w:hint="eastAsia"/>
                <w:sz w:val="24"/>
                <w:szCs w:val="24"/>
              </w:rPr>
              <w:t>目已按分区防控要求提出相应的防控措施，同时项目车间地面</w:t>
            </w:r>
            <w:r>
              <w:rPr>
                <w:rFonts w:hint="eastAsia"/>
                <w:sz w:val="24"/>
                <w:szCs w:val="24"/>
                <w:lang w:val="en-US" w:eastAsia="zh-CN"/>
              </w:rPr>
              <w:t>已全部</w:t>
            </w:r>
            <w:r>
              <w:rPr>
                <w:rFonts w:hint="eastAsia"/>
                <w:sz w:val="24"/>
                <w:szCs w:val="24"/>
              </w:rPr>
              <w:t>硬化，一般情况下不会对周边地下水、土壤环境造成影响，故可不需要进行跟踪监测。</w:t>
            </w:r>
          </w:p>
          <w:p w14:paraId="68E979BC">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Style w:val="63"/>
                <w:rFonts w:ascii="Times New Roman" w:hAnsi="Times New Roman"/>
                <w:b/>
                <w:bCs/>
                <w:color w:val="262626"/>
                <w:kern w:val="0"/>
                <w:sz w:val="28"/>
                <w:szCs w:val="28"/>
              </w:rPr>
            </w:pPr>
            <w:bookmarkStart w:id="132" w:name="_Toc23745"/>
            <w:r>
              <w:rPr>
                <w:rStyle w:val="63"/>
                <w:rFonts w:ascii="Times New Roman" w:hAnsi="Times New Roman"/>
                <w:b/>
                <w:bCs/>
                <w:color w:val="262626"/>
                <w:kern w:val="0"/>
                <w:sz w:val="28"/>
                <w:szCs w:val="28"/>
              </w:rPr>
              <w:t>4.</w:t>
            </w:r>
            <w:r>
              <w:rPr>
                <w:rStyle w:val="63"/>
                <w:rFonts w:hint="eastAsia" w:ascii="Times New Roman" w:hAnsi="Times New Roman"/>
                <w:b/>
                <w:bCs/>
                <w:color w:val="262626"/>
                <w:kern w:val="0"/>
                <w:sz w:val="28"/>
                <w:szCs w:val="28"/>
              </w:rPr>
              <w:t>6</w:t>
            </w:r>
            <w:r>
              <w:rPr>
                <w:rStyle w:val="63"/>
                <w:rFonts w:ascii="Times New Roman" w:hAnsi="Times New Roman"/>
                <w:b/>
                <w:bCs/>
                <w:color w:val="262626"/>
                <w:kern w:val="0"/>
                <w:sz w:val="28"/>
                <w:szCs w:val="28"/>
              </w:rPr>
              <w:t>环境风险分析</w:t>
            </w:r>
            <w:bookmarkEnd w:id="132"/>
          </w:p>
          <w:p w14:paraId="6D259EE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33" w:name="_Toc8546"/>
            <w:r>
              <w:rPr>
                <w:rFonts w:hint="eastAsia"/>
                <w:b/>
                <w:color w:val="262626"/>
                <w:kern w:val="0"/>
                <w:sz w:val="24"/>
                <w:lang w:val="en-US" w:eastAsia="zh-CN"/>
              </w:rPr>
              <w:t>4.6.1</w:t>
            </w:r>
            <w:r>
              <w:rPr>
                <w:rFonts w:hint="default"/>
                <w:b/>
                <w:color w:val="262626"/>
                <w:kern w:val="0"/>
                <w:sz w:val="24"/>
                <w:lang w:val="en-US" w:eastAsia="zh-CN"/>
              </w:rPr>
              <w:t>项目危险物质调查</w:t>
            </w:r>
            <w:bookmarkEnd w:id="133"/>
          </w:p>
          <w:p w14:paraId="1504224A">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危险物质</w:t>
            </w:r>
          </w:p>
          <w:p w14:paraId="6EB2CF94">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color w:val="auto"/>
                <w:sz w:val="24"/>
              </w:rPr>
              <w:t>根据对各原料成分性质分析，对照《建设项目环境风险评价技术导则》</w:t>
            </w:r>
            <w:r>
              <w:rPr>
                <w:rFonts w:hint="eastAsia"/>
                <w:color w:val="auto"/>
                <w:sz w:val="24"/>
                <w:lang w:eastAsia="zh-CN"/>
              </w:rPr>
              <w:t>（</w:t>
            </w:r>
            <w:r>
              <w:rPr>
                <w:color w:val="auto"/>
                <w:sz w:val="24"/>
              </w:rPr>
              <w:t>HJ 169-2018</w:t>
            </w:r>
            <w:r>
              <w:rPr>
                <w:rFonts w:hint="eastAsia"/>
                <w:color w:val="auto"/>
                <w:sz w:val="24"/>
                <w:lang w:eastAsia="zh-CN"/>
              </w:rPr>
              <w:t>）</w:t>
            </w:r>
            <w:r>
              <w:rPr>
                <w:color w:val="auto"/>
                <w:sz w:val="24"/>
              </w:rPr>
              <w:t>附录B</w:t>
            </w:r>
            <w:r>
              <w:rPr>
                <w:rFonts w:hint="eastAsia"/>
                <w:color w:val="auto"/>
                <w:sz w:val="24"/>
              </w:rPr>
              <w:t>及《企业突发环境事件风险分级方法》</w:t>
            </w:r>
            <w:r>
              <w:rPr>
                <w:rFonts w:hint="eastAsia"/>
                <w:color w:val="auto"/>
                <w:sz w:val="24"/>
                <w:lang w:eastAsia="zh-CN"/>
              </w:rPr>
              <w:t>（</w:t>
            </w:r>
            <w:r>
              <w:rPr>
                <w:rFonts w:hint="eastAsia"/>
                <w:color w:val="auto"/>
                <w:sz w:val="24"/>
              </w:rPr>
              <w:t>HJ941-2018</w:t>
            </w:r>
            <w:r>
              <w:rPr>
                <w:rFonts w:hint="eastAsia"/>
                <w:color w:val="auto"/>
                <w:sz w:val="24"/>
                <w:lang w:eastAsia="zh-CN"/>
              </w:rPr>
              <w:t>）</w:t>
            </w:r>
            <w:r>
              <w:rPr>
                <w:rFonts w:hint="eastAsia"/>
                <w:color w:val="auto"/>
                <w:sz w:val="24"/>
              </w:rPr>
              <w:t>附录A可知</w:t>
            </w:r>
            <w:r>
              <w:rPr>
                <w:color w:val="auto"/>
                <w:sz w:val="24"/>
              </w:rPr>
              <w:t>，</w:t>
            </w:r>
            <w:r>
              <w:rPr>
                <w:rFonts w:hint="eastAsia"/>
                <w:color w:val="auto"/>
                <w:sz w:val="24"/>
              </w:rPr>
              <w:t>项目使用的原辅材料均不属于危险物质；但项目产生的</w:t>
            </w:r>
            <w:r>
              <w:rPr>
                <w:rFonts w:hint="eastAsia"/>
                <w:color w:val="auto"/>
                <w:sz w:val="24"/>
                <w:lang w:val="en-US" w:eastAsia="zh-CN"/>
              </w:rPr>
              <w:t>危险废物</w:t>
            </w:r>
            <w:r>
              <w:rPr>
                <w:rFonts w:hint="eastAsia"/>
                <w:color w:val="auto"/>
                <w:sz w:val="24"/>
              </w:rPr>
              <w:t>属于环境风险物质</w:t>
            </w:r>
            <w:r>
              <w:rPr>
                <w:rFonts w:hint="eastAsia"/>
                <w:color w:val="auto"/>
                <w:sz w:val="24"/>
                <w:lang w:eastAsia="zh-CN"/>
              </w:rPr>
              <w:t>，</w:t>
            </w:r>
            <w:r>
              <w:rPr>
                <w:rFonts w:hint="eastAsia"/>
                <w:color w:val="auto"/>
                <w:sz w:val="24"/>
                <w:lang w:val="en-US" w:eastAsia="zh-CN"/>
              </w:rPr>
              <w:t>详见表4.6-1。</w:t>
            </w:r>
          </w:p>
          <w:p w14:paraId="68048486">
            <w:pPr>
              <w:rPr>
                <w:rFonts w:hint="default"/>
              </w:rPr>
            </w:pPr>
          </w:p>
          <w:p w14:paraId="2FBB0CAC">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4.6</w:t>
            </w:r>
            <w:r>
              <w:rPr>
                <w:rFonts w:hint="default" w:ascii="Times New Roman" w:hAnsi="Times New Roman" w:eastAsia="宋体" w:cs="Times New Roman"/>
                <w:b/>
                <w:bCs/>
                <w:color w:val="auto"/>
                <w:sz w:val="24"/>
                <w:lang w:val="en-US" w:eastAsia="zh-CN"/>
              </w:rPr>
              <w:t xml:space="preserve">-1  </w:t>
            </w:r>
            <w:r>
              <w:rPr>
                <w:rFonts w:hint="default" w:ascii="Times New Roman" w:hAnsi="Times New Roman" w:eastAsia="宋体" w:cs="Times New Roman"/>
                <w:b/>
                <w:bCs/>
                <w:color w:val="auto"/>
                <w:sz w:val="24"/>
              </w:rPr>
              <w:t>主要</w:t>
            </w:r>
            <w:r>
              <w:rPr>
                <w:rFonts w:hint="default" w:ascii="Times New Roman" w:hAnsi="Times New Roman" w:eastAsia="宋体" w:cs="Times New Roman"/>
                <w:b/>
                <w:bCs/>
                <w:color w:val="auto"/>
                <w:sz w:val="24"/>
                <w:lang w:eastAsia="zh-CN"/>
              </w:rPr>
              <w:t>危险废物数量</w:t>
            </w:r>
            <w:r>
              <w:rPr>
                <w:rFonts w:hint="default" w:ascii="Times New Roman" w:hAnsi="Times New Roman" w:eastAsia="宋体" w:cs="Times New Roman"/>
                <w:b/>
                <w:bCs/>
                <w:color w:val="auto"/>
                <w:sz w:val="24"/>
              </w:rPr>
              <w:t>、有害因素分布表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670"/>
              <w:gridCol w:w="1074"/>
              <w:gridCol w:w="1399"/>
              <w:gridCol w:w="1510"/>
              <w:gridCol w:w="1038"/>
              <w:gridCol w:w="839"/>
              <w:gridCol w:w="931"/>
            </w:tblGrid>
            <w:tr w14:paraId="20466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tcBorders>
                    <w:tl2br w:val="nil"/>
                    <w:tr2bl w:val="nil"/>
                  </w:tcBorders>
                  <w:noWrap w:val="0"/>
                  <w:vAlign w:val="center"/>
                </w:tcPr>
                <w:p w14:paraId="77E23BAA">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物质名称</w:t>
                  </w:r>
                </w:p>
              </w:tc>
              <w:tc>
                <w:tcPr>
                  <w:tcW w:w="390" w:type="pct"/>
                  <w:tcBorders>
                    <w:tl2br w:val="nil"/>
                    <w:tr2bl w:val="nil"/>
                  </w:tcBorders>
                  <w:noWrap w:val="0"/>
                  <w:vAlign w:val="center"/>
                </w:tcPr>
                <w:p w14:paraId="79A9113D">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形态</w:t>
                  </w:r>
                </w:p>
              </w:tc>
              <w:tc>
                <w:tcPr>
                  <w:tcW w:w="625" w:type="pct"/>
                  <w:tcBorders>
                    <w:tl2br w:val="nil"/>
                    <w:tr2bl w:val="nil"/>
                  </w:tcBorders>
                  <w:noWrap w:val="0"/>
                  <w:vAlign w:val="center"/>
                </w:tcPr>
                <w:p w14:paraId="33AF9C89">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年储存量（t）</w:t>
                  </w:r>
                </w:p>
              </w:tc>
              <w:tc>
                <w:tcPr>
                  <w:tcW w:w="814" w:type="pct"/>
                  <w:tcBorders>
                    <w:tl2br w:val="nil"/>
                    <w:tr2bl w:val="nil"/>
                  </w:tcBorders>
                  <w:noWrap w:val="0"/>
                  <w:vAlign w:val="center"/>
                </w:tcPr>
                <w:p w14:paraId="5735C9B8">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最大储存量（t）</w:t>
                  </w:r>
                </w:p>
              </w:tc>
              <w:tc>
                <w:tcPr>
                  <w:tcW w:w="879" w:type="pct"/>
                  <w:tcBorders>
                    <w:tl2br w:val="nil"/>
                    <w:tr2bl w:val="nil"/>
                  </w:tcBorders>
                  <w:noWrap w:val="0"/>
                  <w:vAlign w:val="center"/>
                </w:tcPr>
                <w:p w14:paraId="2533A2E0">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危险物质成分</w:t>
                  </w:r>
                </w:p>
              </w:tc>
              <w:tc>
                <w:tcPr>
                  <w:tcW w:w="604" w:type="pct"/>
                  <w:tcBorders>
                    <w:tl2br w:val="nil"/>
                    <w:tr2bl w:val="nil"/>
                  </w:tcBorders>
                  <w:noWrap w:val="0"/>
                  <w:vAlign w:val="center"/>
                </w:tcPr>
                <w:p w14:paraId="3708ADF1">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危险特性</w:t>
                  </w:r>
                </w:p>
              </w:tc>
              <w:tc>
                <w:tcPr>
                  <w:tcW w:w="488" w:type="pct"/>
                  <w:tcBorders>
                    <w:tl2br w:val="nil"/>
                    <w:tr2bl w:val="nil"/>
                  </w:tcBorders>
                  <w:noWrap w:val="0"/>
                  <w:vAlign w:val="center"/>
                </w:tcPr>
                <w:p w14:paraId="240E93ED">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临界量（t）</w:t>
                  </w:r>
                </w:p>
              </w:tc>
              <w:tc>
                <w:tcPr>
                  <w:tcW w:w="538" w:type="pct"/>
                  <w:tcBorders>
                    <w:tl2br w:val="nil"/>
                    <w:tr2bl w:val="nil"/>
                  </w:tcBorders>
                  <w:noWrap w:val="0"/>
                  <w:vAlign w:val="center"/>
                </w:tcPr>
                <w:p w14:paraId="31F51649">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位置</w:t>
                  </w:r>
                </w:p>
              </w:tc>
            </w:tr>
            <w:tr w14:paraId="31EC7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tcBorders>
                    <w:tl2br w:val="nil"/>
                    <w:tr2bl w:val="nil"/>
                  </w:tcBorders>
                  <w:noWrap w:val="0"/>
                  <w:vAlign w:val="center"/>
                </w:tcPr>
                <w:p w14:paraId="29095000">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废活性炭</w:t>
                  </w:r>
                </w:p>
              </w:tc>
              <w:tc>
                <w:tcPr>
                  <w:tcW w:w="390" w:type="pct"/>
                  <w:tcBorders>
                    <w:tl2br w:val="nil"/>
                    <w:tr2bl w:val="nil"/>
                  </w:tcBorders>
                  <w:noWrap w:val="0"/>
                  <w:vAlign w:val="center"/>
                </w:tcPr>
                <w:p w14:paraId="31BDE6D2">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固态</w:t>
                  </w:r>
                </w:p>
              </w:tc>
              <w:tc>
                <w:tcPr>
                  <w:tcW w:w="625" w:type="pct"/>
                  <w:tcBorders>
                    <w:tl2br w:val="nil"/>
                    <w:tr2bl w:val="nil"/>
                  </w:tcBorders>
                  <w:noWrap w:val="0"/>
                  <w:vAlign w:val="center"/>
                </w:tcPr>
                <w:p w14:paraId="1E5C433A">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2.7967</w:t>
                  </w:r>
                </w:p>
              </w:tc>
              <w:tc>
                <w:tcPr>
                  <w:tcW w:w="814" w:type="pct"/>
                  <w:tcBorders>
                    <w:tl2br w:val="nil"/>
                    <w:tr2bl w:val="nil"/>
                  </w:tcBorders>
                  <w:noWrap w:val="0"/>
                  <w:vAlign w:val="center"/>
                </w:tcPr>
                <w:p w14:paraId="76C92C26">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w:t>
                  </w:r>
                </w:p>
              </w:tc>
              <w:tc>
                <w:tcPr>
                  <w:tcW w:w="879" w:type="pct"/>
                  <w:tcBorders>
                    <w:tl2br w:val="nil"/>
                    <w:tr2bl w:val="nil"/>
                  </w:tcBorders>
                  <w:noWrap w:val="0"/>
                  <w:vAlign w:val="center"/>
                </w:tcPr>
                <w:p w14:paraId="5BB6DBEA">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挥发性有机、物</w:t>
                  </w:r>
                  <w:r>
                    <w:rPr>
                      <w:rFonts w:hint="default" w:ascii="Times New Roman" w:hAnsi="Times New Roman" w:eastAsia="宋体" w:cs="Times New Roman"/>
                      <w:b w:val="0"/>
                      <w:bCs/>
                      <w:color w:val="auto"/>
                      <w:sz w:val="21"/>
                      <w:szCs w:val="21"/>
                      <w:highlight w:val="none"/>
                      <w:vertAlign w:val="baseline"/>
                      <w:lang w:val="en-US" w:eastAsia="zh-CN"/>
                    </w:rPr>
                    <w:t>废活性炭</w:t>
                  </w:r>
                </w:p>
              </w:tc>
              <w:tc>
                <w:tcPr>
                  <w:tcW w:w="604" w:type="pct"/>
                  <w:tcBorders>
                    <w:tl2br w:val="nil"/>
                    <w:tr2bl w:val="nil"/>
                  </w:tcBorders>
                  <w:noWrap w:val="0"/>
                  <w:vAlign w:val="center"/>
                </w:tcPr>
                <w:p w14:paraId="641DB43C">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有毒、有害</w:t>
                  </w:r>
                </w:p>
              </w:tc>
              <w:tc>
                <w:tcPr>
                  <w:tcW w:w="488" w:type="pct"/>
                  <w:tcBorders>
                    <w:tl2br w:val="nil"/>
                    <w:tr2bl w:val="nil"/>
                  </w:tcBorders>
                  <w:noWrap w:val="0"/>
                  <w:vAlign w:val="center"/>
                </w:tcPr>
                <w:p w14:paraId="4A299ED7">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538" w:type="pct"/>
                  <w:vMerge w:val="restart"/>
                  <w:tcBorders>
                    <w:tl2br w:val="nil"/>
                    <w:tr2bl w:val="nil"/>
                  </w:tcBorders>
                  <w:noWrap w:val="0"/>
                  <w:vAlign w:val="center"/>
                </w:tcPr>
                <w:p w14:paraId="57D4403E">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eastAsia="宋体"/>
                      <w:color w:val="auto"/>
                      <w:sz w:val="21"/>
                      <w:szCs w:val="21"/>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危废暂存间</w:t>
                  </w:r>
                </w:p>
              </w:tc>
            </w:tr>
            <w:tr w14:paraId="7BDAC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tcBorders>
                    <w:tl2br w:val="nil"/>
                    <w:tr2bl w:val="nil"/>
                  </w:tcBorders>
                  <w:noWrap w:val="0"/>
                  <w:vAlign w:val="center"/>
                </w:tcPr>
                <w:p w14:paraId="60FAFA99">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废机油</w:t>
                  </w:r>
                </w:p>
              </w:tc>
              <w:tc>
                <w:tcPr>
                  <w:tcW w:w="390" w:type="pct"/>
                  <w:tcBorders>
                    <w:tl2br w:val="nil"/>
                    <w:tr2bl w:val="nil"/>
                  </w:tcBorders>
                  <w:noWrap w:val="0"/>
                  <w:vAlign w:val="center"/>
                </w:tcPr>
                <w:p w14:paraId="15B8CF8B">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液态</w:t>
                  </w:r>
                </w:p>
              </w:tc>
              <w:tc>
                <w:tcPr>
                  <w:tcW w:w="625" w:type="pct"/>
                  <w:tcBorders>
                    <w:tl2br w:val="nil"/>
                    <w:tr2bl w:val="nil"/>
                  </w:tcBorders>
                  <w:noWrap w:val="0"/>
                  <w:vAlign w:val="center"/>
                </w:tcPr>
                <w:p w14:paraId="00ED970F">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w:t>
                  </w:r>
                  <w:r>
                    <w:rPr>
                      <w:rFonts w:hint="eastAsia" w:eastAsia="宋体" w:cs="Times New Roman"/>
                      <w:b w:val="0"/>
                      <w:bCs/>
                      <w:color w:val="auto"/>
                      <w:sz w:val="21"/>
                      <w:szCs w:val="21"/>
                      <w:highlight w:val="none"/>
                      <w:vertAlign w:val="baseline"/>
                      <w:lang w:val="en-US" w:eastAsia="zh-CN"/>
                    </w:rPr>
                    <w:t>2</w:t>
                  </w:r>
                </w:p>
              </w:tc>
              <w:tc>
                <w:tcPr>
                  <w:tcW w:w="814" w:type="pct"/>
                  <w:tcBorders>
                    <w:tl2br w:val="nil"/>
                    <w:tr2bl w:val="nil"/>
                  </w:tcBorders>
                  <w:noWrap w:val="0"/>
                  <w:vAlign w:val="center"/>
                </w:tcPr>
                <w:p w14:paraId="318257D9">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0.25</w:t>
                  </w:r>
                </w:p>
              </w:tc>
              <w:tc>
                <w:tcPr>
                  <w:tcW w:w="879" w:type="pct"/>
                  <w:tcBorders>
                    <w:tl2br w:val="nil"/>
                    <w:tr2bl w:val="nil"/>
                  </w:tcBorders>
                  <w:noWrap w:val="0"/>
                  <w:vAlign w:val="center"/>
                </w:tcPr>
                <w:p w14:paraId="73B5244E">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矿物油</w:t>
                  </w:r>
                </w:p>
              </w:tc>
              <w:tc>
                <w:tcPr>
                  <w:tcW w:w="604" w:type="pct"/>
                  <w:tcBorders>
                    <w:tl2br w:val="nil"/>
                    <w:tr2bl w:val="nil"/>
                  </w:tcBorders>
                  <w:noWrap w:val="0"/>
                  <w:vAlign w:val="center"/>
                </w:tcPr>
                <w:p w14:paraId="57134D19">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易燃物质</w:t>
                  </w:r>
                </w:p>
              </w:tc>
              <w:tc>
                <w:tcPr>
                  <w:tcW w:w="488" w:type="pct"/>
                  <w:tcBorders>
                    <w:tl2br w:val="nil"/>
                    <w:tr2bl w:val="nil"/>
                  </w:tcBorders>
                  <w:noWrap w:val="0"/>
                  <w:vAlign w:val="center"/>
                </w:tcPr>
                <w:p w14:paraId="1CCE7ACC">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2500</w:t>
                  </w:r>
                </w:p>
              </w:tc>
              <w:tc>
                <w:tcPr>
                  <w:tcW w:w="538" w:type="pct"/>
                  <w:vMerge w:val="continue"/>
                  <w:tcBorders>
                    <w:tl2br w:val="nil"/>
                    <w:tr2bl w:val="nil"/>
                  </w:tcBorders>
                  <w:noWrap w:val="0"/>
                  <w:vAlign w:val="center"/>
                </w:tcPr>
                <w:p w14:paraId="30DBACF0">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41675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5000" w:type="pct"/>
                  <w:gridSpan w:val="8"/>
                  <w:tcBorders>
                    <w:tl2br w:val="nil"/>
                    <w:tr2bl w:val="nil"/>
                  </w:tcBorders>
                  <w:noWrap w:val="0"/>
                  <w:vAlign w:val="center"/>
                </w:tcPr>
                <w:p w14:paraId="7B7A7EA4">
                  <w:pPr>
                    <w:pStyle w:val="41"/>
                    <w:keepNext w:val="0"/>
                    <w:keepLines w:val="0"/>
                    <w:pageBreakBefore w:val="0"/>
                    <w:widowControl w:val="0"/>
                    <w:kinsoku/>
                    <w:wordWrap/>
                    <w:overflowPunct/>
                    <w:topLinePunct w:val="0"/>
                    <w:autoSpaceDE w:val="0"/>
                    <w:autoSpaceDN w:val="0"/>
                    <w:bidi w:val="0"/>
                    <w:adjustRightInd w:val="0"/>
                    <w:snapToGrid w:val="0"/>
                    <w:spacing w:before="0" w:after="0" w:line="320" w:lineRule="exact"/>
                    <w:ind w:left="0" w:leftChars="0" w:firstLine="0"/>
                    <w:jc w:val="both"/>
                    <w:textAlignment w:val="baseline"/>
                    <w:outlineLvl w:val="9"/>
                    <w:rPr>
                      <w:rFonts w:hint="eastAsia" w:eastAsia="宋体"/>
                      <w:color w:val="auto"/>
                      <w:sz w:val="21"/>
                      <w:szCs w:val="21"/>
                      <w:lang w:val="en-US" w:eastAsia="zh-CN"/>
                    </w:rPr>
                  </w:pPr>
                  <w:r>
                    <w:rPr>
                      <w:rFonts w:hint="default" w:ascii="Times New Roman" w:hAnsi="Times New Roman" w:eastAsia="宋体" w:cs="Times New Roman"/>
                      <w:color w:val="auto"/>
                      <w:kern w:val="0"/>
                      <w:sz w:val="18"/>
                      <w:szCs w:val="18"/>
                    </w:rPr>
                    <w:t>备注：</w:t>
                  </w:r>
                  <w:r>
                    <w:rPr>
                      <w:rFonts w:hint="eastAsia" w:ascii="Times New Roman" w:hAnsi="Times New Roman" w:eastAsia="宋体" w:cs="Times New Roman"/>
                      <w:color w:val="auto"/>
                      <w:kern w:val="0"/>
                      <w:sz w:val="18"/>
                      <w:szCs w:val="18"/>
                      <w:lang w:val="en-US" w:eastAsia="zh-CN" w:bidi="ar-SA"/>
                    </w:rPr>
                    <w:t>（1）</w:t>
                  </w:r>
                  <w:r>
                    <w:rPr>
                      <w:rFonts w:hint="default" w:ascii="Times New Roman" w:hAnsi="Times New Roman" w:eastAsia="宋体" w:cs="Times New Roman"/>
                      <w:color w:val="auto"/>
                      <w:kern w:val="2"/>
                      <w:sz w:val="18"/>
                      <w:szCs w:val="18"/>
                      <w:highlight w:val="none"/>
                      <w:lang w:val="en-US" w:eastAsia="zh-CN" w:bidi="ar-SA"/>
                    </w:rPr>
                    <w:t>因项目物质未直接列入《建设项目环境风险评价技术导则》</w:t>
                  </w:r>
                  <w:r>
                    <w:rPr>
                      <w:rFonts w:hint="eastAsia" w:eastAsia="宋体" w:cs="Times New Roman"/>
                      <w:color w:val="auto"/>
                      <w:kern w:val="2"/>
                      <w:sz w:val="18"/>
                      <w:szCs w:val="18"/>
                      <w:highlight w:val="none"/>
                      <w:lang w:val="en-US" w:eastAsia="zh-CN" w:bidi="ar-SA"/>
                    </w:rPr>
                    <w:t>（</w:t>
                  </w:r>
                  <w:r>
                    <w:rPr>
                      <w:rFonts w:hint="default" w:ascii="Times New Roman" w:hAnsi="Times New Roman" w:eastAsia="宋体" w:cs="Times New Roman"/>
                      <w:color w:val="auto"/>
                      <w:kern w:val="2"/>
                      <w:sz w:val="18"/>
                      <w:szCs w:val="18"/>
                      <w:highlight w:val="none"/>
                      <w:lang w:val="en-US" w:eastAsia="zh-CN" w:bidi="ar-SA"/>
                    </w:rPr>
                    <w:t>HJ 169-2018</w:t>
                  </w:r>
                  <w:r>
                    <w:rPr>
                      <w:rFonts w:hint="eastAsia" w:eastAsia="宋体" w:cs="Times New Roman"/>
                      <w:color w:val="auto"/>
                      <w:kern w:val="2"/>
                      <w:sz w:val="18"/>
                      <w:szCs w:val="18"/>
                      <w:highlight w:val="none"/>
                      <w:lang w:val="en-US" w:eastAsia="zh-CN" w:bidi="ar-SA"/>
                    </w:rPr>
                    <w:t>）</w:t>
                  </w:r>
                  <w:r>
                    <w:rPr>
                      <w:rFonts w:hint="default" w:ascii="Times New Roman" w:hAnsi="Times New Roman" w:eastAsia="宋体" w:cs="Times New Roman"/>
                      <w:color w:val="auto"/>
                      <w:kern w:val="2"/>
                      <w:sz w:val="18"/>
                      <w:szCs w:val="18"/>
                      <w:highlight w:val="none"/>
                      <w:lang w:val="en-US" w:eastAsia="zh-CN" w:bidi="ar-SA"/>
                    </w:rPr>
                    <w:t>附录B表B.1突发环境事件风险物质及临界量内，但</w:t>
                  </w:r>
                  <w:r>
                    <w:rPr>
                      <w:rFonts w:hint="eastAsia" w:ascii="Times New Roman" w:hAnsi="Times New Roman" w:eastAsia="宋体" w:cs="Times New Roman"/>
                      <w:color w:val="auto"/>
                      <w:kern w:val="2"/>
                      <w:sz w:val="18"/>
                      <w:szCs w:val="18"/>
                      <w:highlight w:val="none"/>
                      <w:lang w:val="en-US" w:eastAsia="zh-CN" w:bidi="ar-SA"/>
                    </w:rPr>
                    <w:t>其属于环境风险物质，</w:t>
                  </w:r>
                  <w:r>
                    <w:rPr>
                      <w:rFonts w:hint="eastAsia" w:ascii="宋体" w:hAnsi="宋体" w:eastAsia="宋体" w:cs="宋体"/>
                      <w:color w:val="auto"/>
                      <w:kern w:val="0"/>
                      <w:sz w:val="18"/>
                      <w:szCs w:val="18"/>
                      <w:lang w:val="en-US" w:eastAsia="zh-CN" w:bidi="ar"/>
                    </w:rPr>
                    <w:t>危险废物临界量参考《建设项目环境风险评价技术导则》（</w:t>
                  </w:r>
                  <w:r>
                    <w:rPr>
                      <w:rFonts w:hint="default" w:ascii="Times New Roman" w:hAnsi="Times New Roman" w:eastAsia="宋体" w:cs="Times New Roman"/>
                      <w:color w:val="auto"/>
                      <w:kern w:val="0"/>
                      <w:sz w:val="18"/>
                      <w:szCs w:val="18"/>
                      <w:lang w:val="en-US" w:eastAsia="zh-CN" w:bidi="ar"/>
                    </w:rPr>
                    <w:t>HJ 169-2018</w:t>
                  </w:r>
                  <w:r>
                    <w:rPr>
                      <w:rFonts w:hint="eastAsia" w:ascii="宋体" w:hAnsi="宋体" w:eastAsia="宋体" w:cs="宋体"/>
                      <w:color w:val="auto"/>
                      <w:kern w:val="0"/>
                      <w:sz w:val="18"/>
                      <w:szCs w:val="18"/>
                      <w:lang w:val="en-US" w:eastAsia="zh-CN" w:bidi="ar"/>
                    </w:rPr>
                    <w:t>）附录</w:t>
                  </w:r>
                  <w:r>
                    <w:rPr>
                      <w:rFonts w:hint="default" w:ascii="Times New Roman" w:hAnsi="Times New Roman" w:eastAsia="宋体" w:cs="Times New Roman"/>
                      <w:color w:val="auto"/>
                      <w:kern w:val="0"/>
                      <w:sz w:val="18"/>
                      <w:szCs w:val="18"/>
                      <w:lang w:val="en-US" w:eastAsia="zh-CN" w:bidi="ar"/>
                    </w:rPr>
                    <w:t>B</w:t>
                  </w:r>
                  <w:r>
                    <w:rPr>
                      <w:rFonts w:hint="eastAsia" w:ascii="宋体" w:hAnsi="宋体" w:eastAsia="宋体" w:cs="宋体"/>
                      <w:color w:val="auto"/>
                      <w:kern w:val="0"/>
                      <w:sz w:val="18"/>
                      <w:szCs w:val="18"/>
                      <w:lang w:val="en-US" w:eastAsia="zh-CN" w:bidi="ar"/>
                    </w:rPr>
                    <w:t>的表</w:t>
                  </w:r>
                  <w:r>
                    <w:rPr>
                      <w:rFonts w:hint="default" w:ascii="Times New Roman" w:hAnsi="Times New Roman" w:eastAsia="宋体" w:cs="Times New Roman"/>
                      <w:color w:val="auto"/>
                      <w:kern w:val="0"/>
                      <w:sz w:val="18"/>
                      <w:szCs w:val="18"/>
                      <w:lang w:val="en-US" w:eastAsia="zh-CN" w:bidi="ar"/>
                    </w:rPr>
                    <w:t>B.2</w:t>
                  </w:r>
                  <w:r>
                    <w:rPr>
                      <w:rFonts w:hint="eastAsia" w:ascii="宋体" w:hAnsi="宋体" w:eastAsia="宋体" w:cs="宋体"/>
                      <w:color w:val="auto"/>
                      <w:kern w:val="0"/>
                      <w:sz w:val="18"/>
                      <w:szCs w:val="18"/>
                      <w:lang w:val="en-US" w:eastAsia="zh-CN" w:bidi="ar"/>
                    </w:rPr>
                    <w:t>中健康危险急性毒性物质（类别</w:t>
                  </w:r>
                  <w:r>
                    <w:rPr>
                      <w:rFonts w:hint="default" w:ascii="Times New Roman" w:hAnsi="Times New Roman" w:eastAsia="宋体" w:cs="Times New Roman"/>
                      <w:color w:val="auto"/>
                      <w:kern w:val="0"/>
                      <w:sz w:val="18"/>
                      <w:szCs w:val="18"/>
                      <w:lang w:val="en-US" w:eastAsia="zh-CN" w:bidi="ar"/>
                    </w:rPr>
                    <w:t>2</w:t>
                  </w:r>
                  <w:r>
                    <w:rPr>
                      <w:rFonts w:hint="eastAsia" w:ascii="宋体" w:hAnsi="宋体" w:eastAsia="宋体" w:cs="宋体"/>
                      <w:color w:val="auto"/>
                      <w:kern w:val="0"/>
                      <w:sz w:val="18"/>
                      <w:szCs w:val="18"/>
                      <w:lang w:val="en-US" w:eastAsia="zh-CN" w:bidi="ar"/>
                    </w:rPr>
                    <w:t>，类别</w:t>
                  </w:r>
                  <w:r>
                    <w:rPr>
                      <w:rFonts w:hint="default" w:ascii="Times New Roman" w:hAnsi="Times New Roman" w:eastAsia="宋体" w:cs="Times New Roman"/>
                      <w:color w:val="auto"/>
                      <w:kern w:val="0"/>
                      <w:sz w:val="18"/>
                      <w:szCs w:val="18"/>
                      <w:lang w:val="en-US" w:eastAsia="zh-CN" w:bidi="ar"/>
                    </w:rPr>
                    <w:t>3</w:t>
                  </w:r>
                  <w:r>
                    <w:rPr>
                      <w:rFonts w:hint="eastAsia" w:ascii="宋体" w:hAnsi="宋体" w:eastAsia="宋体" w:cs="宋体"/>
                      <w:color w:val="auto"/>
                      <w:kern w:val="0"/>
                      <w:sz w:val="18"/>
                      <w:szCs w:val="18"/>
                      <w:lang w:val="en-US" w:eastAsia="zh-CN" w:bidi="ar"/>
                    </w:rPr>
                    <w:t>）的推荐临界量</w:t>
                  </w:r>
                  <w:r>
                    <w:rPr>
                      <w:rFonts w:hint="default" w:ascii="Times New Roman" w:hAnsi="Times New Roman" w:eastAsia="宋体" w:cs="Times New Roman"/>
                      <w:color w:val="auto"/>
                      <w:kern w:val="0"/>
                      <w:sz w:val="18"/>
                      <w:szCs w:val="18"/>
                      <w:lang w:val="en-US" w:eastAsia="zh-CN" w:bidi="ar"/>
                    </w:rPr>
                    <w:t>50t</w:t>
                  </w:r>
                </w:p>
              </w:tc>
            </w:tr>
          </w:tbl>
          <w:p w14:paraId="23A5F68E">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根据表4.6-1计算可知，项目环境风险物质数量与临界量比值Q=0.0801＜1，根据《建设项目环境风险评价技术导则》</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HJ 169-2018</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附录C可知，当Q＜1时，该项目环境风险潜势为Ⅰ，环境风险潜势为Ⅰ时，评价工作级别简单分析，因此，本评价主要在描述环境影响途径、环境危害后果、风险防范措施等方面给出定性说明。</w:t>
            </w:r>
          </w:p>
          <w:p w14:paraId="76B6DD7D">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cs="Times New Roman"/>
                <w:b/>
                <w:bCs/>
                <w:color w:val="auto"/>
                <w:sz w:val="24"/>
                <w:highlight w:val="none"/>
                <w:lang w:val="en-US" w:eastAsia="zh-CN"/>
              </w:rPr>
            </w:pPr>
            <w:bookmarkStart w:id="134" w:name="_Toc13783"/>
            <w:r>
              <w:rPr>
                <w:rFonts w:hint="eastAsia" w:cs="Times New Roman"/>
                <w:b/>
                <w:bCs/>
                <w:color w:val="auto"/>
                <w:sz w:val="24"/>
                <w:highlight w:val="none"/>
                <w:lang w:val="en-US" w:eastAsia="zh-CN"/>
              </w:rPr>
              <w:t>4.6.2</w:t>
            </w:r>
            <w:r>
              <w:rPr>
                <w:rFonts w:hint="default" w:ascii="Times New Roman" w:hAnsi="Times New Roman" w:cs="Times New Roman"/>
                <w:b/>
                <w:bCs/>
                <w:color w:val="auto"/>
                <w:sz w:val="24"/>
                <w:highlight w:val="none"/>
                <w:lang w:val="en-US" w:eastAsia="zh-CN"/>
              </w:rPr>
              <w:t xml:space="preserve"> 环境风险识别</w:t>
            </w:r>
            <w:bookmarkEnd w:id="134"/>
          </w:p>
          <w:p w14:paraId="70747BF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黑体" w:cs="Times New Roman"/>
                <w:color w:val="auto"/>
                <w:kern w:val="0"/>
                <w:sz w:val="24"/>
                <w:highlight w:val="none"/>
              </w:rPr>
            </w:pPr>
            <w:r>
              <w:rPr>
                <w:rFonts w:hint="default" w:ascii="Times New Roman" w:hAnsi="Times New Roman" w:cs="Times New Roman"/>
                <w:color w:val="auto"/>
                <w:kern w:val="0"/>
                <w:sz w:val="24"/>
                <w:highlight w:val="none"/>
              </w:rPr>
              <w:t>通过对项目</w:t>
            </w:r>
            <w:r>
              <w:rPr>
                <w:rFonts w:hint="eastAsia" w:ascii="Times New Roman" w:hAnsi="Times New Roman" w:cs="Times New Roman"/>
                <w:color w:val="auto"/>
                <w:kern w:val="0"/>
                <w:sz w:val="24"/>
                <w:highlight w:val="none"/>
                <w:lang w:val="en-US" w:eastAsia="zh-CN"/>
              </w:rPr>
              <w:t>环境风险</w:t>
            </w:r>
            <w:r>
              <w:rPr>
                <w:rFonts w:hint="default" w:ascii="Times New Roman" w:hAnsi="Times New Roman" w:cs="Times New Roman"/>
                <w:color w:val="auto"/>
                <w:kern w:val="0"/>
                <w:sz w:val="24"/>
                <w:highlight w:val="none"/>
              </w:rPr>
              <w:t>识别，项目</w:t>
            </w:r>
            <w:r>
              <w:rPr>
                <w:rFonts w:hint="default" w:ascii="Times New Roman" w:hAnsi="Times New Roman" w:cs="Times New Roman"/>
                <w:color w:val="auto"/>
                <w:kern w:val="0"/>
                <w:sz w:val="24"/>
                <w:highlight w:val="none"/>
                <w:lang w:eastAsia="zh-CN"/>
              </w:rPr>
              <w:t>潜在环境风险事故</w:t>
            </w:r>
            <w:r>
              <w:rPr>
                <w:rFonts w:hint="default" w:ascii="Times New Roman" w:hAnsi="Times New Roman" w:cs="Times New Roman"/>
                <w:color w:val="auto"/>
                <w:kern w:val="0"/>
                <w:sz w:val="24"/>
                <w:highlight w:val="none"/>
              </w:rPr>
              <w:t>识别结果见</w:t>
            </w:r>
            <w:r>
              <w:rPr>
                <w:rFonts w:hint="default" w:ascii="Times New Roman" w:hAnsi="Times New Roman" w:cs="Times New Roman"/>
                <w:color w:val="auto"/>
                <w:kern w:val="0"/>
                <w:sz w:val="24"/>
                <w:highlight w:val="none"/>
                <w:lang w:eastAsia="zh-CN"/>
              </w:rPr>
              <w:t>下表</w:t>
            </w:r>
            <w:r>
              <w:rPr>
                <w:rFonts w:hint="eastAsia" w:cs="Times New Roman"/>
                <w:color w:val="auto"/>
                <w:kern w:val="0"/>
                <w:sz w:val="24"/>
                <w:highlight w:val="none"/>
                <w:lang w:val="en-US" w:eastAsia="zh-CN"/>
              </w:rPr>
              <w:t>4.6</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lang w:eastAsia="zh-CN"/>
              </w:rPr>
              <w:t>。</w:t>
            </w:r>
          </w:p>
          <w:p w14:paraId="04142ABD">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4.6</w:t>
            </w:r>
            <w:r>
              <w:rPr>
                <w:rFonts w:hint="default" w:ascii="Times New Roman" w:hAnsi="Times New Roman" w:eastAsia="宋体" w:cs="Times New Roman"/>
                <w:b/>
                <w:bCs/>
                <w:color w:val="auto"/>
                <w:sz w:val="24"/>
                <w:lang w:val="en-US" w:eastAsia="zh-CN"/>
              </w:rPr>
              <w:t>-</w:t>
            </w:r>
            <w:r>
              <w:rPr>
                <w:rFonts w:hint="eastAsia"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项目</w:t>
            </w:r>
            <w:r>
              <w:rPr>
                <w:rFonts w:hint="default" w:ascii="Times New Roman" w:hAnsi="Times New Roman" w:eastAsia="宋体" w:cs="Times New Roman"/>
                <w:b/>
                <w:bCs/>
                <w:color w:val="auto"/>
                <w:sz w:val="24"/>
                <w:lang w:eastAsia="zh-CN"/>
              </w:rPr>
              <w:t>潜在环境风险事故</w:t>
            </w:r>
            <w:r>
              <w:rPr>
                <w:rFonts w:hint="default" w:ascii="Times New Roman" w:hAnsi="Times New Roman" w:eastAsia="宋体" w:cs="Times New Roman"/>
                <w:b/>
                <w:bCs/>
                <w:color w:val="auto"/>
                <w:sz w:val="24"/>
              </w:rPr>
              <w:t>一览表</w:t>
            </w:r>
          </w:p>
          <w:tbl>
            <w:tblPr>
              <w:tblStyle w:val="22"/>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27"/>
              <w:gridCol w:w="1793"/>
              <w:gridCol w:w="3376"/>
              <w:gridCol w:w="2194"/>
            </w:tblGrid>
            <w:tr w14:paraId="22FBC0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noWrap w:val="0"/>
                  <w:vAlign w:val="center"/>
                </w:tcPr>
                <w:p w14:paraId="414A9050">
                  <w:pPr>
                    <w:pStyle w:val="61"/>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bookmarkStart w:id="135" w:name="_Toc215736207"/>
                  <w:r>
                    <w:rPr>
                      <w:rFonts w:hint="default" w:ascii="Times New Roman" w:hAnsi="Times New Roman" w:cs="Times New Roman"/>
                      <w:color w:val="auto"/>
                      <w:sz w:val="21"/>
                      <w:szCs w:val="21"/>
                      <w:highlight w:val="none"/>
                      <w:u w:val="none"/>
                    </w:rPr>
                    <w:t>潜在事故</w:t>
                  </w:r>
                </w:p>
                <w:p w14:paraId="52F9146B">
                  <w:pPr>
                    <w:pStyle w:val="61"/>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类型</w:t>
                  </w:r>
                </w:p>
              </w:tc>
              <w:tc>
                <w:tcPr>
                  <w:tcW w:w="1043" w:type="pct"/>
                  <w:noWrap w:val="0"/>
                  <w:vAlign w:val="center"/>
                </w:tcPr>
                <w:p w14:paraId="55B8CC3F">
                  <w:pPr>
                    <w:pStyle w:val="61"/>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事故原因</w:t>
                  </w:r>
                </w:p>
              </w:tc>
              <w:tc>
                <w:tcPr>
                  <w:tcW w:w="1964" w:type="pct"/>
                  <w:noWrap w:val="0"/>
                  <w:vAlign w:val="center"/>
                </w:tcPr>
                <w:p w14:paraId="5A6CA3CF">
                  <w:pPr>
                    <w:pStyle w:val="61"/>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环境影响途径</w:t>
                  </w:r>
                </w:p>
              </w:tc>
              <w:tc>
                <w:tcPr>
                  <w:tcW w:w="1276" w:type="pct"/>
                  <w:noWrap w:val="0"/>
                  <w:vAlign w:val="center"/>
                </w:tcPr>
                <w:p w14:paraId="04C874C6">
                  <w:pPr>
                    <w:pStyle w:val="61"/>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环境危害后果</w:t>
                  </w:r>
                </w:p>
              </w:tc>
            </w:tr>
            <w:tr w14:paraId="0DB27E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0" w:hRule="atLeast"/>
                <w:jc w:val="center"/>
              </w:trPr>
              <w:tc>
                <w:tcPr>
                  <w:tcW w:w="714" w:type="pct"/>
                  <w:noWrap w:val="0"/>
                  <w:vAlign w:val="center"/>
                </w:tcPr>
                <w:p w14:paraId="0B9F54AD">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废气事故</w:t>
                  </w:r>
                </w:p>
                <w:p w14:paraId="31CDD5DE">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排放</w:t>
                  </w:r>
                </w:p>
              </w:tc>
              <w:tc>
                <w:tcPr>
                  <w:tcW w:w="1043" w:type="pct"/>
                  <w:noWrap w:val="0"/>
                  <w:vAlign w:val="center"/>
                </w:tcPr>
                <w:p w14:paraId="43D143F4">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废气处理</w:t>
                  </w:r>
                </w:p>
                <w:p w14:paraId="3A65E447">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设施故障</w:t>
                  </w:r>
                </w:p>
              </w:tc>
              <w:tc>
                <w:tcPr>
                  <w:tcW w:w="1964" w:type="pct"/>
                  <w:noWrap w:val="0"/>
                  <w:vAlign w:val="center"/>
                </w:tcPr>
                <w:p w14:paraId="381A8411">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废气</w:t>
                  </w:r>
                  <w:r>
                    <w:rPr>
                      <w:rFonts w:hint="eastAsia" w:ascii="Times New Roman" w:hAnsi="Times New Roman" w:eastAsia="宋体" w:cs="Times New Roman"/>
                      <w:b w:val="0"/>
                      <w:bCs/>
                      <w:color w:val="auto"/>
                      <w:sz w:val="21"/>
                      <w:szCs w:val="21"/>
                      <w:highlight w:val="none"/>
                      <w:vertAlign w:val="baseline"/>
                      <w:lang w:val="en-US" w:eastAsia="zh-CN"/>
                    </w:rPr>
                    <w:t>未经处理</w:t>
                  </w:r>
                  <w:r>
                    <w:rPr>
                      <w:rFonts w:hint="default" w:ascii="Times New Roman" w:hAnsi="Times New Roman" w:eastAsia="宋体" w:cs="Times New Roman"/>
                      <w:b w:val="0"/>
                      <w:bCs/>
                      <w:color w:val="auto"/>
                      <w:sz w:val="21"/>
                      <w:szCs w:val="21"/>
                      <w:highlight w:val="none"/>
                      <w:vertAlign w:val="baseline"/>
                      <w:lang w:val="en-US" w:eastAsia="zh-CN"/>
                    </w:rPr>
                    <w:t>全部</w:t>
                  </w:r>
                  <w:r>
                    <w:rPr>
                      <w:rFonts w:hint="eastAsia" w:ascii="Times New Roman" w:hAnsi="Times New Roman" w:eastAsia="宋体" w:cs="Times New Roman"/>
                      <w:b w:val="0"/>
                      <w:bCs/>
                      <w:color w:val="auto"/>
                      <w:sz w:val="21"/>
                      <w:szCs w:val="21"/>
                      <w:highlight w:val="none"/>
                      <w:vertAlign w:val="baseline"/>
                      <w:lang w:val="en-US" w:eastAsia="zh-CN"/>
                    </w:rPr>
                    <w:t>直接</w:t>
                  </w:r>
                  <w:r>
                    <w:rPr>
                      <w:rFonts w:hint="default" w:ascii="Times New Roman" w:hAnsi="Times New Roman" w:eastAsia="宋体" w:cs="Times New Roman"/>
                      <w:b w:val="0"/>
                      <w:bCs/>
                      <w:color w:val="auto"/>
                      <w:sz w:val="21"/>
                      <w:szCs w:val="21"/>
                      <w:highlight w:val="none"/>
                      <w:vertAlign w:val="baseline"/>
                      <w:lang w:val="en-US" w:eastAsia="zh-CN"/>
                    </w:rPr>
                    <w:t>排放扩散</w:t>
                  </w:r>
                </w:p>
              </w:tc>
              <w:tc>
                <w:tcPr>
                  <w:tcW w:w="1276" w:type="pct"/>
                  <w:noWrap w:val="0"/>
                  <w:vAlign w:val="center"/>
                </w:tcPr>
                <w:p w14:paraId="29C67C96">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对大气环境有</w:t>
                  </w:r>
                  <w:r>
                    <w:rPr>
                      <w:rFonts w:hint="eastAsia" w:ascii="Times New Roman" w:hAnsi="Times New Roman" w:eastAsia="宋体" w:cs="Times New Roman"/>
                      <w:b w:val="0"/>
                      <w:bCs/>
                      <w:color w:val="auto"/>
                      <w:sz w:val="21"/>
                      <w:szCs w:val="21"/>
                      <w:highlight w:val="none"/>
                      <w:vertAlign w:val="baseline"/>
                      <w:lang w:val="en-US" w:eastAsia="zh-CN"/>
                    </w:rPr>
                    <w:t>轻微的</w:t>
                  </w:r>
                  <w:r>
                    <w:rPr>
                      <w:rFonts w:hint="default" w:ascii="Times New Roman" w:hAnsi="Times New Roman" w:eastAsia="宋体" w:cs="Times New Roman"/>
                      <w:b w:val="0"/>
                      <w:bCs/>
                      <w:color w:val="auto"/>
                      <w:sz w:val="21"/>
                      <w:szCs w:val="21"/>
                      <w:highlight w:val="none"/>
                      <w:vertAlign w:val="baseline"/>
                      <w:lang w:val="en-US" w:eastAsia="zh-CN"/>
                    </w:rPr>
                    <w:t>影响</w:t>
                  </w:r>
                </w:p>
              </w:tc>
            </w:tr>
            <w:tr w14:paraId="7787ED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65" w:hRule="atLeast"/>
                <w:jc w:val="center"/>
              </w:trPr>
              <w:tc>
                <w:tcPr>
                  <w:tcW w:w="714" w:type="pct"/>
                  <w:vMerge w:val="restart"/>
                  <w:noWrap w:val="0"/>
                  <w:vAlign w:val="center"/>
                </w:tcPr>
                <w:p w14:paraId="03DEC638">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危险废物</w:t>
                  </w:r>
                </w:p>
                <w:p w14:paraId="1CE18118">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等</w:t>
                  </w:r>
                  <w:r>
                    <w:rPr>
                      <w:rFonts w:hint="default" w:ascii="Times New Roman" w:hAnsi="Times New Roman" w:eastAsia="宋体" w:cs="Times New Roman"/>
                      <w:b w:val="0"/>
                      <w:bCs/>
                      <w:color w:val="auto"/>
                      <w:sz w:val="21"/>
                      <w:szCs w:val="21"/>
                      <w:highlight w:val="none"/>
                      <w:vertAlign w:val="baseline"/>
                      <w:lang w:val="en-US" w:eastAsia="zh-CN"/>
                    </w:rPr>
                    <w:t>泄漏</w:t>
                  </w:r>
                </w:p>
              </w:tc>
              <w:tc>
                <w:tcPr>
                  <w:tcW w:w="1043" w:type="pct"/>
                  <w:noWrap w:val="0"/>
                  <w:vAlign w:val="center"/>
                </w:tcPr>
                <w:p w14:paraId="61F4C270">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包装</w:t>
                  </w:r>
                  <w:r>
                    <w:rPr>
                      <w:rFonts w:hint="default" w:ascii="Times New Roman" w:hAnsi="Times New Roman" w:eastAsia="宋体" w:cs="Times New Roman"/>
                      <w:b w:val="0"/>
                      <w:bCs/>
                      <w:color w:val="auto"/>
                      <w:sz w:val="21"/>
                      <w:szCs w:val="21"/>
                      <w:highlight w:val="none"/>
                      <w:vertAlign w:val="baseline"/>
                      <w:lang w:val="en-US" w:eastAsia="zh-CN"/>
                    </w:rPr>
                    <w:t>桶泄漏</w:t>
                  </w:r>
                </w:p>
              </w:tc>
              <w:tc>
                <w:tcPr>
                  <w:tcW w:w="1964" w:type="pct"/>
                  <w:noWrap w:val="0"/>
                  <w:vAlign w:val="center"/>
                </w:tcPr>
                <w:p w14:paraId="3D54637C">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渗入土壤及排入周边水体、有机废气全部以无组织方式排放扩散</w:t>
                  </w:r>
                </w:p>
              </w:tc>
              <w:tc>
                <w:tcPr>
                  <w:tcW w:w="1276" w:type="pct"/>
                  <w:vMerge w:val="restart"/>
                  <w:noWrap w:val="0"/>
                  <w:vAlign w:val="center"/>
                </w:tcPr>
                <w:p w14:paraId="03DD744C">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对周边</w:t>
                  </w:r>
                  <w:r>
                    <w:rPr>
                      <w:rFonts w:hint="eastAsia" w:ascii="Times New Roman" w:hAnsi="Times New Roman" w:eastAsia="宋体" w:cs="Times New Roman"/>
                      <w:b w:val="0"/>
                      <w:bCs/>
                      <w:color w:val="auto"/>
                      <w:sz w:val="21"/>
                      <w:szCs w:val="21"/>
                      <w:highlight w:val="none"/>
                      <w:vertAlign w:val="baseline"/>
                      <w:lang w:val="en-US" w:eastAsia="zh-CN"/>
                    </w:rPr>
                    <w:t>土壤、</w:t>
                  </w:r>
                  <w:r>
                    <w:rPr>
                      <w:rFonts w:hint="default" w:ascii="Times New Roman" w:hAnsi="Times New Roman" w:eastAsia="宋体" w:cs="Times New Roman"/>
                      <w:b w:val="0"/>
                      <w:bCs/>
                      <w:color w:val="auto"/>
                      <w:sz w:val="21"/>
                      <w:szCs w:val="21"/>
                      <w:highlight w:val="none"/>
                      <w:vertAlign w:val="baseline"/>
                      <w:lang w:val="en-US" w:eastAsia="zh-CN"/>
                    </w:rPr>
                    <w:t>地下水及周边</w:t>
                  </w:r>
                  <w:r>
                    <w:rPr>
                      <w:rFonts w:hint="eastAsia" w:ascii="Times New Roman" w:hAnsi="Times New Roman" w:eastAsia="宋体" w:cs="Times New Roman"/>
                      <w:b w:val="0"/>
                      <w:bCs/>
                      <w:color w:val="auto"/>
                      <w:sz w:val="21"/>
                      <w:szCs w:val="21"/>
                      <w:highlight w:val="none"/>
                      <w:vertAlign w:val="baseline"/>
                      <w:lang w:val="en-US" w:eastAsia="zh-CN"/>
                    </w:rPr>
                    <w:t>地表水</w:t>
                  </w:r>
                  <w:r>
                    <w:rPr>
                      <w:rFonts w:hint="default" w:ascii="Times New Roman" w:hAnsi="Times New Roman" w:eastAsia="宋体" w:cs="Times New Roman"/>
                      <w:b w:val="0"/>
                      <w:bCs/>
                      <w:color w:val="auto"/>
                      <w:sz w:val="21"/>
                      <w:szCs w:val="21"/>
                      <w:highlight w:val="none"/>
                      <w:vertAlign w:val="baseline"/>
                      <w:lang w:val="en-US" w:eastAsia="zh-CN"/>
                    </w:rPr>
                    <w:t>可能造成</w:t>
                  </w:r>
                  <w:r>
                    <w:rPr>
                      <w:rFonts w:hint="eastAsia" w:ascii="Times New Roman" w:hAnsi="Times New Roman" w:eastAsia="宋体" w:cs="Times New Roman"/>
                      <w:b w:val="0"/>
                      <w:bCs/>
                      <w:color w:val="auto"/>
                      <w:sz w:val="21"/>
                      <w:szCs w:val="21"/>
                      <w:highlight w:val="none"/>
                      <w:vertAlign w:val="baseline"/>
                      <w:lang w:val="en-US" w:eastAsia="zh-CN"/>
                    </w:rPr>
                    <w:t>较大</w:t>
                  </w:r>
                  <w:r>
                    <w:rPr>
                      <w:rFonts w:hint="default" w:ascii="Times New Roman" w:hAnsi="Times New Roman" w:eastAsia="宋体" w:cs="Times New Roman"/>
                      <w:b w:val="0"/>
                      <w:bCs/>
                      <w:color w:val="auto"/>
                      <w:sz w:val="21"/>
                      <w:szCs w:val="21"/>
                      <w:highlight w:val="none"/>
                      <w:vertAlign w:val="baseline"/>
                      <w:lang w:val="en-US" w:eastAsia="zh-CN"/>
                    </w:rPr>
                    <w:t>影响、对大气环境有</w:t>
                  </w:r>
                  <w:r>
                    <w:rPr>
                      <w:rFonts w:hint="eastAsia" w:ascii="Times New Roman" w:hAnsi="Times New Roman" w:eastAsia="宋体" w:cs="Times New Roman"/>
                      <w:b w:val="0"/>
                      <w:bCs/>
                      <w:color w:val="auto"/>
                      <w:sz w:val="21"/>
                      <w:szCs w:val="21"/>
                      <w:highlight w:val="none"/>
                      <w:vertAlign w:val="baseline"/>
                      <w:lang w:val="en-US" w:eastAsia="zh-CN"/>
                    </w:rPr>
                    <w:t>轻微</w:t>
                  </w:r>
                  <w:r>
                    <w:rPr>
                      <w:rFonts w:hint="default" w:ascii="Times New Roman" w:hAnsi="Times New Roman" w:eastAsia="宋体" w:cs="Times New Roman"/>
                      <w:b w:val="0"/>
                      <w:bCs/>
                      <w:color w:val="auto"/>
                      <w:sz w:val="21"/>
                      <w:szCs w:val="21"/>
                      <w:highlight w:val="none"/>
                      <w:vertAlign w:val="baseline"/>
                      <w:lang w:val="en-US" w:eastAsia="zh-CN"/>
                    </w:rPr>
                    <w:t>影响</w:t>
                  </w:r>
                </w:p>
              </w:tc>
            </w:tr>
            <w:tr w14:paraId="50638A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vMerge w:val="continue"/>
                  <w:noWrap w:val="0"/>
                  <w:vAlign w:val="center"/>
                </w:tcPr>
                <w:p w14:paraId="637B58B3">
                  <w:pPr>
                    <w:pStyle w:val="61"/>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p>
              </w:tc>
              <w:tc>
                <w:tcPr>
                  <w:tcW w:w="1043" w:type="pct"/>
                  <w:noWrap w:val="0"/>
                  <w:vAlign w:val="center"/>
                </w:tcPr>
                <w:p w14:paraId="0A3A5C31">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运输车辆发生事故发生泄漏</w:t>
                  </w:r>
                </w:p>
              </w:tc>
              <w:tc>
                <w:tcPr>
                  <w:tcW w:w="1964" w:type="pct"/>
                  <w:noWrap w:val="0"/>
                  <w:vAlign w:val="center"/>
                </w:tcPr>
                <w:p w14:paraId="1C966F95">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渗入土壤及排入周边水体、有机废气全部以无组织方式排放扩散</w:t>
                  </w:r>
                </w:p>
              </w:tc>
              <w:tc>
                <w:tcPr>
                  <w:tcW w:w="1276" w:type="pct"/>
                  <w:vMerge w:val="continue"/>
                  <w:noWrap w:val="0"/>
                  <w:vAlign w:val="center"/>
                </w:tcPr>
                <w:p w14:paraId="2CC6564A">
                  <w:pPr>
                    <w:pStyle w:val="61"/>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p>
              </w:tc>
            </w:tr>
            <w:tr w14:paraId="0D0E18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noWrap w:val="0"/>
                  <w:vAlign w:val="center"/>
                </w:tcPr>
                <w:p w14:paraId="0FA729FD">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火灾事故</w:t>
                  </w:r>
                </w:p>
              </w:tc>
              <w:tc>
                <w:tcPr>
                  <w:tcW w:w="1043" w:type="pct"/>
                  <w:noWrap w:val="0"/>
                  <w:vAlign w:val="center"/>
                </w:tcPr>
                <w:p w14:paraId="4E5D1133">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电线短路</w:t>
                  </w:r>
                  <w:r>
                    <w:rPr>
                      <w:rFonts w:hint="eastAsia" w:ascii="Times New Roman" w:hAnsi="Times New Roman" w:eastAsia="宋体" w:cs="Times New Roman"/>
                      <w:b w:val="0"/>
                      <w:bCs/>
                      <w:color w:val="auto"/>
                      <w:sz w:val="21"/>
                      <w:szCs w:val="21"/>
                      <w:highlight w:val="none"/>
                      <w:vertAlign w:val="baseline"/>
                      <w:lang w:val="en-US" w:eastAsia="zh-CN"/>
                    </w:rPr>
                    <w:t>泄漏、</w:t>
                  </w:r>
                  <w:r>
                    <w:rPr>
                      <w:rFonts w:hint="default" w:ascii="Times New Roman" w:hAnsi="Times New Roman" w:eastAsia="宋体" w:cs="Times New Roman"/>
                      <w:b w:val="0"/>
                      <w:bCs/>
                      <w:color w:val="auto"/>
                      <w:sz w:val="21"/>
                      <w:szCs w:val="21"/>
                      <w:highlight w:val="none"/>
                      <w:vertAlign w:val="baseline"/>
                      <w:lang w:val="en-US" w:eastAsia="zh-CN"/>
                    </w:rPr>
                    <w:t>静电火花等，遇明火或高热发生火灾事故</w:t>
                  </w:r>
                </w:p>
              </w:tc>
              <w:tc>
                <w:tcPr>
                  <w:tcW w:w="1964" w:type="pct"/>
                  <w:noWrap w:val="0"/>
                  <w:vAlign w:val="center"/>
                </w:tcPr>
                <w:p w14:paraId="38435B4C">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火灾产生的热辐射、浓烟、有害气体等直接进入环境，火灾扑救过</w:t>
                  </w:r>
                  <w:r>
                    <w:rPr>
                      <w:rFonts w:hint="eastAsia" w:eastAsia="宋体" w:cs="Times New Roman"/>
                      <w:b w:val="0"/>
                      <w:bCs/>
                      <w:color w:val="auto"/>
                      <w:sz w:val="21"/>
                      <w:szCs w:val="21"/>
                      <w:highlight w:val="none"/>
                      <w:vertAlign w:val="baseline"/>
                      <w:lang w:val="en-US" w:eastAsia="zh-CN"/>
                    </w:rPr>
                    <w:t>程中</w:t>
                  </w:r>
                  <w:r>
                    <w:rPr>
                      <w:rFonts w:hint="default" w:ascii="Times New Roman" w:hAnsi="Times New Roman" w:eastAsia="宋体" w:cs="Times New Roman"/>
                      <w:b w:val="0"/>
                      <w:bCs/>
                      <w:color w:val="auto"/>
                      <w:sz w:val="21"/>
                      <w:szCs w:val="21"/>
                      <w:highlight w:val="none"/>
                      <w:vertAlign w:val="baseline"/>
                      <w:lang w:val="en-US" w:eastAsia="zh-CN"/>
                    </w:rPr>
                    <w:t>产生的消防废水全部</w:t>
                  </w:r>
                  <w:r>
                    <w:rPr>
                      <w:rFonts w:hint="eastAsia" w:ascii="Times New Roman" w:hAnsi="Times New Roman" w:eastAsia="宋体" w:cs="Times New Roman"/>
                      <w:b w:val="0"/>
                      <w:bCs/>
                      <w:color w:val="auto"/>
                      <w:sz w:val="21"/>
                      <w:szCs w:val="21"/>
                      <w:highlight w:val="none"/>
                      <w:vertAlign w:val="baseline"/>
                      <w:lang w:val="en-US" w:eastAsia="zh-CN"/>
                    </w:rPr>
                    <w:t>直接排入市政污水管网或者排入周边地表水体</w:t>
                  </w:r>
                </w:p>
              </w:tc>
              <w:tc>
                <w:tcPr>
                  <w:tcW w:w="1276" w:type="pct"/>
                  <w:noWrap w:val="0"/>
                  <w:vAlign w:val="center"/>
                </w:tcPr>
                <w:p w14:paraId="5D4C6236">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w:t>
                  </w:r>
                  <w:r>
                    <w:rPr>
                      <w:rFonts w:hint="eastAsia" w:ascii="Times New Roman" w:hAnsi="Times New Roman" w:eastAsia="宋体" w:cs="Times New Roman"/>
                      <w:b w:val="0"/>
                      <w:bCs/>
                      <w:color w:val="auto"/>
                      <w:sz w:val="21"/>
                      <w:szCs w:val="21"/>
                      <w:highlight w:val="none"/>
                      <w:vertAlign w:val="baseline"/>
                      <w:lang w:val="en-US" w:eastAsia="zh-CN"/>
                    </w:rPr>
                    <w:t>周边环境空气、对周边地表水体等均</w:t>
                  </w:r>
                  <w:r>
                    <w:rPr>
                      <w:rFonts w:hint="default" w:ascii="Times New Roman" w:hAnsi="Times New Roman" w:eastAsia="宋体" w:cs="Times New Roman"/>
                      <w:b w:val="0"/>
                      <w:bCs/>
                      <w:color w:val="auto"/>
                      <w:sz w:val="21"/>
                      <w:szCs w:val="21"/>
                      <w:highlight w:val="none"/>
                      <w:vertAlign w:val="baseline"/>
                      <w:lang w:val="en-US" w:eastAsia="zh-CN"/>
                    </w:rPr>
                    <w:t>有</w:t>
                  </w:r>
                  <w:r>
                    <w:rPr>
                      <w:rFonts w:hint="eastAsia" w:ascii="Times New Roman" w:hAnsi="Times New Roman" w:eastAsia="宋体" w:cs="Times New Roman"/>
                      <w:b w:val="0"/>
                      <w:bCs/>
                      <w:color w:val="auto"/>
                      <w:sz w:val="21"/>
                      <w:szCs w:val="21"/>
                      <w:highlight w:val="none"/>
                      <w:vertAlign w:val="baseline"/>
                      <w:lang w:val="en-US" w:eastAsia="zh-CN"/>
                    </w:rPr>
                    <w:t>较大影响</w:t>
                  </w:r>
                </w:p>
              </w:tc>
            </w:tr>
          </w:tbl>
          <w:p w14:paraId="6A0F0FAD">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outlineLvl w:val="2"/>
              <w:rPr>
                <w:rFonts w:hint="default" w:ascii="Times New Roman" w:hAnsi="Times New Roman" w:eastAsia="宋体" w:cs="Times New Roman"/>
                <w:b/>
                <w:bCs/>
                <w:color w:val="auto"/>
                <w:sz w:val="24"/>
                <w:highlight w:val="none"/>
                <w:lang w:val="en-US" w:eastAsia="zh-CN"/>
              </w:rPr>
            </w:pPr>
            <w:bookmarkStart w:id="136" w:name="_Toc13339"/>
            <w:r>
              <w:rPr>
                <w:rFonts w:hint="eastAsia" w:cs="Times New Roman"/>
                <w:b/>
                <w:bCs/>
                <w:color w:val="auto"/>
                <w:sz w:val="24"/>
                <w:highlight w:val="none"/>
                <w:lang w:val="en-US" w:eastAsia="zh-CN"/>
              </w:rPr>
              <w:t xml:space="preserve">4.6.3 </w:t>
            </w:r>
            <w:r>
              <w:rPr>
                <w:rFonts w:hint="default" w:ascii="Times New Roman" w:hAnsi="Times New Roman" w:eastAsia="宋体" w:cs="Times New Roman"/>
                <w:b/>
                <w:bCs/>
                <w:color w:val="auto"/>
                <w:sz w:val="24"/>
                <w:highlight w:val="none"/>
                <w:lang w:val="en-US" w:eastAsia="zh-CN"/>
              </w:rPr>
              <w:t>环境风险防范措施</w:t>
            </w:r>
            <w:bookmarkEnd w:id="136"/>
          </w:p>
          <w:p w14:paraId="56F26E75">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lang w:eastAsia="zh-CN"/>
              </w:rPr>
              <w:t>（1）</w:t>
            </w:r>
            <w:r>
              <w:rPr>
                <w:rFonts w:hint="eastAsia"/>
                <w:color w:val="auto"/>
                <w:kern w:val="0"/>
                <w:sz w:val="24"/>
              </w:rPr>
              <w:t>废气事故排放</w:t>
            </w:r>
            <w:r>
              <w:rPr>
                <w:color w:val="auto"/>
                <w:kern w:val="0"/>
                <w:sz w:val="24"/>
              </w:rPr>
              <w:t>风险防范措施</w:t>
            </w:r>
          </w:p>
          <w:p w14:paraId="4E7FF260">
            <w:pPr>
              <w:autoSpaceDE w:val="0"/>
              <w:autoSpaceDN w:val="0"/>
              <w:adjustRightInd w:val="0"/>
              <w:snapToGrid w:val="0"/>
              <w:spacing w:line="360" w:lineRule="auto"/>
              <w:ind w:firstLine="480" w:firstLineChars="200"/>
              <w:jc w:val="left"/>
              <w:rPr>
                <w:rFonts w:hint="eastAsia"/>
                <w:color w:val="auto"/>
                <w:kern w:val="0"/>
                <w:sz w:val="24"/>
              </w:rPr>
            </w:pPr>
            <w:r>
              <w:rPr>
                <w:color w:val="auto"/>
                <w:kern w:val="0"/>
                <w:sz w:val="24"/>
              </w:rPr>
              <w:t>①</w:t>
            </w:r>
            <w:r>
              <w:rPr>
                <w:rFonts w:hint="eastAsia"/>
                <w:color w:val="auto"/>
                <w:kern w:val="0"/>
                <w:sz w:val="24"/>
              </w:rPr>
              <w:t>定期对废气处理设施从设备到运输管道进行检修，发现问题及时解决。</w:t>
            </w:r>
          </w:p>
          <w:p w14:paraId="291755F5">
            <w:pPr>
              <w:autoSpaceDE w:val="0"/>
              <w:autoSpaceDN w:val="0"/>
              <w:adjustRightInd w:val="0"/>
              <w:snapToGrid w:val="0"/>
              <w:spacing w:line="360" w:lineRule="auto"/>
              <w:ind w:firstLine="480" w:firstLineChars="200"/>
              <w:jc w:val="left"/>
              <w:rPr>
                <w:color w:val="auto"/>
                <w:kern w:val="0"/>
                <w:sz w:val="24"/>
              </w:rPr>
            </w:pPr>
            <w:r>
              <w:rPr>
                <w:color w:val="auto"/>
                <w:kern w:val="0"/>
                <w:sz w:val="24"/>
              </w:rPr>
              <w:t>②</w:t>
            </w:r>
            <w:r>
              <w:rPr>
                <w:rFonts w:hint="eastAsia"/>
                <w:color w:val="auto"/>
                <w:kern w:val="0"/>
                <w:sz w:val="24"/>
              </w:rPr>
              <w:t>各生产岗位制定严格的操作规程和注意事项，车间工人需熟悉工作流程，严格按操作规程进行运行控制，防止操作失误导致废气事故排放。</w:t>
            </w:r>
          </w:p>
          <w:p w14:paraId="0CBCDE8F">
            <w:pPr>
              <w:autoSpaceDE w:val="0"/>
              <w:autoSpaceDN w:val="0"/>
              <w:adjustRightInd w:val="0"/>
              <w:snapToGrid w:val="0"/>
              <w:spacing w:line="360" w:lineRule="auto"/>
              <w:ind w:firstLine="480" w:firstLineChars="200"/>
              <w:jc w:val="left"/>
              <w:rPr>
                <w:rFonts w:hint="eastAsia"/>
                <w:color w:val="auto"/>
                <w:sz w:val="24"/>
              </w:rPr>
            </w:pPr>
            <w:r>
              <w:rPr>
                <w:color w:val="auto"/>
                <w:kern w:val="0"/>
                <w:sz w:val="24"/>
              </w:rPr>
              <w:t>③</w:t>
            </w:r>
            <w:r>
              <w:rPr>
                <w:rFonts w:hint="eastAsia"/>
                <w:color w:val="auto"/>
                <w:kern w:val="0"/>
                <w:sz w:val="24"/>
              </w:rPr>
              <w:t>定期更换活性炭，</w:t>
            </w:r>
            <w:r>
              <w:rPr>
                <w:color w:val="auto"/>
                <w:sz w:val="24"/>
              </w:rPr>
              <w:t>同时确保项目</w:t>
            </w:r>
            <w:r>
              <w:rPr>
                <w:rFonts w:hint="eastAsia"/>
                <w:color w:val="auto"/>
                <w:sz w:val="24"/>
                <w:lang w:eastAsia="zh-CN"/>
              </w:rPr>
              <w:t>活性炭吸附装置</w:t>
            </w:r>
            <w:r>
              <w:rPr>
                <w:color w:val="auto"/>
                <w:sz w:val="24"/>
              </w:rPr>
              <w:t>一次性装置量</w:t>
            </w:r>
            <w:r>
              <w:rPr>
                <w:rFonts w:hint="eastAsia"/>
                <w:color w:val="auto"/>
                <w:sz w:val="24"/>
              </w:rPr>
              <w:t>。</w:t>
            </w:r>
          </w:p>
          <w:p w14:paraId="42571E2C">
            <w:pPr>
              <w:autoSpaceDE w:val="0"/>
              <w:autoSpaceDN w:val="0"/>
              <w:adjustRightInd w:val="0"/>
              <w:spacing w:line="360" w:lineRule="auto"/>
              <w:ind w:firstLine="480" w:firstLineChars="200"/>
              <w:jc w:val="left"/>
              <w:rPr>
                <w:color w:val="auto"/>
                <w:kern w:val="0"/>
                <w:sz w:val="24"/>
              </w:rPr>
            </w:pPr>
            <w:r>
              <w:rPr>
                <w:rFonts w:hint="eastAsia"/>
                <w:color w:val="auto"/>
                <w:sz w:val="24"/>
                <w:lang w:eastAsia="zh-CN"/>
              </w:rPr>
              <w:t>（2）</w:t>
            </w:r>
            <w:r>
              <w:rPr>
                <w:rFonts w:hint="eastAsia"/>
                <w:color w:val="auto"/>
                <w:kern w:val="0"/>
                <w:sz w:val="24"/>
              </w:rPr>
              <w:t>危险废物等</w:t>
            </w:r>
            <w:r>
              <w:rPr>
                <w:color w:val="auto"/>
                <w:kern w:val="0"/>
                <w:sz w:val="24"/>
              </w:rPr>
              <w:t>泄漏事故风险防范措施</w:t>
            </w:r>
          </w:p>
          <w:p w14:paraId="56E5041F">
            <w:pPr>
              <w:autoSpaceDE w:val="0"/>
              <w:autoSpaceDN w:val="0"/>
              <w:adjustRightInd w:val="0"/>
              <w:snapToGrid w:val="0"/>
              <w:spacing w:line="360" w:lineRule="auto"/>
              <w:ind w:firstLine="480" w:firstLineChars="200"/>
              <w:jc w:val="left"/>
              <w:rPr>
                <w:color w:val="auto"/>
                <w:kern w:val="0"/>
                <w:sz w:val="24"/>
              </w:rPr>
            </w:pPr>
            <w:r>
              <w:rPr>
                <w:color w:val="auto"/>
                <w:kern w:val="0"/>
                <w:sz w:val="24"/>
              </w:rPr>
              <w:t>①</w:t>
            </w:r>
            <w:r>
              <w:rPr>
                <w:rFonts w:hint="eastAsia"/>
                <w:color w:val="auto"/>
                <w:kern w:val="0"/>
                <w:sz w:val="24"/>
              </w:rPr>
              <w:t>危险废物间</w:t>
            </w:r>
            <w:r>
              <w:rPr>
                <w:color w:val="auto"/>
                <w:kern w:val="0"/>
                <w:sz w:val="24"/>
              </w:rPr>
              <w:t>周围设置围堰</w:t>
            </w:r>
            <w:r>
              <w:rPr>
                <w:rFonts w:hint="eastAsia"/>
                <w:color w:val="auto"/>
                <w:kern w:val="0"/>
                <w:sz w:val="24"/>
              </w:rPr>
              <w:t>，</w:t>
            </w:r>
            <w:r>
              <w:rPr>
                <w:color w:val="auto"/>
                <w:kern w:val="0"/>
                <w:sz w:val="24"/>
              </w:rPr>
              <w:t>地面采取防渗，设置导流沟</w:t>
            </w:r>
            <w:r>
              <w:rPr>
                <w:rFonts w:hint="eastAsia"/>
                <w:color w:val="auto"/>
                <w:kern w:val="0"/>
                <w:sz w:val="24"/>
              </w:rPr>
              <w:t>，</w:t>
            </w:r>
            <w:r>
              <w:rPr>
                <w:color w:val="auto"/>
                <w:kern w:val="0"/>
                <w:sz w:val="24"/>
              </w:rPr>
              <w:t>设置警示标识等</w:t>
            </w:r>
            <w:r>
              <w:rPr>
                <w:rFonts w:hint="eastAsia"/>
                <w:color w:val="auto"/>
                <w:kern w:val="0"/>
                <w:sz w:val="24"/>
              </w:rPr>
              <w:t>。</w:t>
            </w:r>
          </w:p>
          <w:p w14:paraId="4BA6388E">
            <w:pPr>
              <w:autoSpaceDE w:val="0"/>
              <w:autoSpaceDN w:val="0"/>
              <w:adjustRightInd w:val="0"/>
              <w:snapToGrid w:val="0"/>
              <w:spacing w:line="360" w:lineRule="auto"/>
              <w:ind w:firstLine="480" w:firstLineChars="200"/>
              <w:jc w:val="left"/>
              <w:rPr>
                <w:color w:val="auto"/>
                <w:kern w:val="0"/>
                <w:sz w:val="24"/>
              </w:rPr>
            </w:pPr>
            <w:r>
              <w:rPr>
                <w:color w:val="auto"/>
                <w:kern w:val="0"/>
                <w:sz w:val="24"/>
              </w:rPr>
              <w:t>②</w:t>
            </w:r>
            <w:r>
              <w:rPr>
                <w:rFonts w:hint="eastAsia"/>
                <w:color w:val="auto"/>
                <w:kern w:val="0"/>
                <w:sz w:val="24"/>
              </w:rPr>
              <w:t>危险废物间</w:t>
            </w:r>
            <w:r>
              <w:rPr>
                <w:color w:val="auto"/>
                <w:kern w:val="0"/>
                <w:sz w:val="24"/>
              </w:rPr>
              <w:t>严禁明火，严格遵守操作规程，避免因操作失误发生事故。</w:t>
            </w:r>
          </w:p>
          <w:p w14:paraId="6E113530">
            <w:pPr>
              <w:autoSpaceDE w:val="0"/>
              <w:autoSpaceDN w:val="0"/>
              <w:adjustRightInd w:val="0"/>
              <w:snapToGrid w:val="0"/>
              <w:spacing w:line="360" w:lineRule="auto"/>
              <w:ind w:firstLine="480" w:firstLineChars="200"/>
              <w:jc w:val="left"/>
              <w:rPr>
                <w:color w:val="auto"/>
                <w:sz w:val="24"/>
              </w:rPr>
            </w:pPr>
            <w:r>
              <w:rPr>
                <w:color w:val="auto"/>
                <w:sz w:val="24"/>
              </w:rPr>
              <w:t>③</w:t>
            </w:r>
            <w:r>
              <w:rPr>
                <w:color w:val="auto"/>
                <w:kern w:val="0"/>
                <w:sz w:val="24"/>
              </w:rPr>
              <w:t>配备</w:t>
            </w:r>
            <w:r>
              <w:rPr>
                <w:color w:val="auto"/>
                <w:sz w:val="24"/>
              </w:rPr>
              <w:t>相应的堵漏材料</w:t>
            </w:r>
            <w:r>
              <w:rPr>
                <w:rFonts w:hint="eastAsia"/>
                <w:color w:val="auto"/>
                <w:sz w:val="24"/>
                <w:lang w:eastAsia="zh-CN"/>
              </w:rPr>
              <w:t>（</w:t>
            </w:r>
            <w:r>
              <w:rPr>
                <w:rFonts w:hint="eastAsia"/>
                <w:color w:val="auto"/>
                <w:sz w:val="24"/>
              </w:rPr>
              <w:t>沙袋</w:t>
            </w:r>
            <w:r>
              <w:rPr>
                <w:color w:val="auto"/>
                <w:sz w:val="24"/>
              </w:rPr>
              <w:t>、吸油毡等</w:t>
            </w:r>
            <w:r>
              <w:rPr>
                <w:rFonts w:hint="eastAsia"/>
                <w:color w:val="auto"/>
                <w:sz w:val="24"/>
                <w:lang w:eastAsia="zh-CN"/>
              </w:rPr>
              <w:t>）</w:t>
            </w:r>
            <w:r>
              <w:rPr>
                <w:color w:val="auto"/>
                <w:sz w:val="24"/>
              </w:rPr>
              <w:t>。</w:t>
            </w:r>
          </w:p>
          <w:p w14:paraId="1167B166">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④项目</w:t>
            </w:r>
            <w:r>
              <w:rPr>
                <w:rFonts w:hint="eastAsia" w:ascii="Times New Roman" w:hAnsi="Times New Roman" w:eastAsia="宋体" w:cs="Times New Roman"/>
                <w:color w:val="auto"/>
                <w:kern w:val="0"/>
                <w:sz w:val="24"/>
                <w:highlight w:val="none"/>
                <w:u w:val="none"/>
                <w:lang w:val="en-US" w:eastAsia="zh-CN"/>
              </w:rPr>
              <w:t>危险废物贮存库</w:t>
            </w:r>
            <w:r>
              <w:rPr>
                <w:rFonts w:hint="default" w:ascii="Times New Roman" w:hAnsi="Times New Roman" w:eastAsia="宋体" w:cs="Times New Roman"/>
                <w:color w:val="auto"/>
                <w:kern w:val="0"/>
                <w:sz w:val="24"/>
                <w:highlight w:val="none"/>
                <w:u w:val="none"/>
                <w:lang w:val="en-US" w:eastAsia="zh-CN"/>
              </w:rPr>
              <w:t>应按照《危险废物贮存污染控制标准》</w:t>
            </w:r>
            <w:r>
              <w:rPr>
                <w:rFonts w:hint="eastAsia" w:cs="Times New Roman"/>
                <w:color w:val="auto"/>
                <w:kern w:val="0"/>
                <w:sz w:val="24"/>
                <w:highlight w:val="none"/>
                <w:u w:val="none"/>
                <w:lang w:val="en-US" w:eastAsia="zh-CN"/>
              </w:rPr>
              <w:t>（</w:t>
            </w:r>
            <w:r>
              <w:rPr>
                <w:rFonts w:hint="default" w:ascii="Times New Roman" w:hAnsi="Times New Roman" w:eastAsia="宋体" w:cs="Times New Roman"/>
                <w:color w:val="auto"/>
                <w:kern w:val="0"/>
                <w:sz w:val="24"/>
                <w:highlight w:val="none"/>
                <w:u w:val="none"/>
                <w:lang w:val="en-US" w:eastAsia="zh-CN"/>
              </w:rPr>
              <w:t>GB18597-2023</w:t>
            </w:r>
            <w:r>
              <w:rPr>
                <w:rFonts w:hint="eastAsia" w:cs="Times New Roman"/>
                <w:color w:val="auto"/>
                <w:kern w:val="0"/>
                <w:sz w:val="24"/>
                <w:highlight w:val="none"/>
                <w:u w:val="none"/>
                <w:lang w:val="en-US" w:eastAsia="zh-CN"/>
              </w:rPr>
              <w:t>）</w:t>
            </w:r>
            <w:r>
              <w:rPr>
                <w:rFonts w:hint="default" w:ascii="Times New Roman" w:hAnsi="Times New Roman" w:eastAsia="宋体" w:cs="Times New Roman"/>
                <w:color w:val="auto"/>
                <w:kern w:val="0"/>
                <w:sz w:val="24"/>
                <w:highlight w:val="none"/>
                <w:u w:val="none"/>
                <w:lang w:val="en-US" w:eastAsia="zh-CN"/>
              </w:rPr>
              <w:t>要求进行建设，具备</w:t>
            </w:r>
            <w:r>
              <w:rPr>
                <w:rFonts w:hint="eastAsia" w:ascii="Times New Roman" w:hAnsi="Times New Roman" w:eastAsia="宋体" w:cs="Times New Roman"/>
                <w:color w:val="auto"/>
                <w:kern w:val="0"/>
                <w:sz w:val="24"/>
                <w:highlight w:val="none"/>
                <w:u w:val="none"/>
                <w:lang w:val="en-US" w:eastAsia="zh-CN"/>
              </w:rPr>
              <w:t>防风、防雨、防晒、防止流失及扬散、防渗、防漏等要求</w:t>
            </w:r>
            <w:r>
              <w:rPr>
                <w:rFonts w:hint="default" w:ascii="Times New Roman" w:hAnsi="Times New Roman" w:eastAsia="宋体" w:cs="Times New Roman"/>
                <w:color w:val="auto"/>
                <w:kern w:val="0"/>
                <w:sz w:val="24"/>
                <w:highlight w:val="none"/>
                <w:u w:val="none"/>
                <w:lang w:val="en-US" w:eastAsia="zh-CN"/>
              </w:rPr>
              <w:t>。</w:t>
            </w:r>
            <w:r>
              <w:rPr>
                <w:rFonts w:hint="eastAsia" w:ascii="Times New Roman" w:hAnsi="Times New Roman" w:eastAsia="宋体" w:cs="Times New Roman"/>
                <w:color w:val="auto"/>
                <w:kern w:val="0"/>
                <w:sz w:val="24"/>
                <w:highlight w:val="none"/>
                <w:u w:val="none"/>
                <w:lang w:val="en-US" w:eastAsia="zh-CN"/>
              </w:rPr>
              <w:t>危险废物等</w:t>
            </w:r>
            <w:r>
              <w:rPr>
                <w:rFonts w:hint="default" w:ascii="Times New Roman" w:hAnsi="Times New Roman" w:eastAsia="宋体" w:cs="Times New Roman"/>
                <w:color w:val="auto"/>
                <w:kern w:val="0"/>
                <w:sz w:val="24"/>
                <w:highlight w:val="none"/>
                <w:u w:val="none"/>
                <w:lang w:val="en-US" w:eastAsia="zh-CN"/>
              </w:rPr>
              <w:t>不得与禁忌化学品混合贮存。</w:t>
            </w:r>
          </w:p>
          <w:p w14:paraId="3C3A98D9">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lang w:eastAsia="zh-CN"/>
              </w:rPr>
              <w:t>（3）</w:t>
            </w:r>
            <w:r>
              <w:rPr>
                <w:color w:val="auto"/>
                <w:kern w:val="0"/>
                <w:sz w:val="24"/>
              </w:rPr>
              <w:t>火灾事故风险防范措施</w:t>
            </w:r>
          </w:p>
          <w:p w14:paraId="70DA3EB5">
            <w:pPr>
              <w:adjustRightInd w:val="0"/>
              <w:snapToGrid w:val="0"/>
              <w:spacing w:line="360" w:lineRule="auto"/>
              <w:ind w:firstLine="480" w:firstLineChars="200"/>
              <w:rPr>
                <w:bCs/>
                <w:color w:val="auto"/>
                <w:sz w:val="24"/>
              </w:rPr>
            </w:pPr>
            <w:r>
              <w:rPr>
                <w:bCs/>
                <w:color w:val="auto"/>
                <w:sz w:val="24"/>
              </w:rPr>
              <w:t>①加强消防设施和灭火器材的配备，严格落实有关消防技术规范的规定，加强人员疏散设施管理，保证疏散通道畅通。</w:t>
            </w:r>
          </w:p>
          <w:p w14:paraId="049698E5">
            <w:pPr>
              <w:adjustRightInd w:val="0"/>
              <w:snapToGrid w:val="0"/>
              <w:spacing w:line="360" w:lineRule="auto"/>
              <w:ind w:firstLine="480" w:firstLineChars="200"/>
              <w:rPr>
                <w:bCs/>
                <w:color w:val="auto"/>
                <w:sz w:val="24"/>
              </w:rPr>
            </w:pPr>
            <w:r>
              <w:rPr>
                <w:bCs/>
                <w:color w:val="auto"/>
                <w:sz w:val="24"/>
              </w:rPr>
              <w:t>②定期进行防火安全检查，确保消防设施完整好用。</w:t>
            </w:r>
          </w:p>
          <w:p w14:paraId="0A47C3E9">
            <w:pPr>
              <w:adjustRightInd w:val="0"/>
              <w:snapToGrid w:val="0"/>
              <w:spacing w:line="360" w:lineRule="auto"/>
              <w:ind w:firstLine="480" w:firstLineChars="200"/>
              <w:rPr>
                <w:bCs/>
                <w:color w:val="auto"/>
                <w:sz w:val="24"/>
              </w:rPr>
            </w:pPr>
            <w:r>
              <w:rPr>
                <w:color w:val="auto"/>
                <w:sz w:val="24"/>
              </w:rPr>
              <w:t>③</w:t>
            </w:r>
            <w:r>
              <w:rPr>
                <w:bCs/>
                <w:color w:val="auto"/>
                <w:sz w:val="24"/>
              </w:rPr>
              <w:t>公司要求职工应遵守各项规章制度，杜绝</w:t>
            </w:r>
            <w:r>
              <w:rPr>
                <w:rFonts w:hint="eastAsia"/>
                <w:bCs/>
                <w:color w:val="auto"/>
                <w:sz w:val="24"/>
                <w:lang w:eastAsia="zh-CN"/>
              </w:rPr>
              <w:t>“</w:t>
            </w:r>
            <w:r>
              <w:rPr>
                <w:bCs/>
                <w:color w:val="auto"/>
                <w:sz w:val="24"/>
              </w:rPr>
              <w:t>三违</w:t>
            </w:r>
            <w:r>
              <w:rPr>
                <w:rFonts w:hint="eastAsia"/>
                <w:bCs/>
                <w:color w:val="auto"/>
                <w:sz w:val="24"/>
                <w:lang w:eastAsia="zh-CN"/>
              </w:rPr>
              <w:t>”（</w:t>
            </w:r>
            <w:r>
              <w:rPr>
                <w:bCs/>
                <w:color w:val="auto"/>
                <w:sz w:val="24"/>
              </w:rPr>
              <w:t>违章作业、违章指挥、违反劳动纪律</w:t>
            </w:r>
            <w:r>
              <w:rPr>
                <w:rFonts w:hint="eastAsia"/>
                <w:bCs/>
                <w:color w:val="auto"/>
                <w:sz w:val="24"/>
                <w:lang w:eastAsia="zh-CN"/>
              </w:rPr>
              <w:t>）</w:t>
            </w:r>
            <w:r>
              <w:rPr>
                <w:bCs/>
                <w:color w:val="auto"/>
                <w:sz w:val="24"/>
              </w:rPr>
              <w:t>，作业时要遵守各项规定</w:t>
            </w:r>
            <w:r>
              <w:rPr>
                <w:rFonts w:hint="eastAsia"/>
                <w:bCs/>
                <w:color w:val="auto"/>
                <w:sz w:val="24"/>
                <w:lang w:eastAsia="zh-CN"/>
              </w:rPr>
              <w:t>（</w:t>
            </w:r>
            <w:r>
              <w:rPr>
                <w:bCs/>
                <w:color w:val="auto"/>
                <w:sz w:val="24"/>
              </w:rPr>
              <w:t>如动火、高处作业、进入设备作业等规定</w:t>
            </w:r>
            <w:r>
              <w:rPr>
                <w:rFonts w:hint="eastAsia"/>
                <w:bCs/>
                <w:color w:val="auto"/>
                <w:sz w:val="24"/>
                <w:lang w:eastAsia="zh-CN"/>
              </w:rPr>
              <w:t>）</w:t>
            </w:r>
            <w:r>
              <w:rPr>
                <w:bCs/>
                <w:color w:val="auto"/>
                <w:sz w:val="24"/>
              </w:rPr>
              <w:t>要求，确保安全生产。</w:t>
            </w:r>
          </w:p>
          <w:p w14:paraId="6651925F">
            <w:pPr>
              <w:adjustRightInd w:val="0"/>
              <w:snapToGrid w:val="0"/>
              <w:spacing w:line="360" w:lineRule="auto"/>
              <w:ind w:firstLine="480" w:firstLineChars="200"/>
              <w:rPr>
                <w:bCs/>
                <w:color w:val="auto"/>
                <w:sz w:val="24"/>
              </w:rPr>
            </w:pPr>
            <w:r>
              <w:rPr>
                <w:bCs/>
                <w:color w:val="auto"/>
                <w:sz w:val="24"/>
              </w:rPr>
              <w:t>④公司强化安全、消防和环保管理，完善环保安全管理机构，完善各项管理制度，加强日常监督检查；</w:t>
            </w:r>
            <w:r>
              <w:rPr>
                <w:rFonts w:hint="eastAsia"/>
                <w:bCs/>
                <w:color w:val="auto"/>
                <w:sz w:val="24"/>
              </w:rPr>
              <w:t>车间</w:t>
            </w:r>
            <w:r>
              <w:rPr>
                <w:bCs/>
                <w:color w:val="auto"/>
                <w:sz w:val="24"/>
              </w:rPr>
              <w:t>内严禁烟火，严格动火审批制度，进料车辆必须戴阻火器。</w:t>
            </w:r>
          </w:p>
          <w:p w14:paraId="41524D65">
            <w:pPr>
              <w:pStyle w:val="67"/>
              <w:ind w:left="0" w:leftChars="0"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 xml:space="preserve">4.6.4 </w:t>
            </w:r>
            <w:r>
              <w:rPr>
                <w:rFonts w:hint="default" w:ascii="Times New Roman" w:hAnsi="Times New Roman" w:cs="Times New Roman"/>
                <w:b/>
                <w:bCs/>
                <w:color w:val="auto"/>
                <w:highlight w:val="none"/>
              </w:rPr>
              <w:t>风险分析结论</w:t>
            </w:r>
          </w:p>
          <w:p w14:paraId="1DEBECA3">
            <w:pPr>
              <w:pStyle w:val="67"/>
            </w:pPr>
            <w:r>
              <w:rPr>
                <w:rFonts w:hint="default" w:ascii="Times New Roman" w:hAnsi="Times New Roman" w:cs="Times New Roman"/>
                <w:color w:val="auto"/>
                <w:highlight w:val="none"/>
                <w:lang w:val="en-GB"/>
              </w:rPr>
              <w:t>本项目</w:t>
            </w:r>
            <w:r>
              <w:rPr>
                <w:rFonts w:hint="eastAsia" w:ascii="Times New Roman" w:hAnsi="Times New Roman" w:cs="Times New Roman"/>
                <w:color w:val="auto"/>
                <w:highlight w:val="none"/>
                <w:lang w:val="en-US" w:eastAsia="zh-CN"/>
              </w:rPr>
              <w:t>再配备</w:t>
            </w:r>
            <w:r>
              <w:rPr>
                <w:rFonts w:hint="default" w:ascii="Times New Roman" w:hAnsi="Times New Roman" w:cs="Times New Roman"/>
                <w:color w:val="auto"/>
                <w:highlight w:val="none"/>
                <w:lang w:val="en-GB" w:eastAsia="zh-CN"/>
              </w:rPr>
              <w:t>相应的</w:t>
            </w:r>
            <w:r>
              <w:rPr>
                <w:rFonts w:hint="eastAsia" w:ascii="Times New Roman" w:hAnsi="Times New Roman" w:cs="Times New Roman"/>
                <w:color w:val="auto"/>
                <w:highlight w:val="none"/>
                <w:lang w:val="en-GB" w:eastAsia="zh-CN"/>
              </w:rPr>
              <w:t>应急物资，</w:t>
            </w:r>
            <w:r>
              <w:rPr>
                <w:rFonts w:hint="default" w:ascii="Times New Roman" w:hAnsi="Times New Roman" w:cs="Times New Roman"/>
                <w:color w:val="auto"/>
                <w:highlight w:val="none"/>
                <w:lang w:val="en-GB"/>
              </w:rPr>
              <w:t>加强厂区防火管理</w:t>
            </w:r>
            <w:r>
              <w:rPr>
                <w:rFonts w:hint="eastAsia" w:ascii="Times New Roman" w:hAnsi="Times New Roman" w:cs="Times New Roman"/>
                <w:color w:val="auto"/>
                <w:highlight w:val="none"/>
                <w:lang w:val="en-GB" w:eastAsia="zh-CN"/>
              </w:rPr>
              <w:t>，</w:t>
            </w:r>
            <w:r>
              <w:rPr>
                <w:rFonts w:hint="eastAsia" w:ascii="Times New Roman" w:hAnsi="Times New Roman" w:cs="Times New Roman"/>
                <w:color w:val="auto"/>
                <w:highlight w:val="none"/>
                <w:lang w:val="en-US" w:eastAsia="zh-CN"/>
              </w:rPr>
              <w:t>加强环保设施运行维护</w:t>
            </w:r>
            <w:r>
              <w:rPr>
                <w:rFonts w:hint="eastAsia" w:cs="Times New Roman"/>
                <w:color w:val="auto"/>
                <w:highlight w:val="none"/>
                <w:lang w:val="en-US" w:eastAsia="zh-CN"/>
              </w:rPr>
              <w:t>，在</w:t>
            </w:r>
            <w:r>
              <w:rPr>
                <w:rFonts w:hint="default" w:ascii="Times New Roman" w:hAnsi="Times New Roman" w:cs="Times New Roman"/>
                <w:color w:val="auto"/>
                <w:highlight w:val="none"/>
                <w:lang w:val="en-GB"/>
              </w:rPr>
              <w:t>完善事故风险防范措施</w:t>
            </w:r>
            <w:r>
              <w:rPr>
                <w:rFonts w:hint="eastAsia" w:ascii="Times New Roman" w:hAnsi="Times New Roman" w:cs="Times New Roman"/>
                <w:color w:val="auto"/>
                <w:highlight w:val="none"/>
                <w:lang w:val="en-US" w:eastAsia="zh-CN"/>
              </w:rPr>
              <w:t>的前提下</w:t>
            </w:r>
            <w:r>
              <w:rPr>
                <w:rFonts w:hint="default" w:ascii="Times New Roman" w:hAnsi="Times New Roman" w:cs="Times New Roman"/>
                <w:color w:val="auto"/>
                <w:highlight w:val="none"/>
                <w:lang w:val="en-GB"/>
              </w:rPr>
              <w:t>，事故发生概率很低，本项目环境风险在可接受的范围内。</w:t>
            </w:r>
            <w:bookmarkEnd w:id="135"/>
          </w:p>
          <w:p w14:paraId="55EF2BBE">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137" w:name="_Toc7760"/>
            <w:r>
              <w:rPr>
                <w:rFonts w:hint="eastAsia" w:ascii="Times New Roman" w:hAnsi="Times New Roman" w:eastAsia="宋体" w:cs="Times New Roman"/>
                <w:color w:val="auto"/>
                <w:sz w:val="28"/>
                <w:szCs w:val="28"/>
                <w:u w:val="none"/>
                <w:lang w:val="en-US" w:eastAsia="zh-CN"/>
              </w:rPr>
              <w:t>4.7自行监测计划</w:t>
            </w:r>
            <w:bookmarkEnd w:id="137"/>
          </w:p>
          <w:p w14:paraId="76268A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本评价根据《排污单位自行监测技术指南 总则》（HJ819-2017）、《排污许可证申请与核发技术规范 橡胶和塑料制品工业》（HJ1122</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2020）的要求，提出项目运营期自行监测计划，具体详见表4.</w:t>
            </w:r>
            <w:r>
              <w:rPr>
                <w:rFonts w:hint="eastAsia" w:ascii="Times New Roman" w:hAnsi="Times New Roman" w:eastAsia="宋体"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-1。</w:t>
            </w:r>
          </w:p>
          <w:p w14:paraId="14264BA8">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表4.8-1 本项目自行监测计划</w:t>
            </w:r>
          </w:p>
          <w:tbl>
            <w:tblPr>
              <w:tblStyle w:val="23"/>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20"/>
              <w:gridCol w:w="3280"/>
              <w:gridCol w:w="1772"/>
              <w:gridCol w:w="1110"/>
              <w:gridCol w:w="1077"/>
            </w:tblGrid>
            <w:tr w14:paraId="398E6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787" w:type="pct"/>
                  <w:gridSpan w:val="2"/>
                  <w:tcBorders>
                    <w:tl2br w:val="nil"/>
                    <w:tr2bl w:val="nil"/>
                  </w:tcBorders>
                  <w:noWrap w:val="0"/>
                  <w:vAlign w:val="center"/>
                </w:tcPr>
                <w:p w14:paraId="575AEF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类别</w:t>
                  </w:r>
                </w:p>
              </w:tc>
              <w:tc>
                <w:tcPr>
                  <w:tcW w:w="1908" w:type="pct"/>
                  <w:tcBorders>
                    <w:tl2br w:val="nil"/>
                    <w:tr2bl w:val="nil"/>
                  </w:tcBorders>
                  <w:noWrap w:val="0"/>
                  <w:vAlign w:val="center"/>
                </w:tcPr>
                <w:p w14:paraId="7E2EF9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监测位置</w:t>
                  </w:r>
                </w:p>
              </w:tc>
              <w:tc>
                <w:tcPr>
                  <w:tcW w:w="1031" w:type="pct"/>
                  <w:tcBorders>
                    <w:tl2br w:val="nil"/>
                    <w:tr2bl w:val="nil"/>
                  </w:tcBorders>
                  <w:noWrap w:val="0"/>
                  <w:vAlign w:val="center"/>
                </w:tcPr>
                <w:p w14:paraId="4E8719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监测项目</w:t>
                  </w:r>
                </w:p>
              </w:tc>
              <w:tc>
                <w:tcPr>
                  <w:tcW w:w="646" w:type="pct"/>
                  <w:tcBorders>
                    <w:tl2br w:val="nil"/>
                    <w:tr2bl w:val="nil"/>
                  </w:tcBorders>
                  <w:noWrap w:val="0"/>
                  <w:vAlign w:val="center"/>
                </w:tcPr>
                <w:p w14:paraId="3816FC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监测频次</w:t>
                  </w:r>
                </w:p>
              </w:tc>
              <w:tc>
                <w:tcPr>
                  <w:tcW w:w="625" w:type="pct"/>
                  <w:tcBorders>
                    <w:tl2br w:val="nil"/>
                    <w:tr2bl w:val="nil"/>
                  </w:tcBorders>
                  <w:noWrap w:val="0"/>
                  <w:vAlign w:val="center"/>
                </w:tcPr>
                <w:p w14:paraId="689A7E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监测负责单位</w:t>
                  </w:r>
                </w:p>
              </w:tc>
            </w:tr>
            <w:tr w14:paraId="73910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restart"/>
                  <w:tcBorders>
                    <w:tl2br w:val="nil"/>
                    <w:tr2bl w:val="nil"/>
                  </w:tcBorders>
                  <w:noWrap w:val="0"/>
                  <w:vAlign w:val="center"/>
                </w:tcPr>
                <w:p w14:paraId="1F13F9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废气</w:t>
                  </w:r>
                </w:p>
              </w:tc>
              <w:tc>
                <w:tcPr>
                  <w:tcW w:w="477" w:type="pct"/>
                  <w:vMerge w:val="restart"/>
                  <w:tcBorders>
                    <w:tl2br w:val="nil"/>
                    <w:tr2bl w:val="nil"/>
                  </w:tcBorders>
                  <w:noWrap w:val="0"/>
                  <w:vAlign w:val="center"/>
                </w:tcPr>
                <w:p w14:paraId="24EB08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无组织废气</w:t>
                  </w:r>
                </w:p>
              </w:tc>
              <w:tc>
                <w:tcPr>
                  <w:tcW w:w="1908" w:type="pct"/>
                  <w:tcBorders>
                    <w:tl2br w:val="nil"/>
                    <w:tr2bl w:val="nil"/>
                  </w:tcBorders>
                  <w:noWrap w:val="0"/>
                  <w:vAlign w:val="center"/>
                </w:tcPr>
                <w:p w14:paraId="0FC41BD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厂区内</w:t>
                  </w:r>
                  <w:r>
                    <w:rPr>
                      <w:rFonts w:hint="eastAsia" w:cs="Times New Roman"/>
                      <w:color w:val="000000"/>
                      <w:kern w:val="0"/>
                      <w:sz w:val="21"/>
                      <w:szCs w:val="21"/>
                      <w:lang w:val="en-US" w:eastAsia="zh-CN" w:bidi="ar"/>
                    </w:rPr>
                    <w:t>主要设施旁1</w:t>
                  </w:r>
                  <w:r>
                    <w:rPr>
                      <w:rFonts w:hint="default" w:ascii="Times New Roman" w:hAnsi="Times New Roman" w:eastAsia="宋体" w:cs="Times New Roman"/>
                      <w:color w:val="000000"/>
                      <w:kern w:val="0"/>
                      <w:sz w:val="21"/>
                      <w:szCs w:val="21"/>
                      <w:lang w:val="en-US" w:eastAsia="zh-CN" w:bidi="ar"/>
                    </w:rPr>
                    <w:t>个监控点</w:t>
                  </w:r>
                </w:p>
              </w:tc>
              <w:tc>
                <w:tcPr>
                  <w:tcW w:w="1031" w:type="pct"/>
                  <w:tcBorders>
                    <w:tl2br w:val="nil"/>
                    <w:tr2bl w:val="nil"/>
                  </w:tcBorders>
                  <w:noWrap w:val="0"/>
                  <w:vAlign w:val="center"/>
                </w:tcPr>
                <w:p w14:paraId="173E817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非甲烷总烃</w:t>
                  </w:r>
                </w:p>
              </w:tc>
              <w:tc>
                <w:tcPr>
                  <w:tcW w:w="646" w:type="pct"/>
                  <w:tcBorders>
                    <w:tl2br w:val="nil"/>
                    <w:tr2bl w:val="nil"/>
                  </w:tcBorders>
                  <w:noWrap w:val="0"/>
                  <w:vAlign w:val="center"/>
                </w:tcPr>
                <w:p w14:paraId="3EBBDA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auto"/>
                      <w:sz w:val="21"/>
                      <w:szCs w:val="21"/>
                      <w:lang w:val="en-US" w:eastAsia="zh-CN"/>
                    </w:rPr>
                    <w:t>1次</w:t>
                  </w:r>
                  <w:r>
                    <w:rPr>
                      <w:rFonts w:hint="default" w:ascii="Times New Roman" w:hAnsi="Times New Roman" w:eastAsia="宋体" w:cs="Times New Roman"/>
                      <w:bCs/>
                      <w:color w:val="auto"/>
                      <w:sz w:val="21"/>
                      <w:szCs w:val="21"/>
                    </w:rPr>
                    <w:t>/年</w:t>
                  </w:r>
                </w:p>
              </w:tc>
              <w:tc>
                <w:tcPr>
                  <w:tcW w:w="625" w:type="pct"/>
                  <w:vMerge w:val="restart"/>
                  <w:tcBorders>
                    <w:tl2br w:val="nil"/>
                    <w:tr2bl w:val="nil"/>
                  </w:tcBorders>
                  <w:noWrap w:val="0"/>
                  <w:vAlign w:val="center"/>
                </w:tcPr>
                <w:p w14:paraId="02A0732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委托专业检测单位</w:t>
                  </w:r>
                </w:p>
                <w:p w14:paraId="5BA036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3B60E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continue"/>
                  <w:tcBorders>
                    <w:tl2br w:val="nil"/>
                    <w:tr2bl w:val="nil"/>
                  </w:tcBorders>
                  <w:noWrap w:val="0"/>
                  <w:vAlign w:val="center"/>
                </w:tcPr>
                <w:p w14:paraId="18ECD6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77" w:type="pct"/>
                  <w:vMerge w:val="continue"/>
                  <w:tcBorders>
                    <w:tl2br w:val="nil"/>
                    <w:tr2bl w:val="nil"/>
                  </w:tcBorders>
                  <w:noWrap w:val="0"/>
                  <w:vAlign w:val="center"/>
                </w:tcPr>
                <w:p w14:paraId="5F5073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908" w:type="pct"/>
                  <w:tcBorders>
                    <w:tl2br w:val="nil"/>
                    <w:tr2bl w:val="nil"/>
                  </w:tcBorders>
                  <w:noWrap w:val="0"/>
                  <w:vAlign w:val="center"/>
                </w:tcPr>
                <w:p w14:paraId="4815B69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厂界上风向1个监控点；下风向</w:t>
                  </w:r>
                  <w:r>
                    <w:rPr>
                      <w:rFonts w:hint="eastAsia"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个监控点</w:t>
                  </w:r>
                </w:p>
              </w:tc>
              <w:tc>
                <w:tcPr>
                  <w:tcW w:w="1031" w:type="pct"/>
                  <w:tcBorders>
                    <w:tl2br w:val="nil"/>
                    <w:tr2bl w:val="nil"/>
                  </w:tcBorders>
                  <w:noWrap w:val="0"/>
                  <w:vAlign w:val="center"/>
                </w:tcPr>
                <w:p w14:paraId="3350E80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非甲烷总烃</w:t>
                  </w:r>
                  <w:r>
                    <w:rPr>
                      <w:rFonts w:hint="eastAsia" w:cs="Times New Roman"/>
                      <w:color w:val="auto"/>
                      <w:kern w:val="0"/>
                      <w:sz w:val="21"/>
                      <w:szCs w:val="21"/>
                      <w:lang w:val="en-US" w:eastAsia="zh-CN" w:bidi="ar"/>
                    </w:rPr>
                    <w:t>、甲苯、</w:t>
                  </w:r>
                  <w:r>
                    <w:rPr>
                      <w:rFonts w:hint="default" w:ascii="Times New Roman" w:hAnsi="Times New Roman" w:eastAsia="宋体" w:cs="Times New Roman"/>
                      <w:color w:val="auto"/>
                      <w:kern w:val="0"/>
                      <w:sz w:val="21"/>
                      <w:szCs w:val="21"/>
                      <w:lang w:val="en-US" w:eastAsia="zh-CN" w:bidi="ar"/>
                    </w:rPr>
                    <w:t>颗粒物、臭气浓度</w:t>
                  </w:r>
                </w:p>
              </w:tc>
              <w:tc>
                <w:tcPr>
                  <w:tcW w:w="646" w:type="pct"/>
                  <w:tcBorders>
                    <w:tl2br w:val="nil"/>
                    <w:tr2bl w:val="nil"/>
                  </w:tcBorders>
                  <w:noWrap w:val="0"/>
                  <w:vAlign w:val="center"/>
                </w:tcPr>
                <w:p w14:paraId="00D725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auto"/>
                      <w:sz w:val="21"/>
                      <w:szCs w:val="21"/>
                      <w:lang w:val="en-US" w:eastAsia="zh-CN"/>
                    </w:rPr>
                    <w:t>1次</w:t>
                  </w:r>
                  <w:r>
                    <w:rPr>
                      <w:rFonts w:hint="default" w:ascii="Times New Roman" w:hAnsi="Times New Roman" w:eastAsia="宋体" w:cs="Times New Roman"/>
                      <w:bCs/>
                      <w:color w:val="auto"/>
                      <w:sz w:val="21"/>
                      <w:szCs w:val="21"/>
                    </w:rPr>
                    <w:t>/年</w:t>
                  </w:r>
                </w:p>
              </w:tc>
              <w:tc>
                <w:tcPr>
                  <w:tcW w:w="625" w:type="pct"/>
                  <w:vMerge w:val="continue"/>
                  <w:tcBorders>
                    <w:tl2br w:val="nil"/>
                    <w:tr2bl w:val="nil"/>
                  </w:tcBorders>
                  <w:noWrap w:val="0"/>
                  <w:vAlign w:val="center"/>
                </w:tcPr>
                <w:p w14:paraId="66DD17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5FCA8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continue"/>
                  <w:tcBorders>
                    <w:tl2br w:val="nil"/>
                    <w:tr2bl w:val="nil"/>
                  </w:tcBorders>
                  <w:noWrap w:val="0"/>
                  <w:vAlign w:val="center"/>
                </w:tcPr>
                <w:p w14:paraId="12F83A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77" w:type="pct"/>
                  <w:tcBorders>
                    <w:tl2br w:val="nil"/>
                    <w:tr2bl w:val="nil"/>
                  </w:tcBorders>
                  <w:noWrap w:val="0"/>
                  <w:vAlign w:val="center"/>
                </w:tcPr>
                <w:p w14:paraId="3D9F6C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有组织废气</w:t>
                  </w:r>
                </w:p>
              </w:tc>
              <w:tc>
                <w:tcPr>
                  <w:tcW w:w="1908" w:type="pct"/>
                  <w:tcBorders>
                    <w:tl2br w:val="nil"/>
                    <w:tr2bl w:val="nil"/>
                  </w:tcBorders>
                  <w:noWrap w:val="0"/>
                  <w:vAlign w:val="center"/>
                </w:tcPr>
                <w:p w14:paraId="1C00DA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有机废气排气筒DA001</w:t>
                  </w:r>
                </w:p>
              </w:tc>
              <w:tc>
                <w:tcPr>
                  <w:tcW w:w="1031" w:type="pct"/>
                  <w:tcBorders>
                    <w:tl2br w:val="nil"/>
                    <w:tr2bl w:val="nil"/>
                  </w:tcBorders>
                  <w:noWrap w:val="0"/>
                  <w:vAlign w:val="center"/>
                </w:tcPr>
                <w:p w14:paraId="726E9F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非甲烷总烃、</w:t>
                  </w:r>
                  <w:r>
                    <w:rPr>
                      <w:rFonts w:hint="eastAsia" w:cs="Times New Roman"/>
                      <w:b w:val="0"/>
                      <w:bCs/>
                      <w:color w:val="auto"/>
                      <w:sz w:val="21"/>
                      <w:szCs w:val="21"/>
                      <w:vertAlign w:val="baseline"/>
                      <w:lang w:val="en-US" w:eastAsia="zh-CN"/>
                    </w:rPr>
                    <w:t>颗粒物、苯乙烯、丙烯腈、</w:t>
                  </w:r>
                  <w:r>
                    <w:rPr>
                      <w:rFonts w:hint="default" w:ascii="Times New Roman" w:hAnsi="Times New Roman" w:eastAsia="宋体" w:cs="Times New Roman"/>
                      <w:b w:val="0"/>
                      <w:bCs/>
                      <w:color w:val="auto"/>
                      <w:sz w:val="21"/>
                      <w:szCs w:val="21"/>
                      <w:vertAlign w:val="baseline"/>
                      <w:lang w:val="en-US" w:eastAsia="zh-CN"/>
                    </w:rPr>
                    <w:t>臭气浓度</w:t>
                  </w:r>
                </w:p>
              </w:tc>
              <w:tc>
                <w:tcPr>
                  <w:tcW w:w="646" w:type="pct"/>
                  <w:tcBorders>
                    <w:tl2br w:val="nil"/>
                    <w:tr2bl w:val="nil"/>
                  </w:tcBorders>
                  <w:noWrap w:val="0"/>
                  <w:vAlign w:val="center"/>
                </w:tcPr>
                <w:p w14:paraId="3DAA26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1次/年</w:t>
                  </w:r>
                </w:p>
              </w:tc>
              <w:tc>
                <w:tcPr>
                  <w:tcW w:w="625" w:type="pct"/>
                  <w:vMerge w:val="continue"/>
                  <w:tcBorders>
                    <w:tl2br w:val="nil"/>
                    <w:tr2bl w:val="nil"/>
                  </w:tcBorders>
                  <w:noWrap w:val="0"/>
                  <w:vAlign w:val="center"/>
                </w:tcPr>
                <w:p w14:paraId="502144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0BDB3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7" w:type="pct"/>
                  <w:gridSpan w:val="2"/>
                  <w:tcBorders>
                    <w:tl2br w:val="nil"/>
                    <w:tr2bl w:val="nil"/>
                  </w:tcBorders>
                  <w:noWrap w:val="0"/>
                  <w:vAlign w:val="center"/>
                </w:tcPr>
                <w:p w14:paraId="0F5110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w:t>
                  </w:r>
                </w:p>
              </w:tc>
              <w:tc>
                <w:tcPr>
                  <w:tcW w:w="4212" w:type="pct"/>
                  <w:gridSpan w:val="4"/>
                  <w:tcBorders>
                    <w:tl2br w:val="nil"/>
                    <w:tr2bl w:val="nil"/>
                  </w:tcBorders>
                  <w:noWrap w:val="0"/>
                  <w:vAlign w:val="center"/>
                </w:tcPr>
                <w:p w14:paraId="1B3741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根据《排污单位自行监测技术指南 总则》（HJ819-2017）、《排污许可证申请与核发技术规范 橡胶和塑料制品工业》（HJ1122—2020），间接排放的生活污水单独排放口无自行监测要求。因此，本评价不对生活污水提出自行监测要求。</w:t>
                  </w:r>
                </w:p>
              </w:tc>
            </w:tr>
            <w:tr w14:paraId="14E55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7" w:type="pct"/>
                  <w:gridSpan w:val="2"/>
                  <w:tcBorders>
                    <w:tl2br w:val="nil"/>
                    <w:tr2bl w:val="nil"/>
                  </w:tcBorders>
                  <w:noWrap w:val="0"/>
                  <w:vAlign w:val="center"/>
                </w:tcPr>
                <w:p w14:paraId="7A7F0F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噪声</w:t>
                  </w:r>
                </w:p>
              </w:tc>
              <w:tc>
                <w:tcPr>
                  <w:tcW w:w="1908" w:type="pct"/>
                  <w:tcBorders>
                    <w:tl2br w:val="nil"/>
                    <w:tr2bl w:val="nil"/>
                  </w:tcBorders>
                  <w:noWrap w:val="0"/>
                  <w:vAlign w:val="center"/>
                </w:tcPr>
                <w:p w14:paraId="2EF556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厂界四周外1m</w:t>
                  </w:r>
                </w:p>
              </w:tc>
              <w:tc>
                <w:tcPr>
                  <w:tcW w:w="1031" w:type="pct"/>
                  <w:tcBorders>
                    <w:tl2br w:val="nil"/>
                    <w:tr2bl w:val="nil"/>
                  </w:tcBorders>
                  <w:noWrap w:val="0"/>
                  <w:vAlign w:val="center"/>
                </w:tcPr>
                <w:p w14:paraId="54BF9B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等效</w:t>
                  </w:r>
                  <w:r>
                    <w:rPr>
                      <w:rFonts w:hint="default" w:ascii="Times New Roman" w:hAnsi="Times New Roman" w:eastAsia="宋体" w:cs="Times New Roman"/>
                      <w:color w:val="auto"/>
                      <w:sz w:val="21"/>
                      <w:szCs w:val="21"/>
                      <w:lang w:val="en-US" w:eastAsia="zh-CN"/>
                    </w:rPr>
                    <w:t>A声级</w:t>
                  </w:r>
                </w:p>
              </w:tc>
              <w:tc>
                <w:tcPr>
                  <w:tcW w:w="646" w:type="pct"/>
                  <w:tcBorders>
                    <w:tl2br w:val="nil"/>
                    <w:tr2bl w:val="nil"/>
                  </w:tcBorders>
                  <w:noWrap w:val="0"/>
                  <w:vAlign w:val="center"/>
                </w:tcPr>
                <w:p w14:paraId="5DEE20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lang w:val="en-US" w:eastAsia="zh-CN" w:bidi="ar-SA"/>
                    </w:rPr>
                    <w:t>1次/季度</w:t>
                  </w:r>
                </w:p>
              </w:tc>
              <w:tc>
                <w:tcPr>
                  <w:tcW w:w="625" w:type="pct"/>
                  <w:tcBorders>
                    <w:tl2br w:val="nil"/>
                    <w:tr2bl w:val="nil"/>
                  </w:tcBorders>
                  <w:noWrap w:val="0"/>
                  <w:vAlign w:val="center"/>
                </w:tcPr>
                <w:p w14:paraId="149792B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委托专业检测单位</w:t>
                  </w:r>
                </w:p>
              </w:tc>
            </w:tr>
          </w:tbl>
          <w:p w14:paraId="219126E1">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138" w:name="_Toc12062"/>
            <w:bookmarkStart w:id="139" w:name="_Toc25365"/>
            <w:bookmarkStart w:id="140" w:name="_Toc26125"/>
            <w:bookmarkStart w:id="141" w:name="_Toc11633"/>
            <w:bookmarkStart w:id="142" w:name="_Toc7744"/>
            <w:bookmarkStart w:id="143" w:name="_Toc10465"/>
            <w:r>
              <w:rPr>
                <w:rFonts w:hint="eastAsia" w:ascii="Times New Roman" w:hAnsi="Times New Roman" w:eastAsia="宋体" w:cs="Times New Roman"/>
                <w:color w:val="auto"/>
                <w:sz w:val="28"/>
                <w:szCs w:val="28"/>
                <w:u w:val="none"/>
                <w:lang w:val="en-US" w:eastAsia="zh-CN"/>
              </w:rPr>
              <w:t>4.8环保投资估算</w:t>
            </w:r>
            <w:bookmarkEnd w:id="138"/>
            <w:bookmarkEnd w:id="139"/>
            <w:bookmarkEnd w:id="140"/>
            <w:bookmarkEnd w:id="141"/>
            <w:bookmarkEnd w:id="142"/>
            <w:bookmarkEnd w:id="143"/>
          </w:p>
          <w:p w14:paraId="79369063">
            <w:pPr>
              <w:widowControl w:val="0"/>
              <w:bidi w:val="0"/>
              <w:spacing w:line="360" w:lineRule="auto"/>
              <w:ind w:firstLine="480" w:firstLineChars="200"/>
              <w:jc w:val="both"/>
              <w:rPr>
                <w:rFonts w:hint="eastAsia" w:ascii="Times New Roman" w:hAnsi="Times New Roman" w:eastAsia="宋体" w:cs="宋体"/>
                <w:color w:val="000000"/>
                <w:kern w:val="2"/>
                <w:sz w:val="24"/>
                <w:szCs w:val="24"/>
                <w:lang w:val="en-US" w:eastAsia="zh-CN" w:bidi="ar-SA"/>
              </w:rPr>
            </w:pPr>
            <w:r>
              <w:rPr>
                <w:rFonts w:hint="eastAsia" w:ascii="Times New Roman" w:hAnsi="Times New Roman" w:eastAsia="宋体" w:cs="宋体"/>
                <w:color w:val="000000"/>
                <w:kern w:val="2"/>
                <w:sz w:val="24"/>
                <w:szCs w:val="24"/>
                <w:lang w:val="en-US" w:eastAsia="zh-CN" w:bidi="ar-SA"/>
              </w:rPr>
              <w:t>本项目环保措施包括废水、废气、噪声治理措施、固体废物收集场所等。具体见表4.9-1。</w:t>
            </w:r>
          </w:p>
          <w:p w14:paraId="692E0ED7">
            <w:pPr>
              <w:pStyle w:val="68"/>
              <w:bidi w:val="0"/>
              <w:rPr>
                <w:rFonts w:hint="default"/>
                <w:color w:val="000000"/>
                <w:lang w:val="en-US" w:eastAsia="zh-CN"/>
              </w:rPr>
            </w:pPr>
            <w:r>
              <w:rPr>
                <w:rFonts w:hint="eastAsia"/>
                <w:color w:val="000000"/>
                <w:lang w:val="en-US" w:eastAsia="zh-CN"/>
              </w:rPr>
              <w:t>表4.9-1环保投资估算</w:t>
            </w:r>
          </w:p>
          <w:tbl>
            <w:tblPr>
              <w:tblStyle w:val="23"/>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06"/>
              <w:gridCol w:w="5516"/>
              <w:gridCol w:w="1473"/>
            </w:tblGrid>
            <w:tr w14:paraId="6BB29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081669CF">
                  <w:pPr>
                    <w:pStyle w:val="51"/>
                    <w:bidi w:val="0"/>
                    <w:rPr>
                      <w:rFonts w:hint="default"/>
                      <w:color w:val="000000"/>
                      <w:lang w:val="en-US" w:eastAsia="zh-CN"/>
                    </w:rPr>
                  </w:pPr>
                  <w:r>
                    <w:rPr>
                      <w:rFonts w:hint="eastAsia"/>
                      <w:color w:val="000000"/>
                      <w:lang w:val="en-US" w:eastAsia="zh-CN"/>
                    </w:rPr>
                    <w:t>序号</w:t>
                  </w:r>
                </w:p>
              </w:tc>
              <w:tc>
                <w:tcPr>
                  <w:tcW w:w="527" w:type="pct"/>
                  <w:tcBorders>
                    <w:tl2br w:val="nil"/>
                    <w:tr2bl w:val="nil"/>
                  </w:tcBorders>
                  <w:noWrap w:val="0"/>
                  <w:vAlign w:val="center"/>
                </w:tcPr>
                <w:p w14:paraId="0568A64A">
                  <w:pPr>
                    <w:pStyle w:val="51"/>
                    <w:bidi w:val="0"/>
                    <w:rPr>
                      <w:rFonts w:hint="default"/>
                      <w:color w:val="000000"/>
                      <w:lang w:val="en-US" w:eastAsia="zh-CN"/>
                    </w:rPr>
                  </w:pPr>
                  <w:r>
                    <w:rPr>
                      <w:rFonts w:hint="eastAsia"/>
                      <w:color w:val="000000"/>
                      <w:lang w:val="en-US" w:eastAsia="zh-CN"/>
                    </w:rPr>
                    <w:t>污染源</w:t>
                  </w:r>
                </w:p>
              </w:tc>
              <w:tc>
                <w:tcPr>
                  <w:tcW w:w="3208" w:type="pct"/>
                  <w:tcBorders>
                    <w:tl2br w:val="nil"/>
                    <w:tr2bl w:val="nil"/>
                  </w:tcBorders>
                  <w:noWrap w:val="0"/>
                  <w:vAlign w:val="center"/>
                </w:tcPr>
                <w:p w14:paraId="732ADA07">
                  <w:pPr>
                    <w:pStyle w:val="51"/>
                    <w:bidi w:val="0"/>
                    <w:rPr>
                      <w:rFonts w:hint="default"/>
                      <w:color w:val="000000"/>
                      <w:lang w:val="en-US" w:eastAsia="zh-CN"/>
                    </w:rPr>
                  </w:pPr>
                  <w:r>
                    <w:rPr>
                      <w:rFonts w:hint="eastAsia"/>
                      <w:color w:val="000000"/>
                      <w:lang w:val="en-US" w:eastAsia="zh-CN"/>
                    </w:rPr>
                    <w:t>措施</w:t>
                  </w:r>
                </w:p>
              </w:tc>
              <w:tc>
                <w:tcPr>
                  <w:tcW w:w="857" w:type="pct"/>
                  <w:tcBorders>
                    <w:tl2br w:val="nil"/>
                    <w:tr2bl w:val="nil"/>
                  </w:tcBorders>
                  <w:noWrap w:val="0"/>
                  <w:vAlign w:val="center"/>
                </w:tcPr>
                <w:p w14:paraId="2940D05D">
                  <w:pPr>
                    <w:pStyle w:val="51"/>
                    <w:bidi w:val="0"/>
                    <w:rPr>
                      <w:rFonts w:hint="default"/>
                      <w:color w:val="000000"/>
                      <w:lang w:val="en-US" w:eastAsia="zh-CN"/>
                    </w:rPr>
                  </w:pPr>
                  <w:r>
                    <w:rPr>
                      <w:rFonts w:hint="eastAsia"/>
                      <w:color w:val="000000"/>
                      <w:lang w:val="en-US" w:eastAsia="zh-CN"/>
                    </w:rPr>
                    <w:t>投资</w:t>
                  </w:r>
                </w:p>
              </w:tc>
            </w:tr>
            <w:tr w14:paraId="5151C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12E8EE6B">
                  <w:pPr>
                    <w:pStyle w:val="51"/>
                    <w:bidi w:val="0"/>
                    <w:rPr>
                      <w:rFonts w:hint="default"/>
                      <w:color w:val="000000"/>
                      <w:lang w:val="en-US" w:eastAsia="zh-CN"/>
                    </w:rPr>
                  </w:pPr>
                  <w:r>
                    <w:rPr>
                      <w:rFonts w:hint="eastAsia"/>
                      <w:color w:val="000000"/>
                      <w:lang w:val="en-US" w:eastAsia="zh-CN"/>
                    </w:rPr>
                    <w:t>1</w:t>
                  </w:r>
                </w:p>
              </w:tc>
              <w:tc>
                <w:tcPr>
                  <w:tcW w:w="527" w:type="pct"/>
                  <w:tcBorders>
                    <w:tl2br w:val="nil"/>
                    <w:tr2bl w:val="nil"/>
                  </w:tcBorders>
                  <w:noWrap w:val="0"/>
                  <w:vAlign w:val="center"/>
                </w:tcPr>
                <w:p w14:paraId="198D69F6">
                  <w:pPr>
                    <w:pStyle w:val="51"/>
                    <w:bidi w:val="0"/>
                    <w:rPr>
                      <w:rFonts w:hint="default"/>
                      <w:color w:val="000000"/>
                      <w:lang w:val="en-US" w:eastAsia="zh-CN"/>
                    </w:rPr>
                  </w:pPr>
                  <w:r>
                    <w:rPr>
                      <w:rFonts w:hint="eastAsia"/>
                      <w:color w:val="000000"/>
                      <w:lang w:val="en-US" w:eastAsia="zh-CN"/>
                    </w:rPr>
                    <w:t>废水</w:t>
                  </w:r>
                </w:p>
              </w:tc>
              <w:tc>
                <w:tcPr>
                  <w:tcW w:w="3208" w:type="pct"/>
                  <w:tcBorders>
                    <w:tl2br w:val="nil"/>
                    <w:tr2bl w:val="nil"/>
                  </w:tcBorders>
                  <w:noWrap w:val="0"/>
                  <w:vAlign w:val="center"/>
                </w:tcPr>
                <w:p w14:paraId="534AC97F">
                  <w:pPr>
                    <w:pStyle w:val="51"/>
                    <w:bidi w:val="0"/>
                    <w:rPr>
                      <w:rFonts w:hint="default"/>
                      <w:color w:val="auto"/>
                      <w:lang w:val="en-US" w:eastAsia="zh-CN"/>
                    </w:rPr>
                  </w:pPr>
                  <w:r>
                    <w:rPr>
                      <w:rFonts w:hint="eastAsia" w:ascii="Times New Roman" w:hAnsi="Times New Roman" w:cs="Times New Roman"/>
                      <w:bCs/>
                      <w:color w:val="auto"/>
                      <w:sz w:val="21"/>
                      <w:szCs w:val="21"/>
                      <w:lang w:val="en-US" w:eastAsia="zh-CN"/>
                    </w:rPr>
                    <w:t>冷却水循环使用不外排，生活污水</w:t>
                  </w:r>
                  <w:r>
                    <w:rPr>
                      <w:rFonts w:hint="default" w:ascii="Times New Roman" w:hAnsi="Times New Roman" w:eastAsia="宋体" w:cs="Times New Roman"/>
                      <w:bCs/>
                      <w:color w:val="auto"/>
                      <w:sz w:val="21"/>
                      <w:szCs w:val="21"/>
                    </w:rPr>
                    <w:t>经化粪池预处理后接入市政污水管网排入福清市融元污水处理厂集中处理</w:t>
                  </w:r>
                </w:p>
              </w:tc>
              <w:tc>
                <w:tcPr>
                  <w:tcW w:w="857" w:type="pct"/>
                  <w:tcBorders>
                    <w:tl2br w:val="nil"/>
                    <w:tr2bl w:val="nil"/>
                  </w:tcBorders>
                  <w:noWrap w:val="0"/>
                  <w:vAlign w:val="center"/>
                </w:tcPr>
                <w:p w14:paraId="513598BA">
                  <w:pPr>
                    <w:pStyle w:val="51"/>
                    <w:bidi w:val="0"/>
                    <w:rPr>
                      <w:rFonts w:hint="default"/>
                      <w:color w:val="000000"/>
                      <w:lang w:val="en-US" w:eastAsia="zh-CN"/>
                    </w:rPr>
                  </w:pPr>
                  <w:r>
                    <w:rPr>
                      <w:rFonts w:hint="eastAsia"/>
                      <w:color w:val="000000"/>
                      <w:lang w:val="en-US" w:eastAsia="zh-CN"/>
                    </w:rPr>
                    <w:t>冷却塔投资4万元；化粪池依托现有，0万元</w:t>
                  </w:r>
                </w:p>
              </w:tc>
            </w:tr>
            <w:tr w14:paraId="7E8A5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406" w:type="pct"/>
                  <w:tcBorders>
                    <w:tl2br w:val="nil"/>
                    <w:tr2bl w:val="nil"/>
                  </w:tcBorders>
                  <w:noWrap w:val="0"/>
                  <w:vAlign w:val="center"/>
                </w:tcPr>
                <w:p w14:paraId="47CF09B6">
                  <w:pPr>
                    <w:pStyle w:val="51"/>
                    <w:bidi w:val="0"/>
                    <w:rPr>
                      <w:rFonts w:hint="default"/>
                      <w:color w:val="000000"/>
                      <w:lang w:val="en-US" w:eastAsia="zh-CN"/>
                    </w:rPr>
                  </w:pPr>
                  <w:r>
                    <w:rPr>
                      <w:rFonts w:hint="eastAsia"/>
                      <w:color w:val="000000"/>
                      <w:lang w:val="en-US" w:eastAsia="zh-CN"/>
                    </w:rPr>
                    <w:t>2</w:t>
                  </w:r>
                </w:p>
              </w:tc>
              <w:tc>
                <w:tcPr>
                  <w:tcW w:w="527" w:type="pct"/>
                  <w:tcBorders>
                    <w:tl2br w:val="nil"/>
                    <w:tr2bl w:val="nil"/>
                  </w:tcBorders>
                  <w:noWrap w:val="0"/>
                  <w:vAlign w:val="center"/>
                </w:tcPr>
                <w:p w14:paraId="4386A28B">
                  <w:pPr>
                    <w:pStyle w:val="51"/>
                    <w:bidi w:val="0"/>
                    <w:rPr>
                      <w:rFonts w:hint="default"/>
                      <w:color w:val="000000"/>
                      <w:lang w:val="en-US" w:eastAsia="zh-CN"/>
                    </w:rPr>
                  </w:pPr>
                  <w:r>
                    <w:rPr>
                      <w:rFonts w:hint="eastAsia"/>
                      <w:color w:val="000000"/>
                      <w:lang w:val="en-US" w:eastAsia="zh-CN"/>
                    </w:rPr>
                    <w:t>废气</w:t>
                  </w:r>
                </w:p>
              </w:tc>
              <w:tc>
                <w:tcPr>
                  <w:tcW w:w="3208" w:type="pct"/>
                  <w:tcBorders>
                    <w:tl2br w:val="nil"/>
                    <w:tr2bl w:val="nil"/>
                  </w:tcBorders>
                  <w:noWrap w:val="0"/>
                  <w:vAlign w:val="center"/>
                </w:tcPr>
                <w:p w14:paraId="1C47F076">
                  <w:pP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项目注塑废气通过集气罩收集后由一套“活性炭吸附装置”</w:t>
                  </w:r>
                  <w:r>
                    <w:rPr>
                      <w:rFonts w:hint="eastAsia" w:cs="Times New Roman"/>
                      <w:color w:val="auto"/>
                      <w:sz w:val="21"/>
                      <w:szCs w:val="21"/>
                      <w:highlight w:val="none"/>
                      <w:vertAlign w:val="baseline"/>
                      <w:lang w:val="en-US" w:eastAsia="zh-CN"/>
                    </w:rPr>
                    <w:t>（TA001）</w:t>
                  </w:r>
                  <w:r>
                    <w:rPr>
                      <w:rFonts w:hint="eastAsia" w:ascii="Times New Roman" w:hAnsi="Times New Roman" w:eastAsia="宋体" w:cs="Times New Roman"/>
                      <w:color w:val="auto"/>
                      <w:sz w:val="21"/>
                      <w:szCs w:val="21"/>
                      <w:highlight w:val="none"/>
                      <w:vertAlign w:val="baseline"/>
                      <w:lang w:val="en-US" w:eastAsia="zh-CN"/>
                    </w:rPr>
                    <w:t>处理后，通过1根15</w:t>
                  </w:r>
                  <w:r>
                    <w:rPr>
                      <w:rFonts w:hint="eastAsia" w:cs="Times New Roman"/>
                      <w:color w:val="auto"/>
                      <w:sz w:val="21"/>
                      <w:szCs w:val="21"/>
                      <w:highlight w:val="none"/>
                      <w:vertAlign w:val="baseline"/>
                      <w:lang w:val="en-US" w:eastAsia="zh-CN"/>
                    </w:rPr>
                    <w:t>m</w:t>
                  </w:r>
                  <w:r>
                    <w:rPr>
                      <w:rFonts w:hint="eastAsia" w:ascii="Times New Roman" w:hAnsi="Times New Roman" w:eastAsia="宋体" w:cs="Times New Roman"/>
                      <w:color w:val="auto"/>
                      <w:sz w:val="21"/>
                      <w:szCs w:val="21"/>
                      <w:highlight w:val="none"/>
                      <w:vertAlign w:val="baseline"/>
                      <w:lang w:val="en-US" w:eastAsia="zh-CN"/>
                    </w:rPr>
                    <w:t>高排气筒DA00</w:t>
                  </w:r>
                  <w:r>
                    <w:rPr>
                      <w:rFonts w:hint="eastAsia" w:cs="Times New Roman"/>
                      <w:color w:val="auto"/>
                      <w:sz w:val="21"/>
                      <w:szCs w:val="21"/>
                      <w:highlight w:val="none"/>
                      <w:vertAlign w:val="baseline"/>
                      <w:lang w:val="en-US" w:eastAsia="zh-CN"/>
                    </w:rPr>
                    <w:t>1</w:t>
                  </w:r>
                  <w:r>
                    <w:rPr>
                      <w:rFonts w:hint="eastAsia" w:ascii="Times New Roman" w:hAnsi="Times New Roman" w:eastAsia="宋体" w:cs="Times New Roman"/>
                      <w:color w:val="auto"/>
                      <w:sz w:val="21"/>
                      <w:szCs w:val="21"/>
                      <w:highlight w:val="none"/>
                      <w:vertAlign w:val="baseline"/>
                      <w:lang w:val="en-US" w:eastAsia="zh-CN"/>
                    </w:rPr>
                    <w:t>排放</w:t>
                  </w:r>
                </w:p>
              </w:tc>
              <w:tc>
                <w:tcPr>
                  <w:tcW w:w="857" w:type="pct"/>
                  <w:tcBorders>
                    <w:tl2br w:val="nil"/>
                    <w:tr2bl w:val="nil"/>
                  </w:tcBorders>
                  <w:noWrap w:val="0"/>
                  <w:vAlign w:val="center"/>
                </w:tcPr>
                <w:p w14:paraId="49D6D728">
                  <w:pPr>
                    <w:pStyle w:val="51"/>
                    <w:bidi w:val="0"/>
                    <w:rPr>
                      <w:rFonts w:hint="default"/>
                      <w:color w:val="000000"/>
                      <w:lang w:val="en-US" w:eastAsia="zh-CN"/>
                    </w:rPr>
                  </w:pPr>
                  <w:r>
                    <w:rPr>
                      <w:rFonts w:hint="eastAsia"/>
                      <w:color w:val="000000"/>
                      <w:lang w:val="en-US" w:eastAsia="zh-CN"/>
                    </w:rPr>
                    <w:t>8万元</w:t>
                  </w:r>
                </w:p>
              </w:tc>
            </w:tr>
            <w:tr w14:paraId="4ABEC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4A880A5C">
                  <w:pPr>
                    <w:pStyle w:val="51"/>
                    <w:bidi w:val="0"/>
                    <w:rPr>
                      <w:rFonts w:hint="default"/>
                      <w:color w:val="000000"/>
                      <w:lang w:val="en-US" w:eastAsia="zh-CN"/>
                    </w:rPr>
                  </w:pPr>
                  <w:r>
                    <w:rPr>
                      <w:rFonts w:hint="eastAsia"/>
                      <w:color w:val="000000"/>
                      <w:lang w:val="en-US" w:eastAsia="zh-CN"/>
                    </w:rPr>
                    <w:t>3</w:t>
                  </w:r>
                </w:p>
              </w:tc>
              <w:tc>
                <w:tcPr>
                  <w:tcW w:w="527" w:type="pct"/>
                  <w:tcBorders>
                    <w:tl2br w:val="nil"/>
                    <w:tr2bl w:val="nil"/>
                  </w:tcBorders>
                  <w:noWrap w:val="0"/>
                  <w:vAlign w:val="center"/>
                </w:tcPr>
                <w:p w14:paraId="7CDCF599">
                  <w:pPr>
                    <w:pStyle w:val="51"/>
                    <w:bidi w:val="0"/>
                    <w:rPr>
                      <w:rFonts w:hint="default"/>
                      <w:color w:val="000000"/>
                      <w:lang w:val="en-US" w:eastAsia="zh-CN"/>
                    </w:rPr>
                  </w:pPr>
                  <w:r>
                    <w:rPr>
                      <w:rFonts w:hint="eastAsia"/>
                      <w:color w:val="000000"/>
                      <w:lang w:val="en-US" w:eastAsia="zh-CN"/>
                    </w:rPr>
                    <w:t>噪声</w:t>
                  </w:r>
                </w:p>
              </w:tc>
              <w:tc>
                <w:tcPr>
                  <w:tcW w:w="3208" w:type="pct"/>
                  <w:tcBorders>
                    <w:tl2br w:val="nil"/>
                    <w:tr2bl w:val="nil"/>
                  </w:tcBorders>
                  <w:noWrap w:val="0"/>
                  <w:vAlign w:val="center"/>
                </w:tcPr>
                <w:p w14:paraId="40A1F659">
                  <w:pPr>
                    <w:pStyle w:val="51"/>
                    <w:bidi w:val="0"/>
                    <w:rPr>
                      <w:rFonts w:hint="default"/>
                      <w:color w:val="000000"/>
                      <w:lang w:val="en-US" w:eastAsia="zh-CN"/>
                    </w:rPr>
                  </w:pPr>
                  <w:r>
                    <w:rPr>
                      <w:rFonts w:hint="eastAsia"/>
                      <w:color w:val="000000"/>
                      <w:lang w:val="en-US" w:eastAsia="zh-CN"/>
                    </w:rPr>
                    <w:t>优先选用先进、低噪声设备；对高噪声设备采取减振基础、安装减振垫圈等减振措施；对各类机械设备定期检修、维护，防止设备异常噪声产生；优化平面布局，合理布置高噪声设备于远离声环境敏感点位置</w:t>
                  </w:r>
                </w:p>
              </w:tc>
              <w:tc>
                <w:tcPr>
                  <w:tcW w:w="857" w:type="pct"/>
                  <w:tcBorders>
                    <w:tl2br w:val="nil"/>
                    <w:tr2bl w:val="nil"/>
                  </w:tcBorders>
                  <w:noWrap w:val="0"/>
                  <w:vAlign w:val="center"/>
                </w:tcPr>
                <w:p w14:paraId="2472EE8F">
                  <w:pPr>
                    <w:pStyle w:val="51"/>
                    <w:bidi w:val="0"/>
                    <w:rPr>
                      <w:rFonts w:hint="default"/>
                      <w:color w:val="000000"/>
                      <w:lang w:val="en-US" w:eastAsia="zh-CN"/>
                    </w:rPr>
                  </w:pPr>
                  <w:r>
                    <w:rPr>
                      <w:rFonts w:hint="eastAsia"/>
                      <w:color w:val="000000"/>
                      <w:lang w:val="en-US" w:eastAsia="zh-CN"/>
                    </w:rPr>
                    <w:t>2万元</w:t>
                  </w:r>
                </w:p>
              </w:tc>
            </w:tr>
            <w:tr w14:paraId="68F89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2EFFFD52">
                  <w:pPr>
                    <w:pStyle w:val="51"/>
                    <w:bidi w:val="0"/>
                    <w:rPr>
                      <w:rFonts w:hint="default"/>
                      <w:color w:val="000000"/>
                      <w:lang w:val="en-US" w:eastAsia="zh-CN"/>
                    </w:rPr>
                  </w:pPr>
                  <w:r>
                    <w:rPr>
                      <w:rFonts w:hint="eastAsia"/>
                      <w:color w:val="000000"/>
                      <w:lang w:val="en-US" w:eastAsia="zh-CN"/>
                    </w:rPr>
                    <w:t>4</w:t>
                  </w:r>
                </w:p>
              </w:tc>
              <w:tc>
                <w:tcPr>
                  <w:tcW w:w="527" w:type="pct"/>
                  <w:tcBorders>
                    <w:tl2br w:val="nil"/>
                    <w:tr2bl w:val="nil"/>
                  </w:tcBorders>
                  <w:noWrap w:val="0"/>
                  <w:vAlign w:val="center"/>
                </w:tcPr>
                <w:p w14:paraId="3A32BC4B">
                  <w:pPr>
                    <w:pStyle w:val="51"/>
                    <w:bidi w:val="0"/>
                    <w:rPr>
                      <w:rFonts w:hint="default"/>
                      <w:color w:val="000000"/>
                      <w:lang w:val="en-US" w:eastAsia="zh-CN"/>
                    </w:rPr>
                  </w:pPr>
                  <w:r>
                    <w:rPr>
                      <w:rFonts w:hint="eastAsia"/>
                      <w:color w:val="000000"/>
                      <w:lang w:val="en-US" w:eastAsia="zh-CN"/>
                    </w:rPr>
                    <w:t>固体废物</w:t>
                  </w:r>
                </w:p>
              </w:tc>
              <w:tc>
                <w:tcPr>
                  <w:tcW w:w="3208" w:type="pct"/>
                  <w:tcBorders>
                    <w:tl2br w:val="nil"/>
                    <w:tr2bl w:val="nil"/>
                  </w:tcBorders>
                  <w:noWrap w:val="0"/>
                  <w:vAlign w:val="center"/>
                </w:tcPr>
                <w:p w14:paraId="40BB6C85">
                  <w:pPr>
                    <w:pStyle w:val="51"/>
                    <w:bidi w:val="0"/>
                    <w:rPr>
                      <w:rFonts w:hint="default"/>
                      <w:color w:val="000000"/>
                      <w:lang w:val="en-US" w:eastAsia="zh-CN"/>
                    </w:rPr>
                  </w:pPr>
                  <w:r>
                    <w:rPr>
                      <w:rFonts w:hint="eastAsia"/>
                      <w:color w:val="000000"/>
                      <w:lang w:val="en-US" w:eastAsia="zh-CN"/>
                    </w:rPr>
                    <w:t>一般工业固体废物定期外售给其他企业综合利用；设置垃圾桶存放生活垃圾，并委托环卫部门定期清运；危险废物存放于危险废物</w:t>
                  </w:r>
                  <w:r>
                    <w:rPr>
                      <w:rFonts w:hint="eastAsia" w:ascii="Times New Roman" w:hAnsi="Times New Roman" w:eastAsia="宋体" w:cs="Times New Roman"/>
                      <w:color w:val="000000"/>
                      <w:lang w:val="en-US" w:eastAsia="zh-CN"/>
                    </w:rPr>
                    <w:t>贮存库，定</w:t>
                  </w:r>
                  <w:r>
                    <w:rPr>
                      <w:rFonts w:hint="eastAsia"/>
                      <w:color w:val="000000"/>
                      <w:lang w:val="en-US" w:eastAsia="zh-CN"/>
                    </w:rPr>
                    <w:t>期委托有处置危险废物资质的单位处置</w:t>
                  </w:r>
                </w:p>
              </w:tc>
              <w:tc>
                <w:tcPr>
                  <w:tcW w:w="857" w:type="pct"/>
                  <w:tcBorders>
                    <w:tl2br w:val="nil"/>
                    <w:tr2bl w:val="nil"/>
                  </w:tcBorders>
                  <w:noWrap w:val="0"/>
                  <w:vAlign w:val="center"/>
                </w:tcPr>
                <w:p w14:paraId="5D2DC293">
                  <w:pPr>
                    <w:pStyle w:val="51"/>
                    <w:bidi w:val="0"/>
                    <w:rPr>
                      <w:rFonts w:hint="default"/>
                      <w:color w:val="000000"/>
                      <w:lang w:val="en-US" w:eastAsia="zh-CN"/>
                    </w:rPr>
                  </w:pPr>
                  <w:r>
                    <w:rPr>
                      <w:rFonts w:hint="eastAsia"/>
                      <w:color w:val="000000"/>
                      <w:lang w:val="en-US" w:eastAsia="zh-CN"/>
                    </w:rPr>
                    <w:t>1万元</w:t>
                  </w:r>
                </w:p>
              </w:tc>
            </w:tr>
            <w:tr w14:paraId="6D448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2" w:type="pct"/>
                  <w:gridSpan w:val="3"/>
                  <w:tcBorders>
                    <w:tl2br w:val="nil"/>
                    <w:tr2bl w:val="nil"/>
                  </w:tcBorders>
                  <w:noWrap w:val="0"/>
                  <w:vAlign w:val="center"/>
                </w:tcPr>
                <w:p w14:paraId="2D131CB0">
                  <w:pPr>
                    <w:pStyle w:val="51"/>
                    <w:bidi w:val="0"/>
                    <w:rPr>
                      <w:rFonts w:hint="default"/>
                      <w:color w:val="000000"/>
                      <w:lang w:val="en-US" w:eastAsia="zh-CN"/>
                    </w:rPr>
                  </w:pPr>
                  <w:r>
                    <w:rPr>
                      <w:rFonts w:hint="eastAsia"/>
                      <w:color w:val="000000"/>
                      <w:lang w:val="en-US" w:eastAsia="zh-CN"/>
                    </w:rPr>
                    <w:t>合计</w:t>
                  </w:r>
                </w:p>
              </w:tc>
              <w:tc>
                <w:tcPr>
                  <w:tcW w:w="857" w:type="pct"/>
                  <w:tcBorders>
                    <w:tl2br w:val="nil"/>
                    <w:tr2bl w:val="nil"/>
                  </w:tcBorders>
                  <w:noWrap w:val="0"/>
                  <w:vAlign w:val="center"/>
                </w:tcPr>
                <w:p w14:paraId="6A442A08">
                  <w:pPr>
                    <w:pStyle w:val="51"/>
                    <w:bidi w:val="0"/>
                    <w:rPr>
                      <w:rFonts w:hint="default"/>
                      <w:color w:val="000000"/>
                      <w:lang w:val="en-US" w:eastAsia="zh-CN"/>
                    </w:rPr>
                  </w:pPr>
                  <w:r>
                    <w:rPr>
                      <w:rFonts w:hint="eastAsia"/>
                      <w:color w:val="000000"/>
                      <w:lang w:val="en-US" w:eastAsia="zh-CN"/>
                    </w:rPr>
                    <w:t>15万元</w:t>
                  </w:r>
                </w:p>
              </w:tc>
            </w:tr>
          </w:tbl>
          <w:p w14:paraId="5C46BAB4">
            <w:pPr>
              <w:pStyle w:val="3"/>
              <w:rPr>
                <w:rFonts w:hint="default"/>
                <w:lang w:val="en-US" w:eastAsia="zh-CN"/>
              </w:rPr>
            </w:pPr>
          </w:p>
        </w:tc>
      </w:tr>
    </w:tbl>
    <w:p w14:paraId="04038DAC">
      <w:pPr>
        <w:pStyle w:val="72"/>
        <w:rPr>
          <w:color w:val="auto"/>
          <w:highlight w:val="none"/>
        </w:rPr>
      </w:pPr>
      <w:bookmarkStart w:id="144" w:name="_Toc31345"/>
      <w:bookmarkStart w:id="145" w:name="_Toc12951"/>
      <w:bookmarkStart w:id="146" w:name="_Toc9430"/>
      <w:bookmarkStart w:id="147" w:name="_Toc1654"/>
      <w:bookmarkStart w:id="148" w:name="_Toc28426"/>
      <w:bookmarkStart w:id="149" w:name="_Toc27194"/>
      <w:bookmarkStart w:id="150" w:name="_Toc1298"/>
      <w:bookmarkStart w:id="151" w:name="_Toc25037"/>
      <w:r>
        <w:rPr>
          <w:color w:val="auto"/>
          <w:highlight w:val="none"/>
        </w:rPr>
        <w:t>五、</w:t>
      </w:r>
      <w:bookmarkStart w:id="152" w:name="_Hlk54167917"/>
      <w:r>
        <w:rPr>
          <w:color w:val="auto"/>
          <w:highlight w:val="none"/>
        </w:rPr>
        <w:t>环境保护措施监督检查清单</w:t>
      </w:r>
      <w:bookmarkEnd w:id="144"/>
      <w:bookmarkEnd w:id="145"/>
      <w:bookmarkEnd w:id="146"/>
      <w:bookmarkEnd w:id="147"/>
      <w:bookmarkEnd w:id="148"/>
      <w:bookmarkEnd w:id="149"/>
      <w:bookmarkEnd w:id="150"/>
      <w:bookmarkEnd w:id="151"/>
      <w:bookmarkEnd w:id="152"/>
    </w:p>
    <w:tbl>
      <w:tblPr>
        <w:tblStyle w:val="22"/>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6"/>
        <w:gridCol w:w="525"/>
        <w:gridCol w:w="1178"/>
        <w:gridCol w:w="1135"/>
        <w:gridCol w:w="2040"/>
        <w:gridCol w:w="3874"/>
      </w:tblGrid>
      <w:tr w14:paraId="17803E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061" w:type="dxa"/>
            <w:gridSpan w:val="2"/>
            <w:tcBorders>
              <w:tl2br w:val="single" w:color="auto" w:sz="4" w:space="0"/>
            </w:tcBorders>
            <w:noWrap w:val="0"/>
            <w:vAlign w:val="top"/>
          </w:tcPr>
          <w:p w14:paraId="0757F5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textAlignment w:val="auto"/>
              <w:outlineLvl w:val="9"/>
              <w:rPr>
                <w:rFonts w:hint="default" w:ascii="Times New Roman" w:hAnsi="Times New Roman" w:eastAsia="宋体" w:cs="Times New Roman"/>
                <w:sz w:val="21"/>
                <w:szCs w:val="21"/>
                <w:lang w:val="en-GB" w:eastAsia="zh-CN"/>
              </w:rPr>
            </w:pPr>
            <w:r>
              <w:rPr>
                <w:rFonts w:hint="default" w:ascii="Times New Roman" w:hAnsi="Times New Roman" w:eastAsia="宋体" w:cs="Times New Roman"/>
                <w:color w:val="auto"/>
                <w:kern w:val="2"/>
                <w:sz w:val="21"/>
                <w:szCs w:val="21"/>
                <w:highlight w:val="none"/>
                <w:lang w:val="en-GB" w:eastAsia="zh-CN" w:bidi="ar-SA"/>
              </w:rPr>
              <w:t>内容</w:t>
            </w:r>
          </w:p>
          <w:p w14:paraId="7D8118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p w14:paraId="271132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要素</w:t>
            </w:r>
          </w:p>
        </w:tc>
        <w:tc>
          <w:tcPr>
            <w:tcW w:w="1178" w:type="dxa"/>
            <w:noWrap w:val="0"/>
            <w:vAlign w:val="center"/>
          </w:tcPr>
          <w:p w14:paraId="7C3D6B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排放口</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编号、名称</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/污染源</w:t>
            </w:r>
          </w:p>
        </w:tc>
        <w:tc>
          <w:tcPr>
            <w:tcW w:w="1135" w:type="dxa"/>
            <w:noWrap w:val="0"/>
            <w:vAlign w:val="center"/>
          </w:tcPr>
          <w:p w14:paraId="02F913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污染物项目</w:t>
            </w:r>
          </w:p>
        </w:tc>
        <w:tc>
          <w:tcPr>
            <w:tcW w:w="2040" w:type="dxa"/>
            <w:noWrap w:val="0"/>
            <w:vAlign w:val="center"/>
          </w:tcPr>
          <w:p w14:paraId="061BBD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环境保护措施</w:t>
            </w:r>
          </w:p>
        </w:tc>
        <w:tc>
          <w:tcPr>
            <w:tcW w:w="3874" w:type="dxa"/>
            <w:noWrap w:val="0"/>
            <w:vAlign w:val="center"/>
          </w:tcPr>
          <w:p w14:paraId="1DC582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执行标准</w:t>
            </w:r>
          </w:p>
        </w:tc>
      </w:tr>
      <w:tr w14:paraId="52C1E6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3" w:hRule="atLeast"/>
          <w:jc w:val="center"/>
        </w:trPr>
        <w:tc>
          <w:tcPr>
            <w:tcW w:w="1061" w:type="dxa"/>
            <w:gridSpan w:val="2"/>
            <w:vMerge w:val="restart"/>
            <w:noWrap w:val="0"/>
            <w:vAlign w:val="center"/>
          </w:tcPr>
          <w:p w14:paraId="7867AE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大气环境</w:t>
            </w:r>
          </w:p>
        </w:tc>
        <w:tc>
          <w:tcPr>
            <w:tcW w:w="1178" w:type="dxa"/>
            <w:vMerge w:val="restart"/>
            <w:noWrap w:val="0"/>
            <w:vAlign w:val="center"/>
          </w:tcPr>
          <w:p w14:paraId="3350E2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生产废气</w:t>
            </w:r>
            <w:r>
              <w:rPr>
                <w:rFonts w:hint="default" w:ascii="Times New Roman" w:hAnsi="Times New Roman" w:eastAsia="宋体" w:cs="Times New Roman"/>
                <w:color w:val="auto"/>
                <w:kern w:val="2"/>
                <w:sz w:val="21"/>
                <w:szCs w:val="21"/>
                <w:highlight w:val="none"/>
                <w:lang w:val="en-US" w:eastAsia="zh-CN" w:bidi="ar-SA"/>
              </w:rPr>
              <w:t>排气筒（DA001）</w:t>
            </w:r>
          </w:p>
        </w:tc>
        <w:tc>
          <w:tcPr>
            <w:tcW w:w="1135" w:type="dxa"/>
            <w:noWrap w:val="0"/>
            <w:vAlign w:val="center"/>
          </w:tcPr>
          <w:p w14:paraId="0B5B29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非甲烷总烃、</w:t>
            </w:r>
            <w:r>
              <w:rPr>
                <w:rFonts w:hint="eastAsia" w:cs="Times New Roman"/>
                <w:color w:val="auto"/>
                <w:spacing w:val="0"/>
                <w:kern w:val="21"/>
                <w:sz w:val="21"/>
                <w:szCs w:val="21"/>
                <w:highlight w:val="none"/>
                <w:lang w:val="en-US" w:eastAsia="zh-CN"/>
              </w:rPr>
              <w:t>苯乙烯、丙烯腈、1,3-丁二烯、甲苯、乙苯、</w:t>
            </w:r>
            <w:r>
              <w:rPr>
                <w:rFonts w:hint="default" w:ascii="Times New Roman" w:hAnsi="Times New Roman" w:eastAsia="宋体" w:cs="Times New Roman"/>
                <w:color w:val="auto"/>
                <w:spacing w:val="0"/>
                <w:kern w:val="21"/>
                <w:sz w:val="21"/>
                <w:szCs w:val="21"/>
                <w:highlight w:val="none"/>
                <w:lang w:val="en-US" w:eastAsia="zh-CN"/>
              </w:rPr>
              <w:t>臭气</w:t>
            </w:r>
          </w:p>
        </w:tc>
        <w:tc>
          <w:tcPr>
            <w:tcW w:w="2040" w:type="dxa"/>
            <w:noWrap w:val="0"/>
            <w:vAlign w:val="center"/>
          </w:tcPr>
          <w:p w14:paraId="54C761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w:t>
            </w:r>
            <w:r>
              <w:rPr>
                <w:rFonts w:hint="eastAsia"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val="en-US" w:eastAsia="zh-CN"/>
              </w:rPr>
              <w:t>活性炭吸附装置</w:t>
            </w:r>
            <w:r>
              <w:rPr>
                <w:rFonts w:hint="eastAsia" w:eastAsia="宋体" w:cs="Times New Roman"/>
                <w:color w:val="auto"/>
                <w:sz w:val="21"/>
                <w:szCs w:val="21"/>
                <w:highlight w:val="none"/>
                <w:lang w:val="en-US" w:eastAsia="zh-CN"/>
              </w:rPr>
              <w:t>（TA001）</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m高排气筒</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DA001</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排放</w:t>
            </w:r>
            <w:r>
              <w:rPr>
                <w:rFonts w:hint="eastAsia" w:cs="Times New Roman"/>
                <w:color w:val="auto"/>
                <w:sz w:val="21"/>
                <w:szCs w:val="21"/>
                <w:highlight w:val="none"/>
                <w:lang w:val="en-US" w:eastAsia="zh-CN"/>
              </w:rPr>
              <w:t>，风机风量为8000m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p>
        </w:tc>
        <w:tc>
          <w:tcPr>
            <w:tcW w:w="3874" w:type="dxa"/>
            <w:noWrap w:val="0"/>
            <w:vAlign w:val="center"/>
          </w:tcPr>
          <w:p w14:paraId="2A9C0C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eastAsia="宋体" w:cs="Times New Roman"/>
                <w:color w:val="auto"/>
                <w:sz w:val="21"/>
                <w:szCs w:val="21"/>
                <w:highlight w:val="none"/>
                <w:lang w:val="en-GB" w:eastAsia="zh-CN"/>
              </w:rPr>
            </w:pPr>
            <w:r>
              <w:rPr>
                <w:rFonts w:hint="eastAsia" w:ascii="Times New Roman" w:hAnsi="Times New Roman" w:eastAsia="宋体" w:cs="Times New Roman"/>
                <w:color w:val="auto"/>
                <w:spacing w:val="0"/>
                <w:sz w:val="21"/>
                <w:szCs w:val="21"/>
                <w:highlight w:val="none"/>
                <w:lang w:val="en-US" w:eastAsia="zh-CN"/>
              </w:rPr>
              <w:t>非甲烷总烃</w:t>
            </w:r>
            <w:r>
              <w:rPr>
                <w:rFonts w:hint="eastAsia" w:cs="Times New Roman"/>
                <w:color w:val="auto"/>
                <w:spacing w:val="0"/>
                <w:sz w:val="21"/>
                <w:szCs w:val="21"/>
                <w:highlight w:val="none"/>
                <w:lang w:val="en-US" w:eastAsia="zh-CN"/>
              </w:rPr>
              <w:t>、</w:t>
            </w:r>
            <w:r>
              <w:rPr>
                <w:rFonts w:hint="eastAsia" w:cs="Times New Roman"/>
                <w:color w:val="auto"/>
                <w:spacing w:val="0"/>
                <w:kern w:val="21"/>
                <w:sz w:val="21"/>
                <w:szCs w:val="21"/>
                <w:highlight w:val="none"/>
                <w:lang w:val="en-US" w:eastAsia="zh-CN"/>
              </w:rPr>
              <w:t>苯乙烯、丙烯腈、1,3-丁二烯、甲苯、乙苯</w:t>
            </w:r>
            <w:r>
              <w:rPr>
                <w:rFonts w:hint="eastAsia" w:ascii="Times New Roman" w:hAnsi="Times New Roman" w:eastAsia="宋体" w:cs="Times New Roman"/>
                <w:color w:val="auto"/>
                <w:spacing w:val="0"/>
                <w:sz w:val="21"/>
                <w:szCs w:val="21"/>
                <w:highlight w:val="none"/>
                <w:lang w:val="en-US" w:eastAsia="zh-CN"/>
              </w:rPr>
              <w:t>有组织排放执行</w:t>
            </w:r>
            <w:r>
              <w:rPr>
                <w:rFonts w:hint="eastAsia" w:ascii="Times New Roman" w:hAnsi="Times New Roman" w:eastAsia="宋体" w:cs="Times New Roman"/>
                <w:color w:val="auto"/>
                <w:kern w:val="18"/>
                <w:lang w:val="en-US" w:eastAsia="zh-CN"/>
              </w:rPr>
              <w:t>《合成树脂工业污染物排放标准》（GB31572-2015）中表</w:t>
            </w:r>
            <w:r>
              <w:rPr>
                <w:rFonts w:hint="eastAsia" w:eastAsia="宋体" w:cs="Times New Roman"/>
                <w:color w:val="auto"/>
                <w:kern w:val="18"/>
                <w:lang w:val="en-US" w:eastAsia="zh-CN"/>
              </w:rPr>
              <w:t>5</w:t>
            </w:r>
            <w:r>
              <w:rPr>
                <w:rFonts w:hint="eastAsia" w:ascii="Times New Roman" w:hAnsi="Times New Roman" w:eastAsia="宋体" w:cs="Times New Roman"/>
                <w:color w:val="auto"/>
                <w:kern w:val="18"/>
                <w:lang w:val="en-US" w:eastAsia="zh-CN"/>
              </w:rPr>
              <w:t>大气污染物排放限值</w:t>
            </w:r>
            <w:r>
              <w:rPr>
                <w:rFonts w:hint="eastAsia" w:ascii="Times New Roman" w:hAnsi="Times New Roman" w:eastAsia="宋体" w:cs="Times New Roman"/>
                <w:color w:val="auto"/>
                <w:kern w:val="18"/>
                <w:highlight w:val="none"/>
                <w:lang w:val="en-US" w:eastAsia="zh-CN"/>
              </w:rPr>
              <w:t>；臭气浓度有组织排放执行</w:t>
            </w:r>
            <w:r>
              <w:rPr>
                <w:rFonts w:hint="default" w:ascii="Times New Roman" w:hAnsi="Times New Roman" w:eastAsia="宋体" w:cs="Times New Roman"/>
                <w:color w:val="auto"/>
                <w:sz w:val="21"/>
                <w:szCs w:val="21"/>
                <w:highlight w:val="none"/>
              </w:rPr>
              <w:t>《恶臭污染物排放标准》</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GB14554-93</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表</w:t>
            </w: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pacing w:val="0"/>
                <w:sz w:val="21"/>
                <w:szCs w:val="21"/>
                <w:highlight w:val="none"/>
                <w:lang w:eastAsia="zh-CN"/>
              </w:rPr>
              <w:t>（</w:t>
            </w:r>
            <w:r>
              <w:rPr>
                <w:rFonts w:hint="eastAsia"/>
                <w:color w:val="auto"/>
                <w:highlight w:val="none"/>
                <w:lang w:val="en-US" w:eastAsia="zh-CN"/>
              </w:rPr>
              <w:t>即非甲烷总烃</w:t>
            </w:r>
            <w:r>
              <w:rPr>
                <w:rFonts w:hint="eastAsia" w:cs="Times New Roman"/>
                <w:color w:val="auto"/>
                <w:szCs w:val="21"/>
                <w:highlight w:val="none"/>
                <w:lang w:eastAsia="zh-CN"/>
              </w:rPr>
              <w:t>≤</w:t>
            </w:r>
            <w:r>
              <w:rPr>
                <w:rFonts w:hint="eastAsia" w:cs="Times New Roman"/>
                <w:color w:val="auto"/>
                <w:szCs w:val="21"/>
                <w:highlight w:val="none"/>
                <w:lang w:val="en-US" w:eastAsia="zh-CN"/>
              </w:rPr>
              <w:t>60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s="Times New Roman"/>
                <w:color w:val="auto"/>
                <w:szCs w:val="21"/>
                <w:highlight w:val="none"/>
                <w:vertAlign w:val="baseline"/>
                <w:lang w:eastAsia="zh-CN"/>
              </w:rPr>
              <w:t>苯乙烯</w:t>
            </w:r>
            <w:r>
              <w:rPr>
                <w:rFonts w:hint="eastAsia" w:cs="Times New Roman"/>
                <w:color w:val="auto"/>
                <w:szCs w:val="21"/>
                <w:highlight w:val="none"/>
                <w:lang w:eastAsia="zh-CN"/>
              </w:rPr>
              <w:t>≤</w:t>
            </w:r>
            <w:r>
              <w:rPr>
                <w:rFonts w:hint="eastAsia" w:cs="Times New Roman"/>
                <w:color w:val="auto"/>
                <w:szCs w:val="21"/>
                <w:highlight w:val="none"/>
                <w:lang w:val="en-US" w:eastAsia="zh-CN"/>
              </w:rPr>
              <w:t>20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s="Times New Roman"/>
                <w:color w:val="auto"/>
                <w:szCs w:val="21"/>
                <w:highlight w:val="none"/>
                <w:vertAlign w:val="baseline"/>
                <w:lang w:eastAsia="zh-CN"/>
              </w:rPr>
              <w:t>丙烯腈</w:t>
            </w:r>
            <w:r>
              <w:rPr>
                <w:rFonts w:hint="eastAsia" w:cs="Times New Roman"/>
                <w:color w:val="auto"/>
                <w:szCs w:val="21"/>
                <w:highlight w:val="none"/>
                <w:lang w:eastAsia="zh-CN"/>
              </w:rPr>
              <w:t>≤</w:t>
            </w:r>
            <w:r>
              <w:rPr>
                <w:rFonts w:hint="eastAsia" w:cs="Times New Roman"/>
                <w:color w:val="auto"/>
                <w:szCs w:val="21"/>
                <w:highlight w:val="none"/>
                <w:lang w:val="en-US" w:eastAsia="zh-CN"/>
              </w:rPr>
              <w:t>0.5</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s="Times New Roman"/>
                <w:color w:val="auto"/>
                <w:szCs w:val="21"/>
                <w:highlight w:val="none"/>
                <w:vertAlign w:val="baseline"/>
                <w:lang w:val="en-US" w:eastAsia="zh-CN"/>
              </w:rPr>
              <w:t>1,3-丁二烯</w:t>
            </w: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s="Times New Roman"/>
                <w:color w:val="auto"/>
                <w:szCs w:val="21"/>
                <w:highlight w:val="none"/>
                <w:vertAlign w:val="baseline"/>
                <w:lang w:eastAsia="zh-CN"/>
              </w:rPr>
              <w:t>甲苯</w:t>
            </w:r>
            <w:r>
              <w:rPr>
                <w:rFonts w:hint="eastAsia" w:cs="Times New Roman"/>
                <w:color w:val="auto"/>
                <w:szCs w:val="21"/>
                <w:highlight w:val="none"/>
                <w:lang w:eastAsia="zh-CN"/>
              </w:rPr>
              <w:t>≤</w:t>
            </w:r>
            <w:r>
              <w:rPr>
                <w:rFonts w:hint="eastAsia" w:cs="Times New Roman"/>
                <w:color w:val="auto"/>
                <w:szCs w:val="21"/>
                <w:highlight w:val="none"/>
                <w:lang w:val="en-US" w:eastAsia="zh-CN"/>
              </w:rPr>
              <w:t>8</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s="Times New Roman"/>
                <w:color w:val="auto"/>
                <w:szCs w:val="21"/>
                <w:highlight w:val="none"/>
                <w:vertAlign w:val="baseline"/>
                <w:lang w:eastAsia="zh-CN"/>
              </w:rPr>
              <w:t>乙苯</w:t>
            </w:r>
            <w:r>
              <w:rPr>
                <w:rFonts w:hint="eastAsia" w:cs="Times New Roman"/>
                <w:color w:val="auto"/>
                <w:szCs w:val="21"/>
                <w:highlight w:val="none"/>
                <w:lang w:eastAsia="zh-CN"/>
              </w:rPr>
              <w:t>≤</w:t>
            </w:r>
            <w:r>
              <w:rPr>
                <w:rFonts w:hint="eastAsia" w:cs="Times New Roman"/>
                <w:color w:val="auto"/>
                <w:szCs w:val="21"/>
                <w:highlight w:val="none"/>
                <w:lang w:val="en-US" w:eastAsia="zh-CN"/>
              </w:rPr>
              <w:t>50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；臭气浓度</w:t>
            </w:r>
            <w:r>
              <w:rPr>
                <w:rFonts w:hint="eastAsia" w:cs="Times New Roman"/>
                <w:color w:val="auto"/>
                <w:szCs w:val="21"/>
                <w:highlight w:val="none"/>
                <w:lang w:eastAsia="zh-CN"/>
              </w:rPr>
              <w:t>≤</w:t>
            </w:r>
            <w:r>
              <w:rPr>
                <w:rFonts w:hint="eastAsia" w:cs="Times New Roman"/>
                <w:color w:val="auto"/>
                <w:szCs w:val="21"/>
                <w:highlight w:val="none"/>
                <w:lang w:val="en-US" w:eastAsia="zh-CN"/>
              </w:rPr>
              <w:t>2000（无量纲））</w:t>
            </w:r>
          </w:p>
        </w:tc>
      </w:tr>
      <w:tr w14:paraId="213A9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1061" w:type="dxa"/>
            <w:gridSpan w:val="2"/>
            <w:vMerge w:val="continue"/>
            <w:noWrap w:val="0"/>
            <w:vAlign w:val="center"/>
          </w:tcPr>
          <w:p w14:paraId="4AF357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178" w:type="dxa"/>
            <w:vMerge w:val="continue"/>
            <w:noWrap w:val="0"/>
            <w:vAlign w:val="center"/>
          </w:tcPr>
          <w:p w14:paraId="706E8D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kern w:val="2"/>
                <w:sz w:val="21"/>
                <w:szCs w:val="21"/>
                <w:highlight w:val="none"/>
                <w:lang w:val="en-US" w:eastAsia="zh-CN" w:bidi="ar-SA"/>
              </w:rPr>
            </w:pPr>
          </w:p>
        </w:tc>
        <w:tc>
          <w:tcPr>
            <w:tcW w:w="1135" w:type="dxa"/>
            <w:noWrap w:val="0"/>
            <w:vAlign w:val="center"/>
          </w:tcPr>
          <w:p w14:paraId="0E460C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颗粒物</w:t>
            </w:r>
          </w:p>
        </w:tc>
        <w:tc>
          <w:tcPr>
            <w:tcW w:w="2040" w:type="dxa"/>
            <w:noWrap w:val="0"/>
            <w:vAlign w:val="center"/>
          </w:tcPr>
          <w:p w14:paraId="49DC0A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w:t>
            </w:r>
            <w:r>
              <w:rPr>
                <w:rFonts w:hint="eastAsia" w:cs="Times New Roman"/>
                <w:color w:val="auto"/>
                <w:sz w:val="21"/>
                <w:szCs w:val="21"/>
                <w:highlight w:val="none"/>
                <w:lang w:val="en-US" w:eastAsia="zh-CN"/>
              </w:rPr>
              <w:t>布袋除尘器（TA002）</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m高排气筒</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DA001</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排放</w:t>
            </w:r>
            <w:r>
              <w:rPr>
                <w:rFonts w:hint="eastAsia" w:cs="Times New Roman"/>
                <w:color w:val="auto"/>
                <w:sz w:val="21"/>
                <w:szCs w:val="21"/>
                <w:highlight w:val="none"/>
                <w:lang w:val="en-US" w:eastAsia="zh-CN"/>
              </w:rPr>
              <w:t>，风机风量为8000m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p>
        </w:tc>
        <w:tc>
          <w:tcPr>
            <w:tcW w:w="3874" w:type="dxa"/>
            <w:noWrap w:val="0"/>
            <w:vAlign w:val="center"/>
          </w:tcPr>
          <w:p w14:paraId="431976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kern w:val="18"/>
                <w:lang w:val="en-US" w:eastAsia="zh-CN"/>
              </w:rPr>
              <w:t>《合成树脂工业污染物排放标准》（GB31572-2015）中表</w:t>
            </w:r>
            <w:r>
              <w:rPr>
                <w:rFonts w:hint="eastAsia" w:eastAsia="宋体" w:cs="Times New Roman"/>
                <w:color w:val="auto"/>
                <w:kern w:val="18"/>
                <w:lang w:val="en-US" w:eastAsia="zh-CN"/>
              </w:rPr>
              <w:t>5</w:t>
            </w:r>
            <w:r>
              <w:rPr>
                <w:rFonts w:hint="eastAsia" w:ascii="Times New Roman" w:hAnsi="Times New Roman" w:eastAsia="宋体" w:cs="Times New Roman"/>
                <w:color w:val="auto"/>
                <w:kern w:val="18"/>
                <w:lang w:val="en-US" w:eastAsia="zh-CN"/>
              </w:rPr>
              <w:t>大气污染物排放限值</w:t>
            </w:r>
            <w:r>
              <w:rPr>
                <w:rFonts w:hint="eastAsia" w:ascii="Times New Roman" w:hAnsi="Times New Roman" w:eastAsia="宋体" w:cs="Times New Roman"/>
                <w:color w:val="auto"/>
                <w:kern w:val="18"/>
                <w:highlight w:val="none"/>
                <w:lang w:val="en-US" w:eastAsia="zh-CN"/>
              </w:rPr>
              <w:t>；</w:t>
            </w:r>
            <w:r>
              <w:rPr>
                <w:rFonts w:hint="eastAsia" w:cs="Times New Roman"/>
                <w:color w:val="auto"/>
                <w:kern w:val="18"/>
                <w:highlight w:val="none"/>
                <w:lang w:val="en-US" w:eastAsia="zh-CN"/>
              </w:rPr>
              <w:t>（即颗粒物≤20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cs="Times New Roman"/>
                <w:color w:val="auto"/>
                <w:kern w:val="18"/>
                <w:highlight w:val="none"/>
                <w:lang w:val="en-US" w:eastAsia="zh-CN"/>
              </w:rPr>
              <w:t>）</w:t>
            </w:r>
          </w:p>
        </w:tc>
      </w:tr>
      <w:tr w14:paraId="14EE72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1" w:type="dxa"/>
            <w:gridSpan w:val="2"/>
            <w:vMerge w:val="continue"/>
            <w:noWrap w:val="0"/>
            <w:vAlign w:val="center"/>
          </w:tcPr>
          <w:p w14:paraId="63180E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178" w:type="dxa"/>
            <w:noWrap w:val="0"/>
            <w:vAlign w:val="center"/>
          </w:tcPr>
          <w:p w14:paraId="0D6FA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厂区内</w:t>
            </w:r>
          </w:p>
        </w:tc>
        <w:tc>
          <w:tcPr>
            <w:tcW w:w="1135" w:type="dxa"/>
            <w:noWrap w:val="0"/>
            <w:vAlign w:val="center"/>
          </w:tcPr>
          <w:p w14:paraId="031064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2040" w:type="dxa"/>
            <w:vMerge w:val="restart"/>
            <w:noWrap w:val="0"/>
            <w:vAlign w:val="center"/>
          </w:tcPr>
          <w:p w14:paraId="24765C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bidi="he-IL"/>
              </w:rPr>
            </w:pPr>
            <w:r>
              <w:rPr>
                <w:rFonts w:hint="default" w:ascii="Times New Roman" w:hAnsi="Times New Roman" w:eastAsia="宋体" w:cs="Times New Roman"/>
                <w:color w:val="auto"/>
                <w:spacing w:val="0"/>
                <w:kern w:val="0"/>
                <w:sz w:val="21"/>
                <w:szCs w:val="21"/>
                <w:highlight w:val="none"/>
                <w:lang w:val="en-US" w:eastAsia="zh-CN" w:bidi="he-IL"/>
              </w:rPr>
              <w:t>加强废气的收集及活性炭吸附净化装置维护保养，防止废气事故无组织排放；生产过程中门窗关闭，保持一个相对密闭的空间，合理设计送排风系统</w:t>
            </w:r>
          </w:p>
        </w:tc>
        <w:tc>
          <w:tcPr>
            <w:tcW w:w="3874" w:type="dxa"/>
            <w:tcBorders>
              <w:bottom w:val="single" w:color="000000" w:sz="4" w:space="0"/>
            </w:tcBorders>
            <w:noWrap w:val="0"/>
            <w:vAlign w:val="center"/>
          </w:tcPr>
          <w:p w14:paraId="27EBDA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非甲烷总烃</w:t>
            </w:r>
            <w:r>
              <w:rPr>
                <w:rFonts w:hint="default" w:ascii="Times New Roman" w:hAnsi="Times New Roman" w:eastAsia="宋体" w:cs="Times New Roman"/>
                <w:color w:val="auto"/>
                <w:sz w:val="21"/>
                <w:szCs w:val="21"/>
                <w:highlight w:val="none"/>
              </w:rPr>
              <w:t>企业</w:t>
            </w:r>
            <w:r>
              <w:rPr>
                <w:rFonts w:hint="default" w:ascii="Times New Roman" w:hAnsi="Times New Roman" w:eastAsia="宋体" w:cs="Times New Roman"/>
                <w:color w:val="auto"/>
                <w:sz w:val="21"/>
                <w:szCs w:val="21"/>
                <w:highlight w:val="none"/>
                <w:lang w:eastAsia="zh-CN"/>
              </w:rPr>
              <w:t>厂内</w:t>
            </w:r>
            <w:r>
              <w:rPr>
                <w:rFonts w:hint="default" w:ascii="Times New Roman" w:hAnsi="Times New Roman" w:cs="Times New Roman"/>
                <w:color w:val="auto"/>
                <w:sz w:val="21"/>
                <w:szCs w:val="21"/>
                <w:highlight w:val="none"/>
                <w:lang w:val="en-US" w:eastAsia="zh-CN"/>
              </w:rPr>
              <w:t>监控点1h平均浓度值</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厂区内监控点任意一次浓度值</w:t>
            </w:r>
            <w:r>
              <w:rPr>
                <w:rFonts w:hint="default" w:ascii="Times New Roman" w:hAnsi="Times New Roman" w:cs="Times New Roman"/>
                <w:color w:val="auto"/>
                <w:sz w:val="21"/>
                <w:szCs w:val="21"/>
                <w:highlight w:val="none"/>
                <w:lang w:eastAsia="zh-CN"/>
              </w:rPr>
              <w:t>满足</w:t>
            </w:r>
            <w:r>
              <w:rPr>
                <w:rFonts w:hint="default" w:ascii="Times New Roman" w:hAnsi="Times New Roman" w:eastAsia="宋体" w:cs="Times New Roman"/>
                <w:color w:val="auto"/>
                <w:sz w:val="21"/>
                <w:szCs w:val="21"/>
                <w:highlight w:val="none"/>
                <w:lang w:val="en-US" w:eastAsia="zh-CN"/>
              </w:rPr>
              <w:t>《挥发性有机物无组织排放控制标准》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GB37822-2019</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shd w:val="clear" w:color="auto" w:fill="FFFFFF"/>
                <w:lang w:eastAsia="zh-CN"/>
              </w:rPr>
              <w:t>中附录A表A.1</w:t>
            </w:r>
            <w:r>
              <w:rPr>
                <w:rFonts w:hint="eastAsia" w:cs="Times New Roman"/>
                <w:color w:val="auto"/>
                <w:sz w:val="21"/>
                <w:szCs w:val="21"/>
                <w:shd w:val="clear" w:color="auto" w:fill="FFFFFF"/>
                <w:lang w:val="en-US" w:eastAsia="zh-CN"/>
              </w:rPr>
              <w:t>特别排放</w:t>
            </w:r>
            <w:r>
              <w:rPr>
                <w:rFonts w:hint="default" w:ascii="Times New Roman" w:hAnsi="Times New Roman" w:cs="Times New Roman"/>
                <w:color w:val="auto"/>
                <w:sz w:val="21"/>
                <w:szCs w:val="21"/>
                <w:shd w:val="clear" w:color="auto" w:fill="FFFFFF"/>
                <w:lang w:eastAsia="zh-CN"/>
              </w:rPr>
              <w:t>标准限值</w:t>
            </w:r>
            <w:r>
              <w:rPr>
                <w:rFonts w:hint="eastAsia" w:ascii="Times New Roman" w:hAnsi="Times New Roman" w:cs="Times New Roman"/>
                <w:color w:val="auto"/>
                <w:sz w:val="21"/>
                <w:szCs w:val="21"/>
                <w:shd w:val="clear" w:color="auto" w:fill="FFFFFF"/>
                <w:lang w:eastAsia="zh-CN"/>
              </w:rPr>
              <w:t>（</w:t>
            </w:r>
            <w:r>
              <w:rPr>
                <w:rFonts w:hint="default" w:ascii="Times New Roman" w:hAnsi="Times New Roman" w:eastAsia="宋体" w:cs="Times New Roman"/>
                <w:color w:val="auto"/>
                <w:sz w:val="21"/>
                <w:szCs w:val="21"/>
                <w:highlight w:val="none"/>
                <w:lang w:val="en-US" w:eastAsia="zh-CN"/>
              </w:rPr>
              <w:t>即非甲烷总烃无组织排放</w:t>
            </w:r>
            <w:r>
              <w:rPr>
                <w:rFonts w:hint="default" w:ascii="Times New Roman" w:hAnsi="Times New Roman" w:eastAsia="宋体" w:cs="Times New Roman"/>
                <w:color w:val="auto"/>
                <w:sz w:val="21"/>
                <w:szCs w:val="21"/>
                <w:shd w:val="clear" w:color="auto" w:fill="FFFFFF"/>
                <w:lang w:eastAsia="zh-CN"/>
              </w:rPr>
              <w:t>监控点处</w:t>
            </w:r>
            <w:r>
              <w:rPr>
                <w:rFonts w:hint="default" w:ascii="Times New Roman" w:hAnsi="Times New Roman" w:eastAsia="宋体" w:cs="Times New Roman"/>
                <w:color w:val="auto"/>
                <w:sz w:val="21"/>
                <w:szCs w:val="21"/>
                <w:shd w:val="clear" w:color="auto" w:fill="FFFFFF"/>
                <w:lang w:val="en-US" w:eastAsia="zh-CN"/>
              </w:rPr>
              <w:t>1h平均浓度值</w:t>
            </w:r>
            <w:r>
              <w:rPr>
                <w:rFonts w:hint="eastAsia" w:ascii="Times New Roman" w:hAnsi="Times New Roman" w:eastAsia="宋体" w:cs="Times New Roman"/>
                <w:color w:val="auto"/>
                <w:sz w:val="21"/>
                <w:szCs w:val="21"/>
                <w:shd w:val="clear" w:color="auto" w:fill="FFFFFF"/>
                <w:lang w:val="en-US" w:eastAsia="zh-CN"/>
              </w:rPr>
              <w:t>≤</w:t>
            </w:r>
            <w:r>
              <w:rPr>
                <w:rFonts w:hint="eastAsia" w:eastAsia="宋体" w:cs="Times New Roman"/>
                <w:color w:val="auto"/>
                <w:sz w:val="21"/>
                <w:szCs w:val="21"/>
                <w:shd w:val="clear" w:color="auto" w:fill="FFFFFF"/>
                <w:lang w:val="en-US" w:eastAsia="zh-CN"/>
              </w:rPr>
              <w:t>6.0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，监控点处任意一点浓度值</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p>
        </w:tc>
      </w:tr>
      <w:tr w14:paraId="008CB5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1" w:type="dxa"/>
            <w:gridSpan w:val="2"/>
            <w:vMerge w:val="continue"/>
            <w:noWrap w:val="0"/>
            <w:vAlign w:val="center"/>
          </w:tcPr>
          <w:p w14:paraId="167097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178" w:type="dxa"/>
            <w:noWrap w:val="0"/>
            <w:vAlign w:val="center"/>
          </w:tcPr>
          <w:p w14:paraId="2C9365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w:t>
            </w:r>
          </w:p>
        </w:tc>
        <w:tc>
          <w:tcPr>
            <w:tcW w:w="1135" w:type="dxa"/>
            <w:noWrap w:val="0"/>
            <w:vAlign w:val="center"/>
          </w:tcPr>
          <w:p w14:paraId="709DDC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非甲烷总烃、颗粒物、</w:t>
            </w:r>
            <w:r>
              <w:rPr>
                <w:rFonts w:hint="eastAsia" w:cs="Times New Roman"/>
                <w:color w:val="auto"/>
                <w:sz w:val="21"/>
                <w:szCs w:val="21"/>
                <w:highlight w:val="none"/>
                <w:lang w:val="en-US" w:eastAsia="zh-CN"/>
              </w:rPr>
              <w:t>甲苯、</w:t>
            </w:r>
            <w:r>
              <w:rPr>
                <w:rFonts w:hint="default" w:ascii="Times New Roman" w:hAnsi="Times New Roman" w:eastAsia="宋体" w:cs="Times New Roman"/>
                <w:color w:val="auto"/>
                <w:sz w:val="21"/>
                <w:szCs w:val="21"/>
                <w:highlight w:val="none"/>
                <w:lang w:val="en-US" w:eastAsia="zh-CN"/>
              </w:rPr>
              <w:t>臭气浓度</w:t>
            </w:r>
          </w:p>
        </w:tc>
        <w:tc>
          <w:tcPr>
            <w:tcW w:w="2040" w:type="dxa"/>
            <w:vMerge w:val="continue"/>
            <w:noWrap w:val="0"/>
            <w:vAlign w:val="center"/>
          </w:tcPr>
          <w:p w14:paraId="0B5E04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3874" w:type="dxa"/>
            <w:noWrap w:val="0"/>
            <w:vAlign w:val="center"/>
          </w:tcPr>
          <w:p w14:paraId="13FB38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非甲烷总烃</w:t>
            </w:r>
            <w:r>
              <w:rPr>
                <w:rFonts w:hint="eastAsia" w:cs="Times New Roman"/>
                <w:color w:val="auto"/>
                <w:spacing w:val="0"/>
                <w:sz w:val="21"/>
                <w:szCs w:val="21"/>
                <w:highlight w:val="none"/>
                <w:lang w:val="en-US" w:eastAsia="zh-CN"/>
              </w:rPr>
              <w:t>、甲苯、颗粒物</w:t>
            </w:r>
            <w:r>
              <w:rPr>
                <w:rFonts w:hint="eastAsia" w:ascii="Times New Roman" w:hAnsi="Times New Roman" w:eastAsia="宋体" w:cs="Times New Roman"/>
                <w:color w:val="auto"/>
                <w:spacing w:val="0"/>
                <w:sz w:val="21"/>
                <w:szCs w:val="21"/>
                <w:highlight w:val="none"/>
                <w:lang w:val="en-US" w:eastAsia="zh-CN"/>
              </w:rPr>
              <w:t>执行《合成树脂工业污染物排放标准》（GB31572-2015）中表9企业边界大气污染物浓度限值</w:t>
            </w:r>
            <w:r>
              <w:rPr>
                <w:rFonts w:hint="eastAsia" w:ascii="Times New Roman" w:hAnsi="Times New Roman" w:eastAsia="宋体" w:cs="Times New Roman"/>
                <w:color w:val="auto"/>
                <w:kern w:val="18"/>
                <w:lang w:val="en-US" w:eastAsia="zh-CN"/>
              </w:rPr>
              <w:t>；臭气浓度厂界执行</w:t>
            </w:r>
            <w:r>
              <w:rPr>
                <w:rFonts w:hint="default" w:ascii="Times New Roman" w:hAnsi="Times New Roman" w:eastAsia="宋体" w:cs="Times New Roman"/>
                <w:color w:val="auto"/>
                <w:sz w:val="21"/>
                <w:szCs w:val="21"/>
                <w:highlight w:val="none"/>
              </w:rPr>
              <w:t>《恶臭污染物排放标准》</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GB14554-93</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表</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标准限值</w:t>
            </w:r>
            <w:r>
              <w:rPr>
                <w:rFonts w:hint="eastAsia" w:ascii="Times New Roman" w:hAnsi="Times New Roman" w:eastAsia="宋体" w:cs="Times New Roman"/>
                <w:color w:val="auto"/>
                <w:kern w:val="18"/>
                <w:lang w:val="en-US" w:eastAsia="zh-CN"/>
              </w:rPr>
              <w:t>，</w:t>
            </w:r>
            <w:r>
              <w:rPr>
                <w:rFonts w:hint="eastAsia" w:ascii="Times New Roman" w:hAnsi="Times New Roman" w:eastAsia="宋体" w:cs="Times New Roman"/>
                <w:color w:val="auto"/>
                <w:kern w:val="2"/>
                <w:sz w:val="21"/>
                <w:szCs w:val="21"/>
                <w:lang w:val="en-US" w:eastAsia="zh-CN" w:bidi="ar-SA"/>
              </w:rPr>
              <w:t>即非甲烷总烃≤</w:t>
            </w: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甲苯</w:t>
            </w:r>
            <w:r>
              <w:rPr>
                <w:rFonts w:hint="eastAsia" w:cs="Times New Roman"/>
                <w:color w:val="auto"/>
                <w:szCs w:val="21"/>
                <w:highlight w:val="none"/>
                <w:lang w:eastAsia="zh-CN"/>
              </w:rPr>
              <w:t>≤</w:t>
            </w:r>
            <w:r>
              <w:rPr>
                <w:rFonts w:hint="eastAsia" w:cs="Times New Roman"/>
                <w:color w:val="auto"/>
                <w:szCs w:val="21"/>
                <w:highlight w:val="none"/>
                <w:lang w:val="en-US" w:eastAsia="zh-CN"/>
              </w:rPr>
              <w:t>0.8</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ascii="Times New Roman" w:hAnsi="Times New Roman" w:eastAsia="宋体" w:cs="Times New Roman"/>
                <w:color w:val="auto"/>
                <w:sz w:val="21"/>
                <w:szCs w:val="21"/>
                <w:highlight w:val="none"/>
                <w:vertAlign w:val="baseline"/>
                <w:lang w:val="en-US" w:eastAsia="zh-CN"/>
              </w:rPr>
              <w:t>颗粒物</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cs="Times New Roman"/>
                <w:color w:val="auto"/>
                <w:szCs w:val="21"/>
                <w:highlight w:val="none"/>
                <w:vertAlign w:val="baseline"/>
                <w:lang w:eastAsia="zh-CN"/>
              </w:rPr>
              <w:t>臭气浓度</w:t>
            </w:r>
            <w:r>
              <w:rPr>
                <w:rFonts w:hint="eastAsia" w:cs="Times New Roman"/>
                <w:color w:val="auto"/>
                <w:szCs w:val="21"/>
                <w:highlight w:val="none"/>
                <w:lang w:eastAsia="zh-CN"/>
              </w:rPr>
              <w:t>≤</w:t>
            </w:r>
            <w:r>
              <w:rPr>
                <w:rFonts w:hint="eastAsia" w:cs="Times New Roman"/>
                <w:color w:val="auto"/>
                <w:szCs w:val="21"/>
                <w:highlight w:val="none"/>
                <w:lang w:val="en-US" w:eastAsia="zh-CN"/>
              </w:rPr>
              <w:t>20（无量纲）</w:t>
            </w:r>
          </w:p>
        </w:tc>
      </w:tr>
      <w:tr w14:paraId="6C9D9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1061" w:type="dxa"/>
            <w:gridSpan w:val="2"/>
            <w:noWrap w:val="0"/>
            <w:vAlign w:val="center"/>
          </w:tcPr>
          <w:p w14:paraId="276AE1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地表水</w:t>
            </w:r>
          </w:p>
          <w:p w14:paraId="6F4986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w:t>
            </w:r>
          </w:p>
        </w:tc>
        <w:tc>
          <w:tcPr>
            <w:tcW w:w="1178" w:type="dxa"/>
            <w:noWrap w:val="0"/>
            <w:vAlign w:val="center"/>
          </w:tcPr>
          <w:p w14:paraId="3552F4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生活废水</w:t>
            </w:r>
          </w:p>
        </w:tc>
        <w:tc>
          <w:tcPr>
            <w:tcW w:w="1135" w:type="dxa"/>
            <w:noWrap w:val="0"/>
            <w:vAlign w:val="center"/>
          </w:tcPr>
          <w:p w14:paraId="2116EB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2040" w:type="dxa"/>
            <w:noWrap w:val="0"/>
            <w:vAlign w:val="center"/>
          </w:tcPr>
          <w:p w14:paraId="664FF1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Cs/>
                <w:color w:val="000000"/>
                <w:sz w:val="21"/>
                <w:szCs w:val="21"/>
                <w:lang w:val="en-US" w:eastAsia="zh-CN"/>
              </w:rPr>
              <w:t>冷却水循环使用不外排，生活污水</w:t>
            </w:r>
            <w:r>
              <w:rPr>
                <w:rFonts w:hint="default" w:ascii="Times New Roman" w:hAnsi="Times New Roman" w:eastAsia="宋体" w:cs="Times New Roman"/>
                <w:bCs/>
                <w:color w:val="000000"/>
                <w:sz w:val="21"/>
                <w:szCs w:val="21"/>
              </w:rPr>
              <w:t>经化粪池预处理后接入市政污水管网排入</w:t>
            </w:r>
            <w:r>
              <w:rPr>
                <w:rFonts w:hint="default" w:ascii="Times New Roman" w:hAnsi="Times New Roman" w:eastAsia="宋体" w:cs="Times New Roman"/>
                <w:bCs/>
                <w:color w:val="auto"/>
                <w:sz w:val="21"/>
                <w:szCs w:val="21"/>
              </w:rPr>
              <w:t>福清市融元污水处理厂集中</w:t>
            </w:r>
            <w:r>
              <w:rPr>
                <w:rFonts w:hint="default" w:ascii="Times New Roman" w:hAnsi="Times New Roman" w:eastAsia="宋体" w:cs="Times New Roman"/>
                <w:bCs/>
                <w:color w:val="000000"/>
                <w:sz w:val="21"/>
                <w:szCs w:val="21"/>
              </w:rPr>
              <w:t>处理</w:t>
            </w:r>
          </w:p>
        </w:tc>
        <w:tc>
          <w:tcPr>
            <w:tcW w:w="3874" w:type="dxa"/>
            <w:noWrap w:val="0"/>
            <w:vAlign w:val="center"/>
          </w:tcPr>
          <w:p w14:paraId="6A64F9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生活污水执行</w:t>
            </w:r>
            <w:r>
              <w:rPr>
                <w:rFonts w:hint="default" w:ascii="Times New Roman" w:hAnsi="Times New Roman" w:eastAsia="宋体" w:cs="Times New Roman"/>
                <w:color w:val="auto"/>
                <w:sz w:val="21"/>
                <w:szCs w:val="21"/>
                <w:highlight w:val="none"/>
                <w:lang w:val="en-US" w:eastAsia="zh-CN"/>
              </w:rPr>
              <w:t>《污水综合排放标准》（GB8978-1996）表4中三级标准（其中氨氮执行</w:t>
            </w:r>
            <w:r>
              <w:rPr>
                <w:rFonts w:hint="default" w:ascii="Times New Roman" w:hAnsi="Times New Roman" w:eastAsia="宋体" w:cs="Times New Roman"/>
                <w:color w:val="auto"/>
                <w:kern w:val="0"/>
                <w:sz w:val="21"/>
                <w:szCs w:val="21"/>
                <w:highlight w:val="none"/>
              </w:rPr>
              <w:t>《污水排入城镇下水道水质标准》（GB/T31962-2015）</w:t>
            </w:r>
            <w:r>
              <w:rPr>
                <w:rFonts w:hint="default" w:ascii="Times New Roman" w:hAnsi="Times New Roman" w:eastAsia="宋体" w:cs="Times New Roman"/>
                <w:color w:val="auto"/>
                <w:sz w:val="21"/>
                <w:szCs w:val="21"/>
                <w:highlight w:val="none"/>
              </w:rPr>
              <w:t>表1中B级标准</w:t>
            </w:r>
            <w:r>
              <w:rPr>
                <w:rFonts w:hint="default" w:ascii="Times New Roman" w:hAnsi="Times New Roman" w:eastAsia="宋体" w:cs="Times New Roman"/>
                <w:color w:val="auto"/>
                <w:sz w:val="21"/>
                <w:szCs w:val="21"/>
                <w:highlight w:val="none"/>
                <w:lang w:eastAsia="zh-CN"/>
              </w:rPr>
              <w:t>限值</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lang w:val="en-US" w:eastAsia="zh-CN"/>
              </w:rPr>
              <w:t>500mg/L，</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300mg/L，</w:t>
            </w:r>
            <w:r>
              <w:rPr>
                <w:rFonts w:hint="default" w:ascii="Times New Roman" w:hAnsi="Times New Roman" w:eastAsia="宋体" w:cs="Times New Roman"/>
                <w:color w:val="auto"/>
                <w:sz w:val="21"/>
                <w:szCs w:val="21"/>
                <w:highlight w:val="none"/>
              </w:rPr>
              <w:t>SS≤</w:t>
            </w:r>
            <w:r>
              <w:rPr>
                <w:rFonts w:hint="default" w:ascii="Times New Roman" w:hAnsi="Times New Roman" w:eastAsia="宋体" w:cs="Times New Roman"/>
                <w:color w:val="auto"/>
                <w:sz w:val="21"/>
                <w:szCs w:val="21"/>
                <w:highlight w:val="none"/>
                <w:lang w:val="en-US" w:eastAsia="zh-CN"/>
              </w:rPr>
              <w:t>400mg/L，</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45mg/L）</w:t>
            </w:r>
          </w:p>
        </w:tc>
      </w:tr>
      <w:tr w14:paraId="6FE05C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1" w:type="dxa"/>
            <w:gridSpan w:val="2"/>
            <w:noWrap w:val="0"/>
            <w:vAlign w:val="center"/>
          </w:tcPr>
          <w:p w14:paraId="62F7CE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声环境</w:t>
            </w:r>
          </w:p>
        </w:tc>
        <w:tc>
          <w:tcPr>
            <w:tcW w:w="1178" w:type="dxa"/>
            <w:noWrap w:val="0"/>
            <w:vAlign w:val="center"/>
          </w:tcPr>
          <w:p w14:paraId="3AA473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厂界四周</w:t>
            </w:r>
          </w:p>
        </w:tc>
        <w:tc>
          <w:tcPr>
            <w:tcW w:w="1135" w:type="dxa"/>
            <w:noWrap w:val="0"/>
            <w:vAlign w:val="center"/>
          </w:tcPr>
          <w:p w14:paraId="1709FC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等效A声级</w:t>
            </w:r>
          </w:p>
        </w:tc>
        <w:tc>
          <w:tcPr>
            <w:tcW w:w="2040" w:type="dxa"/>
            <w:noWrap w:val="0"/>
            <w:vAlign w:val="center"/>
          </w:tcPr>
          <w:p w14:paraId="341194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选用低噪声设备，加强设备维护，高噪声设备设置基础减振、隔声等措施</w:t>
            </w:r>
          </w:p>
        </w:tc>
        <w:tc>
          <w:tcPr>
            <w:tcW w:w="3874" w:type="dxa"/>
            <w:noWrap w:val="0"/>
            <w:vAlign w:val="center"/>
          </w:tcPr>
          <w:p w14:paraId="67CA24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满足《工业企业厂界环境噪声排放标准》</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GB12348-2008</w:t>
            </w:r>
            <w:r>
              <w:rPr>
                <w:rFonts w:hint="eastAsia" w:ascii="Times New Roman" w:hAnsi="Times New Roman" w:eastAsia="宋体" w:cs="Times New Roman"/>
                <w:color w:val="auto"/>
                <w:kern w:val="2"/>
                <w:sz w:val="21"/>
                <w:szCs w:val="21"/>
                <w:highlight w:val="none"/>
                <w:lang w:val="en-GB" w:eastAsia="zh-CN" w:bidi="ar-SA"/>
              </w:rPr>
              <w:t>）</w:t>
            </w:r>
            <w:r>
              <w:rPr>
                <w:rFonts w:hint="eastAsia" w:ascii="Times New Roman" w:hAnsi="Times New Roman" w:eastAsia="宋体" w:cs="Times New Roman"/>
                <w:color w:val="auto"/>
                <w:kern w:val="2"/>
                <w:sz w:val="21"/>
                <w:szCs w:val="21"/>
                <w:highlight w:val="none"/>
                <w:lang w:val="en-US" w:eastAsia="zh-CN" w:bidi="ar-SA"/>
              </w:rPr>
              <w:t>表1</w:t>
            </w:r>
            <w:r>
              <w:rPr>
                <w:rFonts w:hint="default" w:ascii="Times New Roman" w:hAnsi="Times New Roman" w:eastAsia="宋体" w:cs="Times New Roman"/>
                <w:color w:val="auto"/>
                <w:kern w:val="2"/>
                <w:sz w:val="21"/>
                <w:szCs w:val="21"/>
                <w:highlight w:val="none"/>
                <w:lang w:val="en-GB" w:eastAsia="zh-CN" w:bidi="ar-SA"/>
              </w:rPr>
              <w:t>中</w:t>
            </w:r>
            <w:r>
              <w:rPr>
                <w:rFonts w:hint="default" w:ascii="Times New Roman" w:hAnsi="Times New Roman" w:eastAsia="宋体" w:cs="Times New Roman"/>
                <w:color w:val="auto"/>
                <w:kern w:val="2"/>
                <w:sz w:val="21"/>
                <w:szCs w:val="21"/>
                <w:highlight w:val="none"/>
                <w:lang w:val="en-US" w:eastAsia="zh-CN" w:bidi="ar-SA"/>
              </w:rPr>
              <w:t>3类标准</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GB" w:eastAsia="zh-CN" w:bidi="ar-SA"/>
              </w:rPr>
              <w:t>昼间</w:t>
            </w:r>
            <w:r>
              <w:rPr>
                <w:rFonts w:hint="default" w:ascii="Times New Roman" w:hAnsi="Times New Roman" w:eastAsia="宋体" w:cs="Times New Roman"/>
                <w:color w:val="auto"/>
                <w:kern w:val="2"/>
                <w:sz w:val="21"/>
                <w:szCs w:val="21"/>
                <w:highlight w:val="none"/>
                <w:lang w:val="en-US" w:eastAsia="zh-CN" w:bidi="ar-SA"/>
              </w:rPr>
              <w:t>噪声</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65</w:t>
            </w:r>
            <w:r>
              <w:rPr>
                <w:rFonts w:hint="default" w:ascii="Times New Roman" w:hAnsi="Times New Roman" w:eastAsia="宋体" w:cs="Times New Roman"/>
                <w:color w:val="auto"/>
                <w:kern w:val="2"/>
                <w:sz w:val="21"/>
                <w:szCs w:val="21"/>
                <w:highlight w:val="none"/>
                <w:lang w:val="en-GB" w:eastAsia="zh-CN" w:bidi="ar-SA"/>
              </w:rPr>
              <w:t>dB</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A</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夜</w:t>
            </w:r>
            <w:r>
              <w:rPr>
                <w:rFonts w:hint="default" w:ascii="Times New Roman" w:hAnsi="Times New Roman" w:eastAsia="宋体" w:cs="Times New Roman"/>
                <w:color w:val="auto"/>
                <w:kern w:val="2"/>
                <w:sz w:val="21"/>
                <w:szCs w:val="21"/>
                <w:highlight w:val="none"/>
                <w:lang w:val="en-GB" w:eastAsia="zh-CN" w:bidi="ar-SA"/>
              </w:rPr>
              <w:t>间</w:t>
            </w:r>
            <w:r>
              <w:rPr>
                <w:rFonts w:hint="default" w:ascii="Times New Roman" w:hAnsi="Times New Roman" w:eastAsia="宋体" w:cs="Times New Roman"/>
                <w:color w:val="auto"/>
                <w:kern w:val="2"/>
                <w:sz w:val="21"/>
                <w:szCs w:val="21"/>
                <w:highlight w:val="none"/>
                <w:lang w:val="en-US" w:eastAsia="zh-CN" w:bidi="ar-SA"/>
              </w:rPr>
              <w:t>噪声</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55</w:t>
            </w:r>
            <w:r>
              <w:rPr>
                <w:rFonts w:hint="default" w:ascii="Times New Roman" w:hAnsi="Times New Roman" w:eastAsia="宋体" w:cs="Times New Roman"/>
                <w:color w:val="auto"/>
                <w:kern w:val="2"/>
                <w:sz w:val="21"/>
                <w:szCs w:val="21"/>
                <w:highlight w:val="none"/>
                <w:lang w:val="en-GB" w:eastAsia="zh-CN" w:bidi="ar-SA"/>
              </w:rPr>
              <w:t>dB</w:t>
            </w:r>
            <w:r>
              <w:rPr>
                <w:rFonts w:hint="eastAsia"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A</w:t>
            </w:r>
            <w:r>
              <w:rPr>
                <w:rFonts w:hint="eastAsia" w:ascii="Times New Roman" w:hAnsi="Times New Roman" w:eastAsia="宋体" w:cs="Times New Roman"/>
                <w:color w:val="auto"/>
                <w:kern w:val="2"/>
                <w:sz w:val="21"/>
                <w:szCs w:val="21"/>
                <w:highlight w:val="none"/>
                <w:lang w:val="en-GB" w:eastAsia="zh-CN" w:bidi="ar-SA"/>
              </w:rPr>
              <w:t>））</w:t>
            </w:r>
          </w:p>
        </w:tc>
      </w:tr>
      <w:tr w14:paraId="31EA9B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1" w:type="dxa"/>
            <w:gridSpan w:val="2"/>
            <w:noWrap w:val="0"/>
            <w:vAlign w:val="center"/>
          </w:tcPr>
          <w:p w14:paraId="3A65E95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电磁</w:t>
            </w:r>
          </w:p>
          <w:p w14:paraId="570E91A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辐射</w:t>
            </w:r>
          </w:p>
        </w:tc>
        <w:tc>
          <w:tcPr>
            <w:tcW w:w="1178" w:type="dxa"/>
            <w:noWrap w:val="0"/>
            <w:vAlign w:val="center"/>
          </w:tcPr>
          <w:p w14:paraId="7263AA8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1135" w:type="dxa"/>
            <w:noWrap w:val="0"/>
            <w:vAlign w:val="center"/>
          </w:tcPr>
          <w:p w14:paraId="74BF890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2040" w:type="dxa"/>
            <w:noWrap w:val="0"/>
            <w:vAlign w:val="center"/>
          </w:tcPr>
          <w:p w14:paraId="18E784C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3874" w:type="dxa"/>
            <w:noWrap w:val="0"/>
            <w:vAlign w:val="center"/>
          </w:tcPr>
          <w:p w14:paraId="779AA94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r>
      <w:tr w14:paraId="33DBE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61" w:type="dxa"/>
            <w:gridSpan w:val="2"/>
            <w:noWrap w:val="0"/>
            <w:vAlign w:val="center"/>
          </w:tcPr>
          <w:p w14:paraId="23416E6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lang w:val="en-GB" w:eastAsia="zh-CN"/>
              </w:rPr>
              <w:t>固体</w:t>
            </w:r>
          </w:p>
          <w:p w14:paraId="495211F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lang w:val="en-GB" w:eastAsia="zh-CN"/>
              </w:rPr>
              <w:t>废物</w:t>
            </w:r>
          </w:p>
        </w:tc>
        <w:tc>
          <w:tcPr>
            <w:tcW w:w="8227" w:type="dxa"/>
            <w:gridSpan w:val="4"/>
            <w:noWrap w:val="0"/>
            <w:vAlign w:val="center"/>
          </w:tcPr>
          <w:p w14:paraId="1A79C674">
            <w:pPr>
              <w:keepNext w:val="0"/>
              <w:pageBreakBefore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①一般工业固废：设置一般工业固废暂存</w:t>
            </w:r>
            <w:r>
              <w:rPr>
                <w:rFonts w:hint="default" w:ascii="Times New Roman" w:hAnsi="Times New Roman" w:eastAsia="宋体" w:cs="Times New Roman"/>
                <w:color w:val="auto"/>
                <w:sz w:val="24"/>
                <w:szCs w:val="24"/>
                <w:highlight w:val="none"/>
                <w:lang w:val="en-US" w:eastAsia="zh-CN"/>
              </w:rPr>
              <w:t>区</w:t>
            </w:r>
            <w:r>
              <w:rPr>
                <w:rFonts w:hint="default" w:ascii="Times New Roman" w:hAnsi="Times New Roman" w:eastAsia="宋体" w:cs="Times New Roman"/>
                <w:color w:val="auto"/>
                <w:sz w:val="24"/>
                <w:szCs w:val="24"/>
                <w:highlight w:val="none"/>
              </w:rPr>
              <w:t>，满足《一般工业固体废物贮存和填埋污染控制标准》（GB 18599-2020）的相关要求；</w:t>
            </w:r>
          </w:p>
          <w:p w14:paraId="4077BC52">
            <w:pPr>
              <w:keepNext w:val="0"/>
              <w:pageBreakBefore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②危险废物：设置危险废物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sz w:val="24"/>
                <w:szCs w:val="24"/>
                <w:highlight w:val="none"/>
              </w:rPr>
              <w:t>，妥善分类收集后定期委托有资质的单位进行处置满足</w:t>
            </w:r>
            <w:r>
              <w:rPr>
                <w:rFonts w:hint="default" w:ascii="Times New Roman" w:hAnsi="Times New Roman" w:eastAsia="宋体" w:cs="Times New Roman"/>
                <w:color w:val="auto"/>
                <w:sz w:val="24"/>
                <w:szCs w:val="24"/>
                <w:highlight w:val="none"/>
                <w:lang w:val="en-GB"/>
              </w:rPr>
              <w:t>《危险废物贮存污染控制标准》</w:t>
            </w:r>
            <w:r>
              <w:rPr>
                <w:rFonts w:hint="eastAsia" w:ascii="Times New Roman" w:hAnsi="Times New Roman" w:eastAsia="宋体" w:cs="Times New Roman"/>
                <w:color w:val="auto"/>
                <w:sz w:val="24"/>
                <w:szCs w:val="24"/>
                <w:highlight w:val="none"/>
                <w:lang w:val="en-GB" w:eastAsia="zh-CN"/>
              </w:rPr>
              <w:t>（</w:t>
            </w:r>
            <w:r>
              <w:rPr>
                <w:rFonts w:hint="default" w:ascii="Times New Roman" w:hAnsi="Times New Roman" w:eastAsia="宋体" w:cs="Times New Roman"/>
                <w:color w:val="auto"/>
                <w:sz w:val="24"/>
                <w:szCs w:val="24"/>
                <w:highlight w:val="none"/>
                <w:lang w:val="en-GB"/>
              </w:rPr>
              <w:t>GB 18597</w:t>
            </w:r>
            <w:r>
              <w:rPr>
                <w:rFonts w:hint="default" w:ascii="Times New Roman" w:hAnsi="Times New Roman" w:eastAsia="宋体" w:cs="Times New Roman"/>
                <w:color w:val="auto"/>
                <w:sz w:val="24"/>
                <w:szCs w:val="24"/>
                <w:highlight w:val="none"/>
                <w:lang w:val="en-US" w:eastAsia="zh-CN"/>
              </w:rPr>
              <w:t>-2023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要求。危废转移应严格</w:t>
            </w:r>
            <w:r>
              <w:rPr>
                <w:rFonts w:hint="eastAsia" w:ascii="Times New Roman" w:hAnsi="Times New Roman" w:eastAsia="宋体" w:cs="Times New Roman"/>
                <w:color w:val="auto"/>
                <w:sz w:val="24"/>
                <w:szCs w:val="24"/>
                <w:highlight w:val="none"/>
                <w:lang w:eastAsia="zh-CN"/>
              </w:rPr>
              <w:t>按照</w:t>
            </w:r>
            <w:r>
              <w:rPr>
                <w:rFonts w:hint="default" w:ascii="Times New Roman" w:hAnsi="Times New Roman" w:eastAsia="宋体" w:cs="Times New Roman"/>
                <w:color w:val="auto"/>
                <w:sz w:val="24"/>
                <w:szCs w:val="24"/>
                <w:highlight w:val="none"/>
              </w:rPr>
              <w:t>《危险废物</w:t>
            </w:r>
            <w:r>
              <w:rPr>
                <w:rFonts w:hint="default" w:ascii="Times New Roman" w:hAnsi="Times New Roman" w:eastAsia="宋体" w:cs="Times New Roman"/>
                <w:color w:val="auto"/>
                <w:sz w:val="24"/>
                <w:szCs w:val="24"/>
                <w:highlight w:val="none"/>
                <w:lang w:val="en-US" w:eastAsia="zh-CN"/>
              </w:rPr>
              <w:t>转移</w:t>
            </w:r>
            <w:r>
              <w:rPr>
                <w:rFonts w:hint="default" w:ascii="Times New Roman" w:hAnsi="Times New Roman" w:eastAsia="宋体" w:cs="Times New Roman"/>
                <w:color w:val="auto"/>
                <w:sz w:val="24"/>
                <w:szCs w:val="24"/>
                <w:highlight w:val="none"/>
              </w:rPr>
              <w:t>管理办法》要求；</w:t>
            </w:r>
          </w:p>
          <w:p w14:paraId="6BB7A7F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sz w:val="24"/>
                <w:szCs w:val="24"/>
                <w:highlight w:val="none"/>
              </w:rPr>
              <w:t>③生活垃圾：</w:t>
            </w:r>
            <w:r>
              <w:rPr>
                <w:rFonts w:hint="default" w:ascii="Times New Roman" w:hAnsi="Times New Roman" w:eastAsia="宋体" w:cs="Times New Roman"/>
                <w:color w:val="auto"/>
                <w:sz w:val="24"/>
                <w:szCs w:val="24"/>
                <w:highlight w:val="none"/>
                <w:lang w:val="en-US" w:eastAsia="zh-CN"/>
              </w:rPr>
              <w:t>设置</w:t>
            </w:r>
            <w:r>
              <w:rPr>
                <w:rFonts w:hint="default" w:ascii="Times New Roman" w:hAnsi="Times New Roman" w:eastAsia="宋体" w:cs="Times New Roman"/>
                <w:color w:val="auto"/>
                <w:sz w:val="24"/>
                <w:szCs w:val="24"/>
                <w:highlight w:val="none"/>
              </w:rPr>
              <w:t>垃圾桶收集，由市政环卫部门统一清运处理</w:t>
            </w:r>
          </w:p>
        </w:tc>
      </w:tr>
      <w:tr w14:paraId="7DE18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1" w:type="dxa"/>
            <w:gridSpan w:val="2"/>
            <w:noWrap w:val="0"/>
            <w:vAlign w:val="center"/>
          </w:tcPr>
          <w:p w14:paraId="4F4677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土壤及地下水污染防治措施</w:t>
            </w:r>
          </w:p>
        </w:tc>
        <w:tc>
          <w:tcPr>
            <w:tcW w:w="8227" w:type="dxa"/>
            <w:gridSpan w:val="4"/>
            <w:noWrap w:val="0"/>
            <w:vAlign w:val="center"/>
          </w:tcPr>
          <w:p w14:paraId="114FCB6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合理进行防渗区域划分，危险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kern w:val="2"/>
                <w:sz w:val="24"/>
                <w:szCs w:val="24"/>
                <w:highlight w:val="none"/>
                <w:lang w:val="en-GB" w:eastAsia="zh-CN" w:bidi="ar-SA"/>
              </w:rPr>
              <w:t>等四周设置导流沟，地面</w:t>
            </w:r>
            <w:r>
              <w:rPr>
                <w:rFonts w:hint="eastAsia" w:cs="Times New Roman"/>
                <w:color w:val="auto"/>
                <w:kern w:val="2"/>
                <w:sz w:val="24"/>
                <w:szCs w:val="24"/>
                <w:highlight w:val="none"/>
                <w:lang w:val="en-GB" w:eastAsia="zh-CN" w:bidi="ar-SA"/>
              </w:rPr>
              <w:t>采用分区</w:t>
            </w:r>
            <w:r>
              <w:rPr>
                <w:rFonts w:hint="default" w:ascii="Times New Roman" w:hAnsi="Times New Roman" w:eastAsia="宋体" w:cs="Times New Roman"/>
                <w:color w:val="auto"/>
                <w:kern w:val="2"/>
                <w:sz w:val="24"/>
                <w:szCs w:val="24"/>
                <w:highlight w:val="none"/>
                <w:lang w:val="en-GB" w:eastAsia="zh-CN" w:bidi="ar-SA"/>
              </w:rPr>
              <w:t>防渗，按重点污染区防渗要求进行建设；一般工业固废间、项目生产车间等按一般污染区防渗要求进行建设</w:t>
            </w:r>
            <w:r>
              <w:rPr>
                <w:rFonts w:hint="eastAsia" w:cs="Times New Roman"/>
                <w:color w:val="auto"/>
                <w:kern w:val="2"/>
                <w:sz w:val="24"/>
                <w:szCs w:val="24"/>
                <w:highlight w:val="none"/>
                <w:lang w:val="en-GB" w:eastAsia="zh-CN" w:bidi="ar-SA"/>
              </w:rPr>
              <w:t>且</w:t>
            </w:r>
            <w:r>
              <w:rPr>
                <w:rFonts w:hint="default" w:ascii="Times New Roman" w:hAnsi="Times New Roman" w:eastAsia="宋体" w:cs="Times New Roman"/>
                <w:color w:val="auto"/>
                <w:kern w:val="2"/>
                <w:sz w:val="24"/>
                <w:szCs w:val="24"/>
                <w:highlight w:val="none"/>
                <w:lang w:val="en-GB" w:eastAsia="zh-CN" w:bidi="ar-SA"/>
              </w:rPr>
              <w:t>具有防雨、防渗、防风、防日晒等功能</w:t>
            </w:r>
          </w:p>
        </w:tc>
      </w:tr>
      <w:tr w14:paraId="42F25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61" w:type="dxa"/>
            <w:gridSpan w:val="2"/>
            <w:noWrap w:val="0"/>
            <w:vAlign w:val="center"/>
          </w:tcPr>
          <w:p w14:paraId="177BB0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生态保护措施</w:t>
            </w:r>
          </w:p>
        </w:tc>
        <w:tc>
          <w:tcPr>
            <w:tcW w:w="8227" w:type="dxa"/>
            <w:gridSpan w:val="4"/>
            <w:noWrap w:val="0"/>
            <w:vAlign w:val="center"/>
          </w:tcPr>
          <w:p w14:paraId="1BD18CA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无</w:t>
            </w:r>
          </w:p>
        </w:tc>
      </w:tr>
      <w:tr w14:paraId="6CA892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5" w:hRule="atLeast"/>
          <w:jc w:val="center"/>
        </w:trPr>
        <w:tc>
          <w:tcPr>
            <w:tcW w:w="1061" w:type="dxa"/>
            <w:gridSpan w:val="2"/>
            <w:noWrap w:val="0"/>
            <w:vAlign w:val="center"/>
          </w:tcPr>
          <w:p w14:paraId="61E88E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环境风险防范措施</w:t>
            </w:r>
          </w:p>
        </w:tc>
        <w:tc>
          <w:tcPr>
            <w:tcW w:w="8227" w:type="dxa"/>
            <w:gridSpan w:val="4"/>
            <w:noWrap w:val="0"/>
            <w:vAlign w:val="center"/>
          </w:tcPr>
          <w:p w14:paraId="638902A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危险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kern w:val="2"/>
                <w:sz w:val="24"/>
                <w:szCs w:val="24"/>
                <w:highlight w:val="none"/>
                <w:lang w:val="en-US" w:eastAsia="zh-CN" w:bidi="ar-SA"/>
              </w:rPr>
              <w:t>等四周设置导流沟，地面采取防渗、设置围堰等风险防范措施；加强消防设施和灭火器材的配备，严格落实有关消防技术规范的规定，加强人员疏散设施管理，保证疏散通道畅通。定期进行防火安全检查，确保消防设施完整等。</w:t>
            </w:r>
          </w:p>
        </w:tc>
      </w:tr>
      <w:tr w14:paraId="6743C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noWrap w:val="0"/>
            <w:vAlign w:val="center"/>
          </w:tcPr>
          <w:p w14:paraId="6A3F25F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其他环境</w:t>
            </w:r>
          </w:p>
          <w:p w14:paraId="641B868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管理要求</w:t>
            </w:r>
          </w:p>
        </w:tc>
        <w:tc>
          <w:tcPr>
            <w:tcW w:w="8752" w:type="dxa"/>
            <w:gridSpan w:val="5"/>
            <w:noWrap w:val="0"/>
            <w:vAlign w:val="center"/>
          </w:tcPr>
          <w:p w14:paraId="5EE9FEE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（1）排污口规范管理</w:t>
            </w:r>
          </w:p>
          <w:p w14:paraId="288781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各污染源排放口应设置专项图标，执行《环境保护图形标志—排放口</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源</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GB15563.1-1995</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，要求各排放口</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源</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提示标志形状采用正方形边框，背景颜色采用绿色，图形颜色采用白色。标志牌应设在与之功能相应的醒目处，并保持清晰、完整，具体详见表5.1-1。</w:t>
            </w:r>
          </w:p>
          <w:p w14:paraId="56768258">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宋体" w:cs="Times New Roman"/>
                <w:b/>
                <w:bCs/>
                <w:color w:val="auto"/>
                <w:sz w:val="24"/>
                <w:szCs w:val="24"/>
                <w:highlight w:val="none"/>
                <w:lang w:bidi="ar"/>
              </w:rPr>
            </w:pPr>
            <w:r>
              <w:rPr>
                <w:rFonts w:hint="default" w:ascii="Times New Roman" w:hAnsi="Times New Roman" w:eastAsia="宋体" w:cs="Times New Roman"/>
                <w:b/>
                <w:bCs/>
                <w:color w:val="auto"/>
                <w:sz w:val="24"/>
                <w:szCs w:val="24"/>
                <w:highlight w:val="none"/>
                <w:lang w:bidi="ar"/>
              </w:rPr>
              <w:t>表5.1-1  排污口图形符号</w:t>
            </w:r>
            <w:r>
              <w:rPr>
                <w:rFonts w:hint="eastAsia" w:ascii="Times New Roman" w:hAnsi="Times New Roman" w:eastAsia="宋体" w:cs="Times New Roman"/>
                <w:b/>
                <w:bCs/>
                <w:color w:val="auto"/>
                <w:sz w:val="24"/>
                <w:szCs w:val="24"/>
                <w:highlight w:val="none"/>
                <w:lang w:eastAsia="zh-CN" w:bidi="ar"/>
              </w:rPr>
              <w:t>（</w:t>
            </w:r>
            <w:r>
              <w:rPr>
                <w:rFonts w:hint="default" w:ascii="Times New Roman" w:hAnsi="Times New Roman" w:eastAsia="宋体" w:cs="Times New Roman"/>
                <w:b/>
                <w:bCs/>
                <w:color w:val="auto"/>
                <w:sz w:val="24"/>
                <w:szCs w:val="24"/>
                <w:highlight w:val="none"/>
                <w:lang w:bidi="ar"/>
              </w:rPr>
              <w:t>提示标志</w:t>
            </w:r>
            <w:r>
              <w:rPr>
                <w:rFonts w:hint="eastAsia" w:ascii="Times New Roman" w:hAnsi="Times New Roman" w:eastAsia="宋体" w:cs="Times New Roman"/>
                <w:b/>
                <w:bCs/>
                <w:color w:val="auto"/>
                <w:sz w:val="24"/>
                <w:szCs w:val="24"/>
                <w:highlight w:val="none"/>
                <w:lang w:eastAsia="zh-CN" w:bidi="ar"/>
              </w:rPr>
              <w:t>）</w:t>
            </w:r>
            <w:r>
              <w:rPr>
                <w:rFonts w:hint="default" w:ascii="Times New Roman" w:hAnsi="Times New Roman" w:eastAsia="宋体" w:cs="Times New Roman"/>
                <w:b/>
                <w:bCs/>
                <w:color w:val="auto"/>
                <w:sz w:val="24"/>
                <w:szCs w:val="24"/>
                <w:highlight w:val="none"/>
                <w:lang w:bidi="ar"/>
              </w:rPr>
              <w:t>一览表</w:t>
            </w:r>
          </w:p>
          <w:tbl>
            <w:tblPr>
              <w:tblStyle w:val="22"/>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43"/>
              <w:gridCol w:w="1398"/>
              <w:gridCol w:w="1399"/>
              <w:gridCol w:w="1399"/>
              <w:gridCol w:w="1448"/>
              <w:gridCol w:w="1346"/>
            </w:tblGrid>
            <w:tr w14:paraId="4770A8E6">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12" w:space="0"/>
                    <w:left w:val="nil"/>
                    <w:bottom w:val="single" w:color="auto" w:sz="6" w:space="0"/>
                    <w:right w:val="single" w:color="auto" w:sz="6" w:space="0"/>
                    <w:tl2br w:val="single" w:color="auto" w:sz="4" w:space="0"/>
                  </w:tcBorders>
                  <w:noWrap w:val="0"/>
                  <w:vAlign w:val="center"/>
                </w:tcPr>
                <w:p w14:paraId="7E348D62">
                  <w:pPr>
                    <w:pStyle w:val="61"/>
                    <w:keepNext w:val="0"/>
                    <w:pageBreakBefore w:val="0"/>
                    <w:kinsoku/>
                    <w:wordWrap/>
                    <w:overflowPunct/>
                    <w:topLinePunct w:val="0"/>
                    <w:autoSpaceDE/>
                    <w:autoSpaceDN/>
                    <w:bidi w:val="0"/>
                    <w:spacing w:line="326" w:lineRule="atLeast"/>
                    <w:jc w:val="right"/>
                    <w:textAlignment w:val="auto"/>
                    <w:outlineLvl w:val="9"/>
                    <w:rPr>
                      <w:color w:val="auto"/>
                      <w:sz w:val="21"/>
                      <w:highlight w:val="none"/>
                      <w:lang w:val="en-GB"/>
                    </w:rPr>
                  </w:pPr>
                  <w:bookmarkStart w:id="153" w:name="_Toc24814499"/>
                  <w:r>
                    <w:rPr>
                      <w:color w:val="auto"/>
                      <w:sz w:val="21"/>
                      <w:highlight w:val="none"/>
                      <w:lang w:val="en-GB"/>
                    </w:rPr>
                    <w:t xml:space="preserve">  排放部位</w:t>
                  </w:r>
                </w:p>
                <w:p w14:paraId="6AFD8358">
                  <w:pPr>
                    <w:pStyle w:val="61"/>
                    <w:keepNext w:val="0"/>
                    <w:pageBreakBefore w:val="0"/>
                    <w:kinsoku/>
                    <w:wordWrap/>
                    <w:overflowPunct/>
                    <w:topLinePunct w:val="0"/>
                    <w:autoSpaceDE/>
                    <w:autoSpaceDN/>
                    <w:bidi w:val="0"/>
                    <w:spacing w:line="326" w:lineRule="atLeast"/>
                    <w:jc w:val="both"/>
                    <w:textAlignment w:val="auto"/>
                    <w:outlineLvl w:val="9"/>
                    <w:rPr>
                      <w:color w:val="auto"/>
                      <w:sz w:val="21"/>
                      <w:highlight w:val="none"/>
                      <w:lang w:val="en-GB"/>
                    </w:rPr>
                  </w:pPr>
                  <w:r>
                    <w:rPr>
                      <w:color w:val="auto"/>
                      <w:sz w:val="21"/>
                      <w:highlight w:val="none"/>
                      <w:lang w:val="en-GB"/>
                    </w:rPr>
                    <w:t>项目</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043972F1">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污水排放口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62B6E1AF">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废气排放口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03C6A32A">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噪声排放源</w:t>
                  </w:r>
                </w:p>
              </w:tc>
              <w:tc>
                <w:tcPr>
                  <w:tcW w:w="848" w:type="pct"/>
                  <w:tcBorders>
                    <w:top w:val="single" w:color="auto" w:sz="12" w:space="0"/>
                    <w:left w:val="single" w:color="auto" w:sz="6" w:space="0"/>
                    <w:bottom w:val="single" w:color="auto" w:sz="6" w:space="0"/>
                    <w:right w:val="single" w:color="auto" w:sz="6" w:space="0"/>
                  </w:tcBorders>
                  <w:noWrap w:val="0"/>
                  <w:vAlign w:val="center"/>
                </w:tcPr>
                <w:p w14:paraId="5FF70ACF">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一般工业固废</w:t>
                  </w:r>
                </w:p>
              </w:tc>
              <w:tc>
                <w:tcPr>
                  <w:tcW w:w="788" w:type="pct"/>
                  <w:tcBorders>
                    <w:top w:val="single" w:color="auto" w:sz="12" w:space="0"/>
                    <w:left w:val="single" w:color="auto" w:sz="6" w:space="0"/>
                    <w:bottom w:val="single" w:color="auto" w:sz="6" w:space="0"/>
                    <w:right w:val="nil"/>
                  </w:tcBorders>
                  <w:noWrap w:val="0"/>
                  <w:vAlign w:val="center"/>
                </w:tcPr>
                <w:p w14:paraId="04D73619">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危险废物</w:t>
                  </w:r>
                </w:p>
              </w:tc>
            </w:tr>
            <w:tr w14:paraId="21B704EB">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5A052F23">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图形符号</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647B15E">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r>
                    <w:rPr>
                      <w:color w:val="auto"/>
                      <w:highlight w:val="none"/>
                    </w:rPr>
                    <mc:AlternateContent>
                      <mc:Choice Requires="wpg">
                        <w:drawing>
                          <wp:anchor distT="0" distB="0" distL="114300" distR="114300" simplePos="0" relativeHeight="251660288" behindDoc="0" locked="0" layoutInCell="1" allowOverlap="1">
                            <wp:simplePos x="0" y="0"/>
                            <wp:positionH relativeFrom="column">
                              <wp:posOffset>-17780</wp:posOffset>
                            </wp:positionH>
                            <wp:positionV relativeFrom="paragraph">
                              <wp:posOffset>85725</wp:posOffset>
                            </wp:positionV>
                            <wp:extent cx="3418205" cy="660400"/>
                            <wp:effectExtent l="0" t="0" r="10795" b="6350"/>
                            <wp:wrapNone/>
                            <wp:docPr id="43" name="组合 43"/>
                            <wp:cNvGraphicFramePr/>
                            <a:graphic xmlns:a="http://schemas.openxmlformats.org/drawingml/2006/main">
                              <a:graphicData uri="http://schemas.microsoft.com/office/word/2010/wordprocessingGroup">
                                <wpg:wgp>
                                  <wpg:cNvGrpSpPr/>
                                  <wpg:grpSpPr>
                                    <a:xfrm>
                                      <a:off x="0" y="0"/>
                                      <a:ext cx="3418205" cy="660400"/>
                                      <a:chOff x="4407" y="1049350"/>
                                      <a:chExt cx="4805" cy="1057"/>
                                    </a:xfrm>
                                    <a:effectLst/>
                                  </wpg:grpSpPr>
                                  <pic:pic xmlns:pic="http://schemas.openxmlformats.org/drawingml/2006/picture">
                                    <pic:nvPicPr>
                                      <pic:cNvPr id="44" name="图片 754" descr="1"/>
                                      <pic:cNvPicPr>
                                        <a:picLocks noChangeAspect="1"/>
                                      </pic:cNvPicPr>
                                    </pic:nvPicPr>
                                    <pic:blipFill>
                                      <a:blip r:embed="rId51"/>
                                      <a:stretch>
                                        <a:fillRect/>
                                      </a:stretch>
                                    </pic:blipFill>
                                    <pic:spPr>
                                      <a:xfrm>
                                        <a:off x="4407" y="1049350"/>
                                        <a:ext cx="1031" cy="1031"/>
                                      </a:xfrm>
                                      <a:prstGeom prst="rect">
                                        <a:avLst/>
                                      </a:prstGeom>
                                      <a:noFill/>
                                      <a:ln>
                                        <a:noFill/>
                                      </a:ln>
                                      <a:effectLst/>
                                    </pic:spPr>
                                  </pic:pic>
                                  <pic:pic xmlns:pic="http://schemas.openxmlformats.org/drawingml/2006/picture">
                                    <pic:nvPicPr>
                                      <pic:cNvPr id="45" name="图片 755" descr="点击看大图及详细资料"/>
                                      <pic:cNvPicPr>
                                        <a:picLocks noChangeAspect="1"/>
                                      </pic:cNvPicPr>
                                    </pic:nvPicPr>
                                    <pic:blipFill>
                                      <a:blip r:embed="rId52"/>
                                      <a:stretch>
                                        <a:fillRect/>
                                      </a:stretch>
                                    </pic:blipFill>
                                    <pic:spPr>
                                      <a:xfrm>
                                        <a:off x="5651" y="1049375"/>
                                        <a:ext cx="1031" cy="1031"/>
                                      </a:xfrm>
                                      <a:prstGeom prst="rect">
                                        <a:avLst/>
                                      </a:prstGeom>
                                      <a:noFill/>
                                      <a:ln>
                                        <a:noFill/>
                                      </a:ln>
                                      <a:effectLst/>
                                    </pic:spPr>
                                  </pic:pic>
                                  <pic:pic xmlns:pic="http://schemas.openxmlformats.org/drawingml/2006/picture">
                                    <pic:nvPicPr>
                                      <pic:cNvPr id="46" name="图片 756" descr="点击看大图及详细资料"/>
                                      <pic:cNvPicPr>
                                        <a:picLocks noChangeAspect="1"/>
                                      </pic:cNvPicPr>
                                    </pic:nvPicPr>
                                    <pic:blipFill>
                                      <a:blip r:embed="rId53"/>
                                      <a:stretch>
                                        <a:fillRect/>
                                      </a:stretch>
                                    </pic:blipFill>
                                    <pic:spPr>
                                      <a:xfrm>
                                        <a:off x="6899" y="1049361"/>
                                        <a:ext cx="1034" cy="1031"/>
                                      </a:xfrm>
                                      <a:prstGeom prst="rect">
                                        <a:avLst/>
                                      </a:prstGeom>
                                      <a:noFill/>
                                      <a:ln>
                                        <a:noFill/>
                                      </a:ln>
                                      <a:effectLst/>
                                    </pic:spPr>
                                  </pic:pic>
                                  <pic:pic xmlns:pic="http://schemas.openxmlformats.org/drawingml/2006/picture">
                                    <pic:nvPicPr>
                                      <pic:cNvPr id="47" name="图片 757" descr="一般固废"/>
                                      <pic:cNvPicPr preferRelativeResize="0"/>
                                    </pic:nvPicPr>
                                    <pic:blipFill>
                                      <a:blip r:embed="rId54"/>
                                      <a:stretch>
                                        <a:fillRect/>
                                      </a:stretch>
                                    </pic:blipFill>
                                    <pic:spPr>
                                      <a:xfrm>
                                        <a:off x="8179" y="1049376"/>
                                        <a:ext cx="1033" cy="1031"/>
                                      </a:xfrm>
                                      <a:prstGeom prst="rect">
                                        <a:avLst/>
                                      </a:prstGeom>
                                      <a:noFill/>
                                      <a:ln>
                                        <a:noFill/>
                                      </a:ln>
                                      <a:effectLst/>
                                    </pic:spPr>
                                  </pic:pic>
                                </wpg:wgp>
                              </a:graphicData>
                            </a:graphic>
                          </wp:anchor>
                        </w:drawing>
                      </mc:Choice>
                      <mc:Fallback>
                        <w:pict>
                          <v:group id="_x0000_s1026" o:spid="_x0000_s1026" o:spt="203" style="position:absolute;left:0pt;margin-left:-1.4pt;margin-top:6.75pt;height:52pt;width:269.15pt;z-index:251660288;mso-width-relative:page;mso-height-relative:page;" coordorigin="4407,1049350" coordsize="4805,1057" o:gfxdata="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">
                            <o:lock v:ext="edit" aspectratio="f"/>
                            <v:shape id="图片 754" o:spid="_x0000_s1026" o:spt="75" alt="1" type="#_x0000_t75" style="position:absolute;left:4407;top:1049350;height:1031;width:1031;" filled="f" o:preferrelative="t" stroked="f" coordsize="21600,21600" o:gfxdata="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qC5jvQAA&#10;ANsAAAAPAAAAAAAAAAEAIAAAACIAAABkcnMvZG93bnJldi54bWxQSwECFAAUAAAACACHTuJAMy8F&#10;njsAAAA5AAAAEAAAAAAAAAABACAAAAAMAQAAZHJzL3NoYXBleG1sLnhtbFBLBQYAAAAABgAGAFsB&#10;AAC2AwAAAAA=&#10;">
                              <v:fill on="f" focussize="0,0"/>
                              <v:stroke on="f"/>
                              <v:imagedata r:id="rId51" o:title=""/>
                              <o:lock v:ext="edit" aspectratio="t"/>
                            </v:shape>
                            <v:shape id="图片 755" o:spid="_x0000_s1026" o:spt="75" alt="点击看大图及详细资料" type="#_x0000_t75" style="position:absolute;left:5651;top:1049375;height:1031;width:1031;" filled="f" o:preferrelative="t" stroked="f" coordsize="21600,21600" o:gfxdata="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zc9v&#10;wAAAANsAAAAPAAAAAAAAAAEAIAAAACIAAABkcnMvZG93bnJldi54bWxQSwECFAAUAAAACACHTuJA&#10;My8FnjsAAAA5AAAAEAAAAAAAAAABACAAAAAPAQAAZHJzL3NoYXBleG1sLnhtbFBLBQYAAAAABgAG&#10;AFsBAAC5AwAAAAA=&#10;">
                              <v:fill on="f" focussize="0,0"/>
                              <v:stroke on="f"/>
                              <v:imagedata r:id="rId52" o:title=""/>
                              <o:lock v:ext="edit" aspectratio="t"/>
                            </v:shape>
                            <v:shape id="图片 756" o:spid="_x0000_s1026" o:spt="75" alt="点击看大图及详细资料" type="#_x0000_t75" style="position:absolute;left:6899;top:1049361;height:1031;width:1034;" filled="f" o:preferrelative="t" stroked="f" coordsize="21600,21600" o:gfxdata="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ROMvQAA&#10;ANsAAAAPAAAAAAAAAAEAIAAAACIAAABkcnMvZG93bnJldi54bWxQSwECFAAUAAAACACHTuJAMy8F&#10;njsAAAA5AAAAEAAAAAAAAAABACAAAAAMAQAAZHJzL3NoYXBleG1sLnhtbFBLBQYAAAAABgAGAFsB&#10;AAC2AwAAAAA=&#10;">
                              <v:fill on="f" focussize="0,0"/>
                              <v:stroke on="f"/>
                              <v:imagedata r:id="rId53" o:title=""/>
                              <o:lock v:ext="edit" aspectratio="t"/>
                            </v:shape>
                            <v:shape id="图片 757" o:spid="_x0000_s1026" o:spt="75" alt="一般固废" type="#_x0000_t75" style="position:absolute;left:8179;top:1049376;height:1031;width:1033;" filled="f" o:preferrelative="f" stroked="f" coordsize="21600,21600" o:gfxdata="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XM8L4A&#10;AADbAAAADwAAAAAAAAABACAAAAAiAAAAZHJzL2Rvd25yZXYueG1sUEsBAhQAFAAAAAgAh07iQDMv&#10;BZ47AAAAOQAAABAAAAAAAAAAAQAgAAAADQEAAGRycy9zaGFwZXhtbC54bWxQSwUGAAAAAAYABgBb&#10;AQAAtwMAAAAA&#10;">
                              <v:fill on="f" focussize="0,0"/>
                              <v:stroke on="f"/>
                              <v:imagedata r:id="rId54" o:title=""/>
                              <o:lock v:ext="edit" aspectratio="f"/>
                            </v:shape>
                          </v:group>
                        </w:pict>
                      </mc:Fallback>
                    </mc:AlternateContent>
                  </w:r>
                </w:p>
                <w:p w14:paraId="3A953D76">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39E765A6">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5F9F7673">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72FE851A">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1A1884A6">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0963D3E5">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68301F10">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56EC4BC1">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298F4B76">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48" w:type="pct"/>
                  <w:tcBorders>
                    <w:top w:val="single" w:color="auto" w:sz="6" w:space="0"/>
                    <w:left w:val="single" w:color="auto" w:sz="6" w:space="0"/>
                    <w:bottom w:val="single" w:color="auto" w:sz="6" w:space="0"/>
                    <w:right w:val="single" w:color="auto" w:sz="6" w:space="0"/>
                  </w:tcBorders>
                  <w:noWrap w:val="0"/>
                  <w:vAlign w:val="center"/>
                </w:tcPr>
                <w:p w14:paraId="3D3E72FD">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788" w:type="pct"/>
                  <w:tcBorders>
                    <w:top w:val="single" w:color="auto" w:sz="6" w:space="0"/>
                    <w:left w:val="single" w:color="auto" w:sz="6" w:space="0"/>
                    <w:bottom w:val="single" w:color="auto" w:sz="6" w:space="0"/>
                    <w:right w:val="nil"/>
                  </w:tcBorders>
                  <w:noWrap w:val="0"/>
                  <w:vAlign w:val="center"/>
                </w:tcPr>
                <w:p w14:paraId="43BBBF11">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r>
                    <w:rPr>
                      <w:rFonts w:hint="eastAsia" w:eastAsia="宋体"/>
                      <w:color w:val="auto"/>
                      <w:highlight w:val="none"/>
                      <w:lang w:eastAsia="zh-CN"/>
                    </w:rPr>
                    <w:drawing>
                      <wp:inline distT="0" distB="0" distL="114300" distR="114300">
                        <wp:extent cx="660400" cy="600710"/>
                        <wp:effectExtent l="0" t="0" r="6350" b="8890"/>
                        <wp:docPr id="48" name="图片 27" descr="093c2d640a89c2c2fc565a102dcd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descr="093c2d640a89c2c2fc565a102dcd89f"/>
                                <pic:cNvPicPr>
                                  <a:picLocks noChangeAspect="1"/>
                                </pic:cNvPicPr>
                              </pic:nvPicPr>
                              <pic:blipFill>
                                <a:blip r:embed="rId55"/>
                                <a:stretch>
                                  <a:fillRect/>
                                </a:stretch>
                              </pic:blipFill>
                              <pic:spPr>
                                <a:xfrm>
                                  <a:off x="0" y="0"/>
                                  <a:ext cx="660400" cy="600710"/>
                                </a:xfrm>
                                <a:prstGeom prst="rect">
                                  <a:avLst/>
                                </a:prstGeom>
                                <a:noFill/>
                                <a:ln>
                                  <a:noFill/>
                                </a:ln>
                              </pic:spPr>
                            </pic:pic>
                          </a:graphicData>
                        </a:graphic>
                      </wp:inline>
                    </w:drawing>
                  </w:r>
                </w:p>
              </w:tc>
            </w:tr>
            <w:tr w14:paraId="145A4D20">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0F1CDCEF">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形状</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C59054F">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5A25307">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6533895B">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6DFDD337">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三角形边框</w:t>
                  </w:r>
                </w:p>
              </w:tc>
              <w:tc>
                <w:tcPr>
                  <w:tcW w:w="788" w:type="pct"/>
                  <w:tcBorders>
                    <w:top w:val="single" w:color="auto" w:sz="6" w:space="0"/>
                    <w:left w:val="single" w:color="auto" w:sz="6" w:space="0"/>
                    <w:bottom w:val="single" w:color="auto" w:sz="6" w:space="0"/>
                    <w:right w:val="nil"/>
                  </w:tcBorders>
                  <w:noWrap w:val="0"/>
                  <w:vAlign w:val="center"/>
                </w:tcPr>
                <w:p w14:paraId="50A42015">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三角形边框</w:t>
                  </w:r>
                </w:p>
              </w:tc>
            </w:tr>
            <w:tr w14:paraId="4DA3F8CC">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6BF2417F">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背景颜色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73F892C3">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791D17A">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31DADCAC">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562B1262">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黄色</w:t>
                  </w:r>
                </w:p>
              </w:tc>
              <w:tc>
                <w:tcPr>
                  <w:tcW w:w="788" w:type="pct"/>
                  <w:tcBorders>
                    <w:top w:val="single" w:color="auto" w:sz="6" w:space="0"/>
                    <w:left w:val="single" w:color="auto" w:sz="6" w:space="0"/>
                    <w:bottom w:val="single" w:color="auto" w:sz="6" w:space="0"/>
                    <w:right w:val="nil"/>
                  </w:tcBorders>
                  <w:noWrap w:val="0"/>
                  <w:vAlign w:val="center"/>
                </w:tcPr>
                <w:p w14:paraId="45BC9F9E">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黄色</w:t>
                  </w:r>
                </w:p>
              </w:tc>
            </w:tr>
            <w:tr w14:paraId="661629FC">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12" w:space="0"/>
                    <w:right w:val="single" w:color="auto" w:sz="6" w:space="0"/>
                  </w:tcBorders>
                  <w:noWrap w:val="0"/>
                  <w:vAlign w:val="center"/>
                </w:tcPr>
                <w:p w14:paraId="570AC585">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图形颜色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5E6E73DF">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5D21128C">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0BFE1243">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48" w:type="pct"/>
                  <w:tcBorders>
                    <w:top w:val="single" w:color="auto" w:sz="6" w:space="0"/>
                    <w:left w:val="single" w:color="auto" w:sz="6" w:space="0"/>
                    <w:bottom w:val="single" w:color="auto" w:sz="12" w:space="0"/>
                    <w:right w:val="single" w:color="auto" w:sz="6" w:space="0"/>
                  </w:tcBorders>
                  <w:noWrap w:val="0"/>
                  <w:vAlign w:val="center"/>
                </w:tcPr>
                <w:p w14:paraId="3E9B059F">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黑色</w:t>
                  </w:r>
                </w:p>
              </w:tc>
              <w:tc>
                <w:tcPr>
                  <w:tcW w:w="788" w:type="pct"/>
                  <w:tcBorders>
                    <w:top w:val="single" w:color="auto" w:sz="6" w:space="0"/>
                    <w:left w:val="single" w:color="auto" w:sz="6" w:space="0"/>
                    <w:bottom w:val="single" w:color="auto" w:sz="12" w:space="0"/>
                    <w:right w:val="nil"/>
                  </w:tcBorders>
                  <w:noWrap w:val="0"/>
                  <w:vAlign w:val="center"/>
                </w:tcPr>
                <w:p w14:paraId="0AC3E7E8">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黑色</w:t>
                  </w:r>
                </w:p>
              </w:tc>
            </w:tr>
          </w:tbl>
          <w:p w14:paraId="1EED675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（2）排污申报</w:t>
            </w:r>
          </w:p>
          <w:p w14:paraId="45C357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根据《固定污染源排污许可分类管理名录</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2019年版</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生态环境部第11号</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可知，本项目实行</w:t>
            </w:r>
            <w:r>
              <w:rPr>
                <w:rFonts w:hint="default" w:ascii="Times New Roman" w:hAnsi="Times New Roman" w:eastAsia="宋体" w:cs="Times New Roman"/>
                <w:b/>
                <w:bCs/>
                <w:color w:val="auto"/>
                <w:kern w:val="2"/>
                <w:sz w:val="24"/>
                <w:szCs w:val="24"/>
                <w:highlight w:val="none"/>
                <w:lang w:val="en-US" w:eastAsia="zh-CN" w:bidi="ar-SA"/>
              </w:rPr>
              <w:t>排污许可</w:t>
            </w:r>
            <w:r>
              <w:rPr>
                <w:rFonts w:hint="eastAsia" w:eastAsia="宋体" w:cs="Times New Roman"/>
                <w:b/>
                <w:bCs/>
                <w:color w:val="auto"/>
                <w:kern w:val="2"/>
                <w:sz w:val="24"/>
                <w:szCs w:val="24"/>
                <w:highlight w:val="none"/>
                <w:lang w:val="en-US" w:eastAsia="zh-CN" w:bidi="ar-SA"/>
              </w:rPr>
              <w:t>登记</w:t>
            </w:r>
            <w:r>
              <w:rPr>
                <w:rFonts w:hint="default" w:ascii="Times New Roman" w:hAnsi="Times New Roman" w:eastAsia="宋体" w:cs="Times New Roman"/>
                <w:b/>
                <w:bCs/>
                <w:color w:val="auto"/>
                <w:kern w:val="2"/>
                <w:sz w:val="24"/>
                <w:szCs w:val="24"/>
                <w:highlight w:val="none"/>
                <w:lang w:val="en-US" w:eastAsia="zh-CN" w:bidi="ar-SA"/>
              </w:rPr>
              <w:t>管理</w:t>
            </w:r>
            <w:r>
              <w:rPr>
                <w:rFonts w:hint="eastAsia" w:ascii="Times New Roman" w:hAnsi="Times New Roman" w:eastAsia="宋体" w:cs="Times New Roman"/>
                <w:color w:val="auto"/>
                <w:kern w:val="2"/>
                <w:sz w:val="24"/>
                <w:szCs w:val="24"/>
                <w:highlight w:val="none"/>
                <w:lang w:val="en-US" w:eastAsia="zh-CN" w:bidi="ar-SA"/>
              </w:rPr>
              <w:t>（详见表5.1-2）</w:t>
            </w:r>
            <w:r>
              <w:rPr>
                <w:rFonts w:hint="default" w:ascii="Times New Roman" w:hAnsi="Times New Roman" w:eastAsia="宋体" w:cs="Times New Roman"/>
                <w:color w:val="auto"/>
                <w:kern w:val="2"/>
                <w:sz w:val="24"/>
                <w:szCs w:val="24"/>
                <w:highlight w:val="none"/>
                <w:lang w:val="en-US" w:eastAsia="zh-CN" w:bidi="ar-SA"/>
              </w:rPr>
              <w:t>；因此，建设单位应当在启动生产设施或者发生实际排污之前在全国排污许可证管理信息平台进行</w:t>
            </w:r>
            <w:r>
              <w:rPr>
                <w:rFonts w:hint="default" w:ascii="Times New Roman" w:hAnsi="Times New Roman" w:eastAsia="宋体" w:cs="Times New Roman"/>
                <w:b/>
                <w:bCs/>
                <w:color w:val="auto"/>
                <w:kern w:val="2"/>
                <w:sz w:val="24"/>
                <w:szCs w:val="24"/>
                <w:highlight w:val="none"/>
                <w:lang w:val="en-US" w:eastAsia="zh-CN" w:bidi="ar-SA"/>
              </w:rPr>
              <w:t>排污</w:t>
            </w:r>
            <w:r>
              <w:rPr>
                <w:rFonts w:hint="eastAsia" w:eastAsia="宋体" w:cs="Times New Roman"/>
                <w:b/>
                <w:bCs/>
                <w:color w:val="auto"/>
                <w:kern w:val="2"/>
                <w:sz w:val="24"/>
                <w:szCs w:val="24"/>
                <w:highlight w:val="none"/>
                <w:lang w:val="en-US" w:eastAsia="zh-CN" w:bidi="ar-SA"/>
              </w:rPr>
              <w:t>登记填</w:t>
            </w:r>
            <w:r>
              <w:rPr>
                <w:rFonts w:hint="eastAsia" w:ascii="Times New Roman" w:hAnsi="Times New Roman" w:eastAsia="宋体" w:cs="Times New Roman"/>
                <w:b/>
                <w:bCs/>
                <w:color w:val="auto"/>
                <w:kern w:val="2"/>
                <w:sz w:val="24"/>
                <w:szCs w:val="24"/>
                <w:highlight w:val="none"/>
                <w:lang w:val="en-US" w:eastAsia="zh-CN" w:bidi="ar-SA"/>
              </w:rPr>
              <w:t>报</w:t>
            </w:r>
            <w:r>
              <w:rPr>
                <w:rFonts w:hint="default" w:ascii="Times New Roman" w:hAnsi="Times New Roman" w:eastAsia="宋体" w:cs="Times New Roman"/>
                <w:color w:val="auto"/>
                <w:kern w:val="2"/>
                <w:sz w:val="24"/>
                <w:szCs w:val="24"/>
                <w:highlight w:val="none"/>
                <w:lang w:val="en-US" w:eastAsia="zh-CN" w:bidi="ar-SA"/>
              </w:rPr>
              <w:t>。</w:t>
            </w:r>
          </w:p>
          <w:p w14:paraId="3C050ED6">
            <w:pPr>
              <w:pStyle w:val="8"/>
              <w:keepNext w:val="0"/>
              <w:pageBreakBefore w:val="0"/>
              <w:kinsoku/>
              <w:wordWrap/>
              <w:overflowPunct/>
              <w:topLinePunct w:val="0"/>
              <w:autoSpaceDE/>
              <w:autoSpaceDN/>
              <w:bidi w:val="0"/>
              <w:spacing w:line="360" w:lineRule="auto"/>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 xml:space="preserve">表 5.1-2 </w:t>
            </w:r>
            <w:r>
              <w:rPr>
                <w:rFonts w:hint="eastAsia" w:ascii="Times New Roman" w:hAnsi="Times New Roman" w:eastAsia="宋体" w:cs="Times New Roman"/>
                <w:b/>
                <w:bCs/>
                <w:color w:val="auto"/>
                <w:sz w:val="24"/>
                <w:szCs w:val="24"/>
                <w:highlight w:val="none"/>
                <w:lang w:val="en-US" w:eastAsia="zh-CN"/>
              </w:rPr>
              <w:t>固定</w:t>
            </w:r>
            <w:r>
              <w:rPr>
                <w:rFonts w:hint="default" w:ascii="Times New Roman" w:hAnsi="Times New Roman" w:eastAsia="宋体" w:cs="Times New Roman"/>
                <w:b/>
                <w:bCs/>
                <w:color w:val="auto"/>
                <w:sz w:val="24"/>
                <w:szCs w:val="24"/>
                <w:highlight w:val="none"/>
                <w:lang w:val="en-US" w:eastAsia="zh-CN"/>
              </w:rPr>
              <w:t>污染源排污许可分类管理名录</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摘录</w:t>
            </w:r>
            <w:r>
              <w:rPr>
                <w:rFonts w:hint="eastAsia" w:ascii="Times New Roman" w:hAnsi="Times New Roman" w:eastAsia="宋体" w:cs="Times New Roman"/>
                <w:b/>
                <w:bCs/>
                <w:color w:val="auto"/>
                <w:sz w:val="24"/>
                <w:szCs w:val="24"/>
                <w:highlight w:val="none"/>
                <w:lang w:val="en-US" w:eastAsia="zh-CN"/>
              </w:rPr>
              <w:t>）</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2050"/>
              <w:gridCol w:w="1069"/>
              <w:gridCol w:w="4056"/>
              <w:gridCol w:w="924"/>
            </w:tblGrid>
            <w:tr w14:paraId="29179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48" w:type="pct"/>
                  <w:vAlign w:val="center"/>
                </w:tcPr>
                <w:p w14:paraId="6CA5C367">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序号</w:t>
                  </w:r>
                </w:p>
              </w:tc>
              <w:tc>
                <w:tcPr>
                  <w:tcW w:w="1202" w:type="pct"/>
                  <w:vAlign w:val="center"/>
                </w:tcPr>
                <w:p w14:paraId="3F9610A5">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行业类别</w:t>
                  </w:r>
                </w:p>
              </w:tc>
              <w:tc>
                <w:tcPr>
                  <w:tcW w:w="627" w:type="pct"/>
                  <w:vAlign w:val="center"/>
                </w:tcPr>
                <w:p w14:paraId="14CD4430">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重点管理</w:t>
                  </w:r>
                </w:p>
              </w:tc>
              <w:tc>
                <w:tcPr>
                  <w:tcW w:w="2379" w:type="pct"/>
                  <w:vAlign w:val="center"/>
                </w:tcPr>
                <w:p w14:paraId="61393B3C">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简化管理</w:t>
                  </w:r>
                </w:p>
              </w:tc>
              <w:tc>
                <w:tcPr>
                  <w:tcW w:w="542" w:type="pct"/>
                  <w:shd w:val="clear" w:color="auto" w:fill="A4A4A4" w:themeFill="background1" w:themeFillShade="A5"/>
                  <w:vAlign w:val="center"/>
                </w:tcPr>
                <w:p w14:paraId="05291B07">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登记管理</w:t>
                  </w:r>
                </w:p>
              </w:tc>
            </w:tr>
            <w:tr w14:paraId="1DB3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A4A4A4" w:themeFill="background1" w:themeFillShade="A5"/>
                  <w:vAlign w:val="center"/>
                </w:tcPr>
                <w:p w14:paraId="3D22FF23">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b/>
                      <w:bCs/>
                      <w:color w:val="000000"/>
                      <w:kern w:val="0"/>
                      <w:sz w:val="21"/>
                      <w:szCs w:val="21"/>
                      <w:lang w:val="en-US" w:eastAsia="zh-CN" w:bidi="ar"/>
                    </w:rPr>
                    <w:t>二十四、橡胶和塑料制品业 29</w:t>
                  </w:r>
                </w:p>
              </w:tc>
            </w:tr>
            <w:tr w14:paraId="3FDC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6EA3BD85">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62</w:t>
                  </w:r>
                </w:p>
              </w:tc>
              <w:tc>
                <w:tcPr>
                  <w:tcW w:w="1202" w:type="pct"/>
                  <w:vAlign w:val="center"/>
                </w:tcPr>
                <w:p w14:paraId="29203A5C">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塑料制品业 292</w:t>
                  </w:r>
                </w:p>
                <w:p w14:paraId="2F5EB123">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p>
              </w:tc>
              <w:tc>
                <w:tcPr>
                  <w:tcW w:w="627" w:type="pct"/>
                  <w:vAlign w:val="center"/>
                </w:tcPr>
                <w:p w14:paraId="6F0C6E16">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塑料人造革、合成革制造 2925</w:t>
                  </w:r>
                </w:p>
                <w:p w14:paraId="6099A9D9">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p>
              </w:tc>
              <w:tc>
                <w:tcPr>
                  <w:tcW w:w="2379" w:type="pct"/>
                  <w:vAlign w:val="center"/>
                </w:tcPr>
                <w:p w14:paraId="39416812">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年产1万吨及以上的泡沫塑料制造 2924，年产1万吨及以上涉及改性的塑料薄膜制造 2921、塑料板、管、型材制造 2922、塑料丝、绳和编织品制造 2923、塑料包装箱及容器制造 2926、日用塑料品制造 2927、人造草坪制造 2928、塑料零件及其他塑料制品制造 2929</w:t>
                  </w:r>
                </w:p>
              </w:tc>
              <w:tc>
                <w:tcPr>
                  <w:tcW w:w="542" w:type="pct"/>
                  <w:shd w:val="clear" w:color="auto" w:fill="A4A4A4" w:themeFill="background1" w:themeFillShade="A5"/>
                  <w:vAlign w:val="center"/>
                </w:tcPr>
                <w:p w14:paraId="78EA2152">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其他</w:t>
                  </w:r>
                </w:p>
              </w:tc>
            </w:tr>
            <w:tr w14:paraId="2032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A4A4A4" w:themeFill="background1" w:themeFillShade="A5"/>
                  <w:vAlign w:val="center"/>
                </w:tcPr>
                <w:p w14:paraId="6B181563">
                  <w:pPr>
                    <w:keepNext w:val="0"/>
                    <w:keepLines w:val="0"/>
                    <w:widowControl/>
                    <w:suppressLineNumbers w:val="0"/>
                    <w:jc w:val="left"/>
                    <w:rPr>
                      <w:rFonts w:hint="eastAsia" w:ascii="Times New Roman" w:hAnsi="Times New Roman" w:eastAsia="宋体" w:cs="Times New Roman"/>
                      <w:color w:val="000000"/>
                      <w:kern w:val="0"/>
                      <w:sz w:val="21"/>
                      <w:szCs w:val="21"/>
                      <w:lang w:val="en-US" w:eastAsia="zh-CN" w:bidi="ar"/>
                    </w:rPr>
                  </w:pPr>
                  <w:r>
                    <w:rPr>
                      <w:rFonts w:hint="eastAsia" w:ascii="宋体" w:hAnsi="宋体" w:eastAsia="宋体" w:cs="宋体"/>
                      <w:b/>
                      <w:bCs/>
                      <w:color w:val="000000"/>
                      <w:kern w:val="0"/>
                      <w:sz w:val="20"/>
                      <w:szCs w:val="20"/>
                      <w:lang w:val="en-US" w:eastAsia="zh-CN" w:bidi="ar"/>
                    </w:rPr>
                    <w:t>三十一、汽车制造业 36</w:t>
                  </w:r>
                </w:p>
              </w:tc>
            </w:tr>
            <w:tr w14:paraId="0E48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65ED399F">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85</w:t>
                  </w:r>
                </w:p>
              </w:tc>
              <w:tc>
                <w:tcPr>
                  <w:tcW w:w="1202" w:type="pct"/>
                  <w:vAlign w:val="center"/>
                </w:tcPr>
                <w:p w14:paraId="77C14C68">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汽车整车制造 361，汽车用发动机制造 362，改装汽车制造 363，低速汽车制造 364，电车制造 365，汽车车身、挂车制造 366，</w:t>
                  </w:r>
                  <w:r>
                    <w:rPr>
                      <w:rFonts w:hint="eastAsia" w:ascii="Times New Roman" w:hAnsi="Times New Roman" w:eastAsia="宋体" w:cs="Times New Roman"/>
                      <w:b/>
                      <w:bCs/>
                      <w:color w:val="000000"/>
                      <w:kern w:val="0"/>
                      <w:sz w:val="21"/>
                      <w:szCs w:val="21"/>
                      <w:lang w:val="en-US" w:eastAsia="zh-CN" w:bidi="ar"/>
                    </w:rPr>
                    <w:t>汽车零部件及配件制造 367</w:t>
                  </w:r>
                </w:p>
              </w:tc>
              <w:tc>
                <w:tcPr>
                  <w:tcW w:w="627" w:type="pct"/>
                  <w:vAlign w:val="center"/>
                </w:tcPr>
                <w:p w14:paraId="6793FCFD">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纳入重点排污单位名录的</w:t>
                  </w:r>
                </w:p>
                <w:p w14:paraId="5338600C">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p>
              </w:tc>
              <w:tc>
                <w:tcPr>
                  <w:tcW w:w="2379" w:type="pct"/>
                  <w:vAlign w:val="center"/>
                </w:tcPr>
                <w:p w14:paraId="5C4698AD">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 xml:space="preserve">除重点管理以外的汽车整车制造 361，除重点管理以外的年使用10吨及以上溶剂型涂料或者胶粘剂（含稀释剂、固化剂、清洗溶剂）的汽车用发动机制造 362、改装汽车制造 </w:t>
                  </w:r>
                </w:p>
                <w:p w14:paraId="13D1A1F8">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363、低速汽车制造 364、电车制造 365、汽车车身、挂车制造 366、汽车零部件及配件制造 367</w:t>
                  </w:r>
                </w:p>
              </w:tc>
              <w:tc>
                <w:tcPr>
                  <w:tcW w:w="542" w:type="pct"/>
                  <w:shd w:val="clear" w:color="auto" w:fill="A4A4A4" w:themeFill="background1" w:themeFillShade="A5"/>
                  <w:vAlign w:val="center"/>
                </w:tcPr>
                <w:p w14:paraId="37193D5A">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其他</w:t>
                  </w:r>
                </w:p>
              </w:tc>
            </w:tr>
          </w:tbl>
          <w:p w14:paraId="5F24265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（3）</w:t>
            </w:r>
            <w:bookmarkEnd w:id="153"/>
            <w:bookmarkStart w:id="154" w:name="_Toc24814500"/>
            <w:r>
              <w:rPr>
                <w:rFonts w:hint="default" w:ascii="Times New Roman" w:hAnsi="Times New Roman" w:eastAsia="宋体" w:cs="Times New Roman"/>
                <w:b/>
                <w:bCs/>
                <w:color w:val="auto"/>
                <w:kern w:val="2"/>
                <w:sz w:val="24"/>
                <w:szCs w:val="24"/>
                <w:highlight w:val="none"/>
                <w:lang w:val="en-US" w:eastAsia="zh-CN" w:bidi="ar-SA"/>
              </w:rPr>
              <w:t>自主竣工环境保护验收要求</w:t>
            </w:r>
            <w:bookmarkEnd w:id="154"/>
          </w:p>
          <w:p w14:paraId="6596A1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根据国务院【国令第682号】《建设项目环境保护管理条例》及《建设项目竣工环境保护验收暂行办法》（国环规环评</w:t>
            </w:r>
            <w:r>
              <w:rPr>
                <w:rFonts w:hint="eastAsia" w:ascii="Times New Roman" w:hAnsi="Times New Roman" w:eastAsia="宋体" w:cs="Times New Roman"/>
                <w:color w:val="auto"/>
                <w:kern w:val="2"/>
                <w:sz w:val="24"/>
                <w:szCs w:val="24"/>
                <w:highlight w:val="none"/>
                <w:lang w:val="en-US" w:eastAsia="zh-CN" w:bidi="ar-SA"/>
              </w:rPr>
              <w:t>〔2017〕4号</w:t>
            </w:r>
            <w:r>
              <w:rPr>
                <w:rFonts w:hint="default" w:ascii="Times New Roman" w:hAnsi="Times New Roman" w:eastAsia="宋体" w:cs="Times New Roman"/>
                <w:color w:val="auto"/>
                <w:kern w:val="2"/>
                <w:sz w:val="24"/>
                <w:szCs w:val="24"/>
                <w:highlight w:val="none"/>
                <w:lang w:val="en-US" w:eastAsia="zh-CN" w:bidi="ar-SA"/>
              </w:rPr>
              <w:t>），强化建设单位环境保护主体责任，落实建设项目环境保护</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三同时</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制度，规范建设项目竣工后建设单位自主开展环境保护验收的程序和标准。建设单位是建设项目竣工环境保护验收的责任主体。</w:t>
            </w:r>
          </w:p>
          <w:p w14:paraId="5A0DFD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根据</w:t>
            </w:r>
            <w:r>
              <w:rPr>
                <w:rFonts w:hint="eastAsia" w:cs="Times New Roman"/>
                <w:color w:val="auto"/>
                <w:kern w:val="2"/>
                <w:sz w:val="24"/>
                <w:szCs w:val="24"/>
                <w:highlight w:val="none"/>
                <w:lang w:val="en-US" w:eastAsia="zh-CN" w:bidi="ar-SA"/>
              </w:rPr>
              <w:t>生态环境部</w:t>
            </w:r>
            <w:r>
              <w:rPr>
                <w:rFonts w:hint="default" w:ascii="Times New Roman" w:hAnsi="Times New Roman" w:eastAsia="宋体" w:cs="Times New Roman"/>
                <w:color w:val="auto"/>
                <w:kern w:val="2"/>
                <w:sz w:val="24"/>
                <w:szCs w:val="24"/>
                <w:highlight w:val="none"/>
                <w:lang w:val="en-US" w:eastAsia="zh-CN" w:bidi="ar-SA"/>
              </w:rPr>
              <w:t>《建设项目竣工环境保护验收技术指南 污染影响类》（公告2018年第9号）中有关要求：项目竣工后，建设单位应对该项目进行环保竣工验收，委托有资质的监测单位进行项目竣工环境保护验收监测，编制项目竣工环境保护验收监测报告。经验收合格，该建设项目方可正式投入生产或使用。</w:t>
            </w:r>
          </w:p>
        </w:tc>
      </w:tr>
    </w:tbl>
    <w:p w14:paraId="093D4BAD">
      <w:r>
        <w:br w:type="page"/>
      </w:r>
    </w:p>
    <w:p w14:paraId="79D59C06">
      <w:pPr>
        <w:pStyle w:val="19"/>
        <w:jc w:val="center"/>
        <w:outlineLvl w:val="0"/>
        <w:rPr>
          <w:rFonts w:ascii="Times New Roman" w:hAnsi="Times New Roman" w:eastAsia="黑体"/>
          <w:snapToGrid w:val="0"/>
          <w:sz w:val="30"/>
          <w:szCs w:val="30"/>
        </w:rPr>
      </w:pPr>
      <w:bookmarkStart w:id="155" w:name="_Toc4252"/>
      <w:bookmarkStart w:id="156" w:name="_Toc13957"/>
      <w:r>
        <w:rPr>
          <w:rFonts w:ascii="Times New Roman" w:hAnsi="Times New Roman" w:eastAsia="黑体"/>
          <w:snapToGrid w:val="0"/>
          <w:sz w:val="30"/>
          <w:szCs w:val="30"/>
        </w:rPr>
        <w:t>六、结论</w:t>
      </w:r>
      <w:bookmarkEnd w:id="155"/>
      <w:bookmarkEnd w:id="156"/>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AD93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4C96DE39">
            <w:pPr>
              <w:spacing w:line="360" w:lineRule="auto"/>
              <w:rPr>
                <w:b/>
                <w:bCs/>
                <w:sz w:val="28"/>
                <w:szCs w:val="28"/>
              </w:rPr>
            </w:pPr>
            <w:r>
              <w:rPr>
                <w:b/>
                <w:bCs/>
                <w:sz w:val="28"/>
                <w:szCs w:val="28"/>
              </w:rPr>
              <w:t>6.1 总结论</w:t>
            </w:r>
          </w:p>
          <w:p w14:paraId="23ED5480">
            <w:pPr>
              <w:spacing w:line="360" w:lineRule="auto"/>
              <w:ind w:firstLine="480" w:firstLineChars="200"/>
              <w:rPr>
                <w:rFonts w:ascii="Times New Roman" w:hAnsi="Times New Roman"/>
                <w:sz w:val="24"/>
                <w:szCs w:val="24"/>
              </w:rPr>
            </w:pPr>
            <w:r>
              <w:rPr>
                <w:rFonts w:hint="eastAsia"/>
                <w:sz w:val="24"/>
              </w:rPr>
              <w:t>本项目</w:t>
            </w:r>
            <w:r>
              <w:rPr>
                <w:rFonts w:hint="eastAsia"/>
                <w:sz w:val="24"/>
                <w:lang w:val="en-US" w:eastAsia="zh-CN"/>
              </w:rPr>
              <w:t>位于福建省福州市福清市阳下街道上亭村</w:t>
            </w:r>
            <w:r>
              <w:rPr>
                <w:rFonts w:hint="default"/>
                <w:sz w:val="24"/>
                <w:lang w:val="en-US" w:eastAsia="zh-CN"/>
              </w:rPr>
              <w:t>（</w:t>
            </w:r>
            <w:r>
              <w:rPr>
                <w:rFonts w:hint="eastAsia"/>
                <w:sz w:val="24"/>
                <w:lang w:val="en-US" w:eastAsia="zh-CN"/>
              </w:rPr>
              <w:t>均和云谷·福清科技港31栋厂房1-4层），项目主要从事汽车塑料零部件制造，建设符合国家相关产业政策、符合《福清融侨经济技术开发区总体规划环境影响报告书（2018-2035年）》中的相关要求。符合“三线一单"以及生态分区管控控制要求，选址可行。经采取综合性、积极有效性的防治措施并确保污染物达标排放后，可避免或减少这些不利影响，使这些不利影响均在可接受范围内。</w:t>
            </w:r>
            <w:r>
              <w:rPr>
                <w:rFonts w:ascii="Times New Roman" w:hAnsi="Times New Roman"/>
                <w:sz w:val="24"/>
                <w:szCs w:val="24"/>
              </w:rPr>
              <w:t>通过对本项目的环境影响分析评价，项目运营过程中废水、废气、噪声、固废等污染物，对周围大气环境、水环境、声环境、土壤环境等造成一定不利影响，经采取综合性、积极有效的防治措施并确保污染物达标排放后，可避免或减少这些不利影响，影响均在环境可接受的范围内。</w:t>
            </w:r>
          </w:p>
          <w:p w14:paraId="44C4D557">
            <w:pPr>
              <w:spacing w:line="360" w:lineRule="auto"/>
              <w:ind w:firstLine="480" w:firstLineChars="200"/>
              <w:rPr>
                <w:rFonts w:ascii="Times New Roman" w:hAnsi="Times New Roman" w:eastAsia="宋体" w:cs="Times New Roman"/>
                <w:sz w:val="24"/>
              </w:rPr>
            </w:pPr>
            <w:r>
              <w:rPr>
                <w:sz w:val="24"/>
              </w:rPr>
              <w:t>综上所述，在认真执行建设项目</w:t>
            </w:r>
            <w:r>
              <w:rPr>
                <w:rFonts w:hint="eastAsia"/>
                <w:sz w:val="24"/>
                <w:lang w:eastAsia="zh-CN"/>
              </w:rPr>
              <w:t>“</w:t>
            </w:r>
            <w:r>
              <w:rPr>
                <w:sz w:val="24"/>
              </w:rPr>
              <w:t>三同时</w:t>
            </w:r>
            <w:r>
              <w:rPr>
                <w:rFonts w:hint="eastAsia"/>
                <w:b w:val="0"/>
                <w:bCs w:val="0"/>
                <w:color w:val="auto"/>
                <w:sz w:val="24"/>
                <w:lang w:eastAsia="zh-CN"/>
              </w:rPr>
              <w:t>”</w:t>
            </w:r>
            <w:r>
              <w:rPr>
                <w:b w:val="0"/>
                <w:bCs w:val="0"/>
                <w:color w:val="auto"/>
                <w:sz w:val="24"/>
              </w:rPr>
              <w:t>制度，切实落实各项规划方案的要求，完成本次环境影响评价提出的各项污染防治措施</w:t>
            </w:r>
            <w:r>
              <w:rPr>
                <w:rFonts w:ascii="Times New Roman" w:hAnsi="Times New Roman" w:eastAsia="宋体" w:cs="Times New Roman"/>
                <w:b w:val="0"/>
                <w:bCs w:val="0"/>
                <w:color w:val="auto"/>
                <w:sz w:val="24"/>
              </w:rPr>
              <w:t>，严格落实</w:t>
            </w:r>
            <w:r>
              <w:rPr>
                <w:rFonts w:hint="eastAsia" w:ascii="Times New Roman" w:hAnsi="Times New Roman" w:eastAsia="宋体" w:cs="Times New Roman"/>
                <w:b w:val="0"/>
                <w:bCs w:val="0"/>
                <w:color w:val="auto"/>
                <w:sz w:val="24"/>
              </w:rPr>
              <w:t>各项生态环境保护和污染防治措施后，</w:t>
            </w:r>
            <w:r>
              <w:rPr>
                <w:rFonts w:ascii="Times New Roman" w:hAnsi="Times New Roman" w:eastAsia="宋体" w:cs="Times New Roman"/>
                <w:b w:val="0"/>
                <w:bCs w:val="0"/>
                <w:color w:val="auto"/>
                <w:sz w:val="24"/>
              </w:rPr>
              <w:t>确保各污染物达标排放，对周围的环境影响较小。从环</w:t>
            </w:r>
            <w:r>
              <w:rPr>
                <w:rFonts w:ascii="Times New Roman" w:hAnsi="Times New Roman" w:eastAsia="宋体" w:cs="Times New Roman"/>
                <w:sz w:val="24"/>
              </w:rPr>
              <w:t>境</w:t>
            </w:r>
            <w:r>
              <w:rPr>
                <w:rFonts w:hint="eastAsia" w:ascii="Times New Roman" w:hAnsi="Times New Roman" w:eastAsia="宋体" w:cs="Times New Roman"/>
                <w:sz w:val="24"/>
                <w:lang w:val="en-US" w:eastAsia="zh-CN"/>
              </w:rPr>
              <w:t>影响</w:t>
            </w:r>
            <w:r>
              <w:rPr>
                <w:rFonts w:ascii="Times New Roman" w:hAnsi="Times New Roman" w:eastAsia="宋体" w:cs="Times New Roman"/>
                <w:sz w:val="24"/>
              </w:rPr>
              <w:t>角度分析，该项目的建设是可行的。</w:t>
            </w:r>
          </w:p>
          <w:p w14:paraId="20F92617">
            <w:pPr>
              <w:spacing w:line="360" w:lineRule="auto"/>
              <w:ind w:firstLine="482" w:firstLineChars="200"/>
              <w:rPr>
                <w:b/>
                <w:bCs/>
                <w:sz w:val="24"/>
              </w:rPr>
            </w:pPr>
          </w:p>
          <w:p w14:paraId="5669BF3E">
            <w:pPr>
              <w:spacing w:line="360" w:lineRule="auto"/>
              <w:ind w:firstLine="482" w:firstLineChars="200"/>
              <w:jc w:val="right"/>
              <w:rPr>
                <w:rFonts w:hint="default" w:eastAsia="宋体"/>
                <w:b/>
                <w:bCs/>
                <w:sz w:val="24"/>
                <w:lang w:val="en-US" w:eastAsia="zh-CN"/>
              </w:rPr>
            </w:pPr>
          </w:p>
          <w:p w14:paraId="411302FA">
            <w:pPr>
              <w:keepNext w:val="0"/>
              <w:keepLines w:val="0"/>
              <w:pageBreakBefore w:val="0"/>
              <w:widowControl w:val="0"/>
              <w:kinsoku/>
              <w:wordWrap w:val="0"/>
              <w:overflowPunct/>
              <w:topLinePunct w:val="0"/>
              <w:autoSpaceDE/>
              <w:autoSpaceDN/>
              <w:bidi w:val="0"/>
              <w:adjustRightInd/>
              <w:snapToGrid/>
              <w:spacing w:line="480" w:lineRule="auto"/>
              <w:ind w:firstLine="480" w:firstLineChars="200"/>
              <w:jc w:val="right"/>
              <w:textAlignment w:val="auto"/>
              <w:rPr>
                <w:rFonts w:hint="default" w:eastAsia="宋体"/>
                <w:b w:val="0"/>
                <w:bCs w:val="0"/>
                <w:sz w:val="24"/>
                <w:highlight w:val="none"/>
                <w:lang w:val="en-US" w:eastAsia="zh-CN"/>
              </w:rPr>
            </w:pPr>
            <w:r>
              <w:rPr>
                <w:rFonts w:hint="eastAsia"/>
                <w:b w:val="0"/>
                <w:bCs w:val="0"/>
                <w:sz w:val="24"/>
                <w:highlight w:val="none"/>
                <w:lang w:val="en-US" w:eastAsia="zh-CN"/>
              </w:rPr>
              <w:t xml:space="preserve">福州朴诚至信环保科技有限公司    </w:t>
            </w:r>
          </w:p>
          <w:p w14:paraId="58547A9E">
            <w:pPr>
              <w:keepNext w:val="0"/>
              <w:keepLines w:val="0"/>
              <w:pageBreakBefore w:val="0"/>
              <w:widowControl w:val="0"/>
              <w:kinsoku/>
              <w:wordWrap w:val="0"/>
              <w:overflowPunct/>
              <w:topLinePunct w:val="0"/>
              <w:autoSpaceDE/>
              <w:autoSpaceDN/>
              <w:bidi w:val="0"/>
              <w:adjustRightInd/>
              <w:snapToGrid/>
              <w:spacing w:line="480" w:lineRule="auto"/>
              <w:ind w:firstLine="480" w:firstLineChars="200"/>
              <w:jc w:val="right"/>
              <w:textAlignment w:val="auto"/>
              <w:rPr>
                <w:rFonts w:hint="default" w:eastAsia="宋体"/>
                <w:b w:val="0"/>
                <w:bCs w:val="0"/>
                <w:sz w:val="24"/>
                <w:highlight w:val="none"/>
                <w:lang w:val="en-US" w:eastAsia="zh-CN"/>
              </w:rPr>
            </w:pPr>
            <w:r>
              <w:rPr>
                <w:b w:val="0"/>
                <w:bCs w:val="0"/>
                <w:sz w:val="24"/>
                <w:highlight w:val="none"/>
              </w:rPr>
              <w:t>202</w:t>
            </w:r>
            <w:r>
              <w:rPr>
                <w:rFonts w:hint="eastAsia"/>
                <w:b w:val="0"/>
                <w:bCs w:val="0"/>
                <w:sz w:val="24"/>
                <w:highlight w:val="none"/>
                <w:lang w:val="en-US" w:eastAsia="zh-CN"/>
              </w:rPr>
              <w:t>5</w:t>
            </w:r>
            <w:r>
              <w:rPr>
                <w:b w:val="0"/>
                <w:bCs w:val="0"/>
                <w:sz w:val="24"/>
                <w:highlight w:val="none"/>
              </w:rPr>
              <w:t>年</w:t>
            </w:r>
            <w:r>
              <w:rPr>
                <w:rFonts w:hint="eastAsia"/>
                <w:b w:val="0"/>
                <w:bCs w:val="0"/>
                <w:sz w:val="24"/>
                <w:highlight w:val="none"/>
                <w:lang w:val="en-US" w:eastAsia="zh-CN"/>
              </w:rPr>
              <w:t>10</w:t>
            </w:r>
            <w:r>
              <w:rPr>
                <w:b w:val="0"/>
                <w:bCs w:val="0"/>
                <w:sz w:val="24"/>
                <w:highlight w:val="none"/>
              </w:rPr>
              <w:t>月</w:t>
            </w:r>
            <w:r>
              <w:rPr>
                <w:rFonts w:hint="eastAsia"/>
                <w:b w:val="0"/>
                <w:bCs w:val="0"/>
                <w:sz w:val="24"/>
                <w:highlight w:val="none"/>
                <w:lang w:val="en-US" w:eastAsia="zh-CN"/>
              </w:rPr>
              <w:t xml:space="preserve">            </w:t>
            </w:r>
          </w:p>
          <w:p w14:paraId="01F9BB8C">
            <w:pPr>
              <w:keepNext w:val="0"/>
              <w:keepLines w:val="0"/>
              <w:pageBreakBefore w:val="0"/>
              <w:widowControl w:val="0"/>
              <w:kinsoku/>
              <w:overflowPunct/>
              <w:topLinePunct w:val="0"/>
              <w:autoSpaceDE/>
              <w:autoSpaceDN/>
              <w:bidi w:val="0"/>
              <w:adjustRightInd/>
              <w:snapToGrid/>
              <w:spacing w:line="480" w:lineRule="auto"/>
              <w:ind w:firstLine="482" w:firstLineChars="200"/>
              <w:textAlignment w:val="auto"/>
              <w:rPr>
                <w:b/>
                <w:bCs/>
                <w:sz w:val="24"/>
                <w:highlight w:val="none"/>
              </w:rPr>
            </w:pPr>
          </w:p>
          <w:p w14:paraId="4448CC7F">
            <w:pPr>
              <w:spacing w:line="360" w:lineRule="auto"/>
              <w:ind w:firstLine="482" w:firstLineChars="200"/>
              <w:rPr>
                <w:b/>
                <w:bCs/>
                <w:sz w:val="24"/>
              </w:rPr>
            </w:pPr>
          </w:p>
          <w:p w14:paraId="67EC127E">
            <w:pPr>
              <w:spacing w:line="360" w:lineRule="auto"/>
              <w:ind w:firstLine="482" w:firstLineChars="200"/>
              <w:rPr>
                <w:b/>
                <w:bCs/>
                <w:sz w:val="24"/>
              </w:rPr>
            </w:pPr>
          </w:p>
          <w:p w14:paraId="02820C61">
            <w:pPr>
              <w:spacing w:line="360" w:lineRule="auto"/>
              <w:ind w:firstLine="482" w:firstLineChars="200"/>
              <w:rPr>
                <w:b/>
                <w:bCs/>
                <w:sz w:val="24"/>
              </w:rPr>
            </w:pPr>
          </w:p>
          <w:p w14:paraId="3B19085F">
            <w:pPr>
              <w:spacing w:line="360" w:lineRule="auto"/>
              <w:ind w:firstLine="482" w:firstLineChars="200"/>
              <w:rPr>
                <w:b/>
                <w:bCs/>
                <w:sz w:val="24"/>
              </w:rPr>
            </w:pPr>
          </w:p>
          <w:p w14:paraId="0C67ECE4">
            <w:pPr>
              <w:spacing w:line="360" w:lineRule="auto"/>
              <w:rPr>
                <w:sz w:val="24"/>
              </w:rPr>
            </w:pPr>
          </w:p>
        </w:tc>
      </w:tr>
    </w:tbl>
    <w:p w14:paraId="7EF3BA30">
      <w:pPr>
        <w:rPr>
          <w:rFonts w:hint="eastAsia"/>
          <w:b/>
          <w:bCs/>
          <w:lang w:val="en-US" w:eastAsia="zh-CN"/>
        </w:rPr>
        <w:sectPr>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p w14:paraId="03C36563">
      <w:pPr>
        <w:pStyle w:val="19"/>
        <w:adjustRightInd w:val="0"/>
        <w:snapToGrid w:val="0"/>
        <w:spacing w:before="120" w:beforeLines="50" w:beforeAutospacing="0" w:after="0" w:afterAutospacing="0"/>
        <w:jc w:val="both"/>
        <w:outlineLvl w:val="0"/>
        <w:rPr>
          <w:rFonts w:ascii="Times New Roman" w:hAnsi="Times New Roman" w:eastAsia="方正小标宋_GBK"/>
          <w:snapToGrid w:val="0"/>
          <w:sz w:val="38"/>
          <w:szCs w:val="38"/>
        </w:rPr>
      </w:pPr>
      <w:bookmarkStart w:id="157" w:name="_Toc25347"/>
      <w:bookmarkStart w:id="158" w:name="_Toc7093"/>
      <w:r>
        <w:rPr>
          <w:rFonts w:ascii="Times New Roman" w:hAnsi="Times New Roman" w:eastAsia="方正小标宋_GBK"/>
          <w:b/>
          <w:bCs/>
          <w:snapToGrid w:val="0"/>
          <w:sz w:val="38"/>
          <w:szCs w:val="38"/>
        </w:rPr>
        <w:t>附</w:t>
      </w:r>
      <w:r>
        <w:rPr>
          <w:rFonts w:ascii="Times New Roman" w:hAnsi="Times New Roman" w:eastAsia="方正小标宋_GBK" w:cs="Times New Roman"/>
          <w:b/>
          <w:bCs/>
          <w:snapToGrid w:val="0"/>
          <w:sz w:val="38"/>
          <w:szCs w:val="38"/>
        </w:rPr>
        <w:t>表</w:t>
      </w:r>
      <w:bookmarkEnd w:id="157"/>
      <w:bookmarkEnd w:id="158"/>
    </w:p>
    <w:p w14:paraId="4F63F605">
      <w:pPr>
        <w:pStyle w:val="19"/>
        <w:adjustRightInd w:val="0"/>
        <w:snapToGrid w:val="0"/>
        <w:spacing w:before="0" w:beforeLines="0" w:beforeAutospacing="0" w:after="0" w:afterLines="0" w:afterAutospacing="0"/>
        <w:jc w:val="center"/>
        <w:outlineLvl w:val="0"/>
        <w:rPr>
          <w:rFonts w:ascii="Times New Roman" w:hAnsi="Times New Roman" w:eastAsia="方正小标宋_GBK"/>
          <w:snapToGrid w:val="0"/>
          <w:color w:val="auto"/>
          <w:sz w:val="38"/>
          <w:szCs w:val="38"/>
        </w:rPr>
      </w:pPr>
      <w:bookmarkStart w:id="159" w:name="_Toc96"/>
      <w:bookmarkStart w:id="160" w:name="_Toc13012"/>
      <w:bookmarkStart w:id="161" w:name="_Toc8753"/>
      <w:r>
        <w:rPr>
          <w:rFonts w:ascii="Times New Roman" w:hAnsi="Times New Roman" w:eastAsia="方正小标宋_GBK"/>
          <w:snapToGrid w:val="0"/>
          <w:color w:val="auto"/>
          <w:sz w:val="38"/>
          <w:szCs w:val="38"/>
        </w:rPr>
        <w:t>建设项目污染物排放量汇总表</w:t>
      </w:r>
      <w:bookmarkEnd w:id="159"/>
      <w:bookmarkEnd w:id="160"/>
      <w:bookmarkEnd w:id="161"/>
    </w:p>
    <w:tbl>
      <w:tblPr>
        <w:tblStyle w:val="22"/>
        <w:tblW w:w="1408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2145"/>
        <w:gridCol w:w="1332"/>
        <w:gridCol w:w="1276"/>
        <w:gridCol w:w="1701"/>
        <w:gridCol w:w="1559"/>
        <w:gridCol w:w="1761"/>
        <w:gridCol w:w="1959"/>
        <w:gridCol w:w="1122"/>
      </w:tblGrid>
      <w:tr w14:paraId="591AB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tcBorders>
              <w:tl2br w:val="single" w:color="auto" w:sz="4" w:space="0"/>
            </w:tcBorders>
            <w:noWrap w:val="0"/>
            <w:tcMar>
              <w:left w:w="28" w:type="dxa"/>
              <w:right w:w="28" w:type="dxa"/>
            </w:tcMar>
            <w:vAlign w:val="center"/>
          </w:tcPr>
          <w:p w14:paraId="7EE2A71E">
            <w:pPr>
              <w:pStyle w:val="74"/>
              <w:bidi w:val="0"/>
              <w:jc w:val="right"/>
              <w:rPr>
                <w:color w:val="auto"/>
              </w:rPr>
            </w:pPr>
            <w:r>
              <w:rPr>
                <w:color w:val="auto"/>
              </w:rPr>
              <w:t>项目</w:t>
            </w:r>
          </w:p>
          <w:p w14:paraId="4F4375E2">
            <w:pPr>
              <w:pStyle w:val="74"/>
              <w:bidi w:val="0"/>
              <w:jc w:val="left"/>
              <w:rPr>
                <w:color w:val="auto"/>
              </w:rPr>
            </w:pPr>
            <w:r>
              <w:rPr>
                <w:color w:val="auto"/>
              </w:rPr>
              <w:t>分类</w:t>
            </w:r>
          </w:p>
        </w:tc>
        <w:tc>
          <w:tcPr>
            <w:tcW w:w="2145" w:type="dxa"/>
            <w:noWrap w:val="0"/>
            <w:tcMar>
              <w:left w:w="28" w:type="dxa"/>
              <w:right w:w="28" w:type="dxa"/>
            </w:tcMar>
            <w:vAlign w:val="center"/>
          </w:tcPr>
          <w:p w14:paraId="33A94768">
            <w:pPr>
              <w:pStyle w:val="74"/>
              <w:bidi w:val="0"/>
              <w:rPr>
                <w:color w:val="auto"/>
              </w:rPr>
            </w:pPr>
            <w:r>
              <w:rPr>
                <w:color w:val="auto"/>
              </w:rPr>
              <w:t>污染物名称</w:t>
            </w:r>
          </w:p>
        </w:tc>
        <w:tc>
          <w:tcPr>
            <w:tcW w:w="1332" w:type="dxa"/>
            <w:noWrap w:val="0"/>
            <w:tcMar>
              <w:left w:w="28" w:type="dxa"/>
              <w:right w:w="28" w:type="dxa"/>
            </w:tcMar>
            <w:vAlign w:val="center"/>
          </w:tcPr>
          <w:p w14:paraId="699274D9">
            <w:pPr>
              <w:pStyle w:val="74"/>
              <w:bidi w:val="0"/>
              <w:rPr>
                <w:color w:val="auto"/>
              </w:rPr>
            </w:pPr>
            <w:r>
              <w:rPr>
                <w:color w:val="auto"/>
              </w:rPr>
              <w:t>现有工程</w:t>
            </w:r>
          </w:p>
          <w:p w14:paraId="744AD8E6">
            <w:pPr>
              <w:pStyle w:val="74"/>
              <w:bidi w:val="0"/>
              <w:rPr>
                <w:color w:val="auto"/>
              </w:rPr>
            </w:pPr>
            <w:r>
              <w:rPr>
                <w:color w:val="auto"/>
              </w:rPr>
              <w:t>排放量（固体废物产生量）</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p>
        </w:tc>
        <w:tc>
          <w:tcPr>
            <w:tcW w:w="1276" w:type="dxa"/>
            <w:noWrap w:val="0"/>
            <w:tcMar>
              <w:left w:w="28" w:type="dxa"/>
              <w:right w:w="28" w:type="dxa"/>
            </w:tcMar>
            <w:vAlign w:val="center"/>
          </w:tcPr>
          <w:p w14:paraId="32C19947">
            <w:pPr>
              <w:pStyle w:val="74"/>
              <w:bidi w:val="0"/>
              <w:rPr>
                <w:color w:val="auto"/>
              </w:rPr>
            </w:pPr>
            <w:r>
              <w:rPr>
                <w:color w:val="auto"/>
              </w:rPr>
              <w:t>现有工程</w:t>
            </w:r>
          </w:p>
          <w:p w14:paraId="3F624E35">
            <w:pPr>
              <w:pStyle w:val="74"/>
              <w:bidi w:val="0"/>
              <w:rPr>
                <w:color w:val="auto"/>
              </w:rPr>
            </w:pPr>
            <w:r>
              <w:rPr>
                <w:color w:val="auto"/>
              </w:rPr>
              <w:t>许可排放量</w:t>
            </w:r>
          </w:p>
          <w:p w14:paraId="52AC24BD">
            <w:pPr>
              <w:pStyle w:val="74"/>
              <w:bidi w:val="0"/>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p>
        </w:tc>
        <w:tc>
          <w:tcPr>
            <w:tcW w:w="1701" w:type="dxa"/>
            <w:noWrap w:val="0"/>
            <w:tcMar>
              <w:left w:w="28" w:type="dxa"/>
              <w:right w:w="28" w:type="dxa"/>
            </w:tcMar>
            <w:vAlign w:val="center"/>
          </w:tcPr>
          <w:p w14:paraId="74B38EE3">
            <w:pPr>
              <w:pStyle w:val="74"/>
              <w:bidi w:val="0"/>
              <w:rPr>
                <w:color w:val="auto"/>
              </w:rPr>
            </w:pPr>
            <w:r>
              <w:rPr>
                <w:color w:val="auto"/>
              </w:rPr>
              <w:t>在建工程</w:t>
            </w:r>
          </w:p>
          <w:p w14:paraId="7A583D09">
            <w:pPr>
              <w:pStyle w:val="74"/>
              <w:bidi w:val="0"/>
              <w:rPr>
                <w:color w:val="auto"/>
              </w:rPr>
            </w:pPr>
            <w:r>
              <w:rPr>
                <w:color w:val="auto"/>
              </w:rPr>
              <w:t>排放量（固体废物产生量）</w:t>
            </w: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p>
        </w:tc>
        <w:tc>
          <w:tcPr>
            <w:tcW w:w="1559" w:type="dxa"/>
            <w:noWrap w:val="0"/>
            <w:tcMar>
              <w:left w:w="28" w:type="dxa"/>
              <w:right w:w="28" w:type="dxa"/>
            </w:tcMar>
            <w:vAlign w:val="center"/>
          </w:tcPr>
          <w:p w14:paraId="785CA085">
            <w:pPr>
              <w:pStyle w:val="74"/>
              <w:bidi w:val="0"/>
              <w:rPr>
                <w:color w:val="auto"/>
              </w:rPr>
            </w:pPr>
            <w:r>
              <w:rPr>
                <w:color w:val="auto"/>
              </w:rPr>
              <w:t>本项目</w:t>
            </w:r>
          </w:p>
          <w:p w14:paraId="435541D9">
            <w:pPr>
              <w:pStyle w:val="74"/>
              <w:bidi w:val="0"/>
              <w:rPr>
                <w:color w:val="auto"/>
              </w:rPr>
            </w:pPr>
            <w:r>
              <w:rPr>
                <w:color w:val="auto"/>
              </w:rPr>
              <w:t>排放量（固体废物产生量）</w:t>
            </w: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p>
        </w:tc>
        <w:tc>
          <w:tcPr>
            <w:tcW w:w="1761" w:type="dxa"/>
            <w:noWrap w:val="0"/>
            <w:tcMar>
              <w:left w:w="28" w:type="dxa"/>
              <w:right w:w="28" w:type="dxa"/>
            </w:tcMar>
            <w:vAlign w:val="center"/>
          </w:tcPr>
          <w:p w14:paraId="6E518270">
            <w:pPr>
              <w:pStyle w:val="74"/>
              <w:bidi w:val="0"/>
              <w:rPr>
                <w:color w:val="auto"/>
              </w:rPr>
            </w:pPr>
            <w:r>
              <w:rPr>
                <w:color w:val="auto"/>
              </w:rPr>
              <w:t>以新带老削减量</w:t>
            </w:r>
          </w:p>
          <w:p w14:paraId="3C1DD6B0">
            <w:pPr>
              <w:pStyle w:val="74"/>
              <w:bidi w:val="0"/>
              <w:rPr>
                <w:color w:val="auto"/>
              </w:rPr>
            </w:pPr>
            <w:r>
              <w:rPr>
                <w:color w:val="auto"/>
              </w:rPr>
              <w:t>（新建项目不填）</w:t>
            </w: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p>
        </w:tc>
        <w:tc>
          <w:tcPr>
            <w:tcW w:w="1959" w:type="dxa"/>
            <w:noWrap w:val="0"/>
            <w:tcMar>
              <w:left w:w="28" w:type="dxa"/>
              <w:right w:w="28" w:type="dxa"/>
            </w:tcMar>
            <w:vAlign w:val="center"/>
          </w:tcPr>
          <w:p w14:paraId="39F4EAB2">
            <w:pPr>
              <w:pStyle w:val="74"/>
              <w:bidi w:val="0"/>
              <w:rPr>
                <w:color w:val="auto"/>
              </w:rPr>
            </w:pPr>
            <w:r>
              <w:rPr>
                <w:color w:val="auto"/>
              </w:rPr>
              <w:t>本项目建成后</w:t>
            </w:r>
          </w:p>
          <w:p w14:paraId="065AE30C">
            <w:pPr>
              <w:pStyle w:val="74"/>
              <w:bidi w:val="0"/>
              <w:rPr>
                <w:color w:val="auto"/>
              </w:rPr>
            </w:pPr>
            <w:r>
              <w:rPr>
                <w:color w:val="auto"/>
              </w:rPr>
              <w:t>全厂排放量（固体废物产生量）</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p>
        </w:tc>
        <w:tc>
          <w:tcPr>
            <w:tcW w:w="1122" w:type="dxa"/>
            <w:noWrap w:val="0"/>
            <w:tcMar>
              <w:left w:w="28" w:type="dxa"/>
              <w:right w:w="28" w:type="dxa"/>
            </w:tcMar>
            <w:vAlign w:val="center"/>
          </w:tcPr>
          <w:p w14:paraId="79B06125">
            <w:pPr>
              <w:pStyle w:val="74"/>
              <w:bidi w:val="0"/>
              <w:rPr>
                <w:color w:val="auto"/>
              </w:rPr>
            </w:pPr>
            <w:r>
              <w:rPr>
                <w:color w:val="auto"/>
              </w:rPr>
              <w:t>变化量</w:t>
            </w:r>
          </w:p>
          <w:p w14:paraId="570FF7B2">
            <w:pPr>
              <w:pStyle w:val="74"/>
              <w:bidi w:val="0"/>
              <w:rPr>
                <w:color w:val="auto"/>
              </w:rPr>
            </w:pPr>
            <w:r>
              <w:rPr>
                <w:color w:val="auto"/>
              </w:rPr>
              <w:fldChar w:fldCharType="begin"/>
            </w:r>
            <w:r>
              <w:rPr>
                <w:color w:val="auto"/>
              </w:rPr>
              <w:instrText xml:space="preserve"> = 7 \* GB3 \* MERGEFORMAT </w:instrText>
            </w:r>
            <w:r>
              <w:rPr>
                <w:color w:val="auto"/>
              </w:rPr>
              <w:fldChar w:fldCharType="separate"/>
            </w:r>
            <w:r>
              <w:rPr>
                <w:color w:val="auto"/>
              </w:rPr>
              <w:t>⑦</w:t>
            </w:r>
            <w:r>
              <w:rPr>
                <w:color w:val="auto"/>
              </w:rPr>
              <w:fldChar w:fldCharType="end"/>
            </w:r>
          </w:p>
        </w:tc>
      </w:tr>
      <w:tr w14:paraId="49316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restart"/>
            <w:noWrap w:val="0"/>
            <w:vAlign w:val="center"/>
          </w:tcPr>
          <w:p w14:paraId="6F2F14AF">
            <w:pPr>
              <w:pStyle w:val="74"/>
              <w:bidi w:val="0"/>
              <w:rPr>
                <w:rFonts w:hint="eastAsia"/>
                <w:color w:val="auto"/>
                <w:lang w:val="en-US" w:eastAsia="zh-CN"/>
              </w:rPr>
            </w:pPr>
            <w:r>
              <w:rPr>
                <w:rFonts w:hint="eastAsia"/>
                <w:color w:val="auto"/>
                <w:lang w:val="en-US" w:eastAsia="zh-CN"/>
              </w:rPr>
              <w:t>废气</w:t>
            </w:r>
          </w:p>
        </w:tc>
        <w:tc>
          <w:tcPr>
            <w:tcW w:w="2145" w:type="dxa"/>
            <w:noWrap w:val="0"/>
            <w:vAlign w:val="center"/>
          </w:tcPr>
          <w:p w14:paraId="5156E3D0">
            <w:pPr>
              <w:pStyle w:val="74"/>
              <w:bidi w:val="0"/>
              <w:rPr>
                <w:rFonts w:hint="eastAsia" w:eastAsia="宋体"/>
                <w:color w:val="auto"/>
                <w:lang w:eastAsia="zh-CN"/>
              </w:rPr>
            </w:pPr>
            <w:r>
              <w:rPr>
                <w:color w:val="auto"/>
              </w:rPr>
              <w:t>非甲烷总烃</w:t>
            </w:r>
            <w:r>
              <w:rPr>
                <w:rFonts w:hint="eastAsia"/>
                <w:color w:val="auto"/>
                <w:lang w:eastAsia="zh-CN"/>
              </w:rPr>
              <w:t>（</w:t>
            </w:r>
            <w:r>
              <w:rPr>
                <w:color w:val="auto"/>
              </w:rPr>
              <w:t>t/a</w:t>
            </w:r>
            <w:r>
              <w:rPr>
                <w:rFonts w:hint="eastAsia"/>
                <w:color w:val="auto"/>
                <w:lang w:eastAsia="zh-CN"/>
              </w:rPr>
              <w:t>）</w:t>
            </w:r>
          </w:p>
        </w:tc>
        <w:tc>
          <w:tcPr>
            <w:tcW w:w="1332" w:type="dxa"/>
            <w:noWrap w:val="0"/>
            <w:vAlign w:val="center"/>
          </w:tcPr>
          <w:p w14:paraId="529AF884">
            <w:pPr>
              <w:pStyle w:val="74"/>
              <w:bidi w:val="0"/>
              <w:rPr>
                <w:rFonts w:hint="default"/>
                <w:color w:val="auto"/>
                <w:lang w:val="en-US" w:eastAsia="zh-CN"/>
              </w:rPr>
            </w:pPr>
            <w:r>
              <w:rPr>
                <w:rFonts w:hint="eastAsia"/>
                <w:color w:val="auto"/>
                <w:lang w:val="en-US" w:eastAsia="zh-CN"/>
              </w:rPr>
              <w:t>/</w:t>
            </w:r>
          </w:p>
        </w:tc>
        <w:tc>
          <w:tcPr>
            <w:tcW w:w="1276" w:type="dxa"/>
            <w:noWrap w:val="0"/>
            <w:vAlign w:val="center"/>
          </w:tcPr>
          <w:p w14:paraId="154382E3">
            <w:pPr>
              <w:pStyle w:val="74"/>
              <w:bidi w:val="0"/>
              <w:rPr>
                <w:rFonts w:hint="default"/>
                <w:color w:val="auto"/>
                <w:lang w:val="en-US" w:eastAsia="zh-CN"/>
              </w:rPr>
            </w:pPr>
            <w:r>
              <w:rPr>
                <w:rFonts w:hint="eastAsia"/>
                <w:color w:val="auto"/>
                <w:lang w:val="en-US" w:eastAsia="zh-CN"/>
              </w:rPr>
              <w:t>/</w:t>
            </w:r>
          </w:p>
        </w:tc>
        <w:tc>
          <w:tcPr>
            <w:tcW w:w="1701" w:type="dxa"/>
            <w:noWrap w:val="0"/>
            <w:vAlign w:val="center"/>
          </w:tcPr>
          <w:p w14:paraId="44EBE297">
            <w:pPr>
              <w:pStyle w:val="74"/>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2ADB97EF">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0.4303</w:t>
            </w:r>
          </w:p>
        </w:tc>
        <w:tc>
          <w:tcPr>
            <w:tcW w:w="1761" w:type="dxa"/>
            <w:noWrap w:val="0"/>
            <w:vAlign w:val="center"/>
          </w:tcPr>
          <w:p w14:paraId="6E42D6DC">
            <w:pPr>
              <w:pStyle w:val="74"/>
              <w:bidi w:val="0"/>
              <w:rPr>
                <w:rFonts w:hint="eastAsia"/>
                <w:color w:val="auto"/>
              </w:rPr>
            </w:pPr>
            <w:r>
              <w:rPr>
                <w:rFonts w:hint="eastAsia"/>
                <w:color w:val="auto"/>
                <w:lang w:val="en-US" w:eastAsia="zh-CN"/>
              </w:rPr>
              <w:t>/</w:t>
            </w:r>
          </w:p>
        </w:tc>
        <w:tc>
          <w:tcPr>
            <w:tcW w:w="1959" w:type="dxa"/>
            <w:shd w:val="clear" w:color="auto" w:fill="auto"/>
            <w:noWrap w:val="0"/>
            <w:vAlign w:val="center"/>
          </w:tcPr>
          <w:p w14:paraId="0E307F21">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0.4303</w:t>
            </w:r>
          </w:p>
        </w:tc>
        <w:tc>
          <w:tcPr>
            <w:tcW w:w="1122" w:type="dxa"/>
            <w:shd w:val="clear" w:color="auto" w:fill="auto"/>
            <w:noWrap w:val="0"/>
            <w:vAlign w:val="center"/>
          </w:tcPr>
          <w:p w14:paraId="0CF7DCE8">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+0.4303</w:t>
            </w:r>
          </w:p>
        </w:tc>
      </w:tr>
      <w:tr w14:paraId="2A22D2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72E8E8DF">
            <w:pPr>
              <w:pStyle w:val="74"/>
              <w:bidi w:val="0"/>
              <w:rPr>
                <w:rFonts w:hint="eastAsia"/>
                <w:color w:val="auto"/>
                <w:lang w:val="en-US" w:eastAsia="zh-CN"/>
              </w:rPr>
            </w:pPr>
          </w:p>
        </w:tc>
        <w:tc>
          <w:tcPr>
            <w:tcW w:w="2145" w:type="dxa"/>
            <w:noWrap w:val="0"/>
            <w:vAlign w:val="center"/>
          </w:tcPr>
          <w:p w14:paraId="328C3C6F">
            <w:pPr>
              <w:pStyle w:val="74"/>
              <w:bidi w:val="0"/>
              <w:rPr>
                <w:rFonts w:hint="default" w:eastAsia="宋体"/>
                <w:color w:val="auto"/>
                <w:lang w:val="en-US" w:eastAsia="zh-CN"/>
              </w:rPr>
            </w:pPr>
            <w:r>
              <w:rPr>
                <w:rFonts w:hint="eastAsia"/>
                <w:color w:val="auto"/>
                <w:lang w:val="en-US" w:eastAsia="zh-CN"/>
              </w:rPr>
              <w:t>颗粒物（kg/a）</w:t>
            </w:r>
          </w:p>
        </w:tc>
        <w:tc>
          <w:tcPr>
            <w:tcW w:w="1332" w:type="dxa"/>
            <w:noWrap w:val="0"/>
            <w:vAlign w:val="center"/>
          </w:tcPr>
          <w:p w14:paraId="28069C64">
            <w:pPr>
              <w:pStyle w:val="74"/>
              <w:bidi w:val="0"/>
              <w:rPr>
                <w:rFonts w:hint="default"/>
                <w:color w:val="auto"/>
                <w:lang w:val="en-US" w:eastAsia="zh-CN"/>
              </w:rPr>
            </w:pPr>
            <w:r>
              <w:rPr>
                <w:rFonts w:hint="eastAsia"/>
                <w:color w:val="auto"/>
                <w:lang w:val="en-US" w:eastAsia="zh-CN"/>
              </w:rPr>
              <w:t>/</w:t>
            </w:r>
          </w:p>
        </w:tc>
        <w:tc>
          <w:tcPr>
            <w:tcW w:w="1276" w:type="dxa"/>
            <w:noWrap w:val="0"/>
            <w:vAlign w:val="center"/>
          </w:tcPr>
          <w:p w14:paraId="05C8FFC6">
            <w:pPr>
              <w:pStyle w:val="74"/>
              <w:bidi w:val="0"/>
              <w:rPr>
                <w:rFonts w:hint="default"/>
                <w:color w:val="auto"/>
                <w:lang w:val="en-US" w:eastAsia="zh-CN"/>
              </w:rPr>
            </w:pPr>
            <w:r>
              <w:rPr>
                <w:rFonts w:hint="eastAsia"/>
                <w:color w:val="auto"/>
                <w:lang w:val="en-US" w:eastAsia="zh-CN"/>
              </w:rPr>
              <w:t>/</w:t>
            </w:r>
          </w:p>
        </w:tc>
        <w:tc>
          <w:tcPr>
            <w:tcW w:w="1701" w:type="dxa"/>
            <w:noWrap w:val="0"/>
            <w:vAlign w:val="center"/>
          </w:tcPr>
          <w:p w14:paraId="63DAB1EB">
            <w:pPr>
              <w:pStyle w:val="74"/>
              <w:bidi w:val="0"/>
              <w:rPr>
                <w:rFonts w:hint="default"/>
                <w:color w:val="auto"/>
                <w:lang w:val="en-US" w:eastAsia="zh-CN"/>
              </w:rPr>
            </w:pPr>
            <w:r>
              <w:rPr>
                <w:rFonts w:hint="eastAsia"/>
                <w:color w:val="auto"/>
                <w:lang w:val="en-US" w:eastAsia="zh-CN"/>
              </w:rPr>
              <w:t>/</w:t>
            </w:r>
          </w:p>
        </w:tc>
        <w:tc>
          <w:tcPr>
            <w:tcW w:w="1559" w:type="dxa"/>
            <w:shd w:val="clear" w:color="auto" w:fill="auto"/>
            <w:noWrap w:val="0"/>
            <w:vAlign w:val="center"/>
          </w:tcPr>
          <w:p w14:paraId="7C0A6B1C">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0.1016</w:t>
            </w:r>
          </w:p>
        </w:tc>
        <w:tc>
          <w:tcPr>
            <w:tcW w:w="1761" w:type="dxa"/>
            <w:noWrap w:val="0"/>
            <w:vAlign w:val="center"/>
          </w:tcPr>
          <w:p w14:paraId="776C0EB4">
            <w:pPr>
              <w:pStyle w:val="74"/>
              <w:bidi w:val="0"/>
              <w:rPr>
                <w:rFonts w:hint="default"/>
                <w:color w:val="auto"/>
                <w:lang w:val="en-US" w:eastAsia="zh-CN"/>
              </w:rPr>
            </w:pPr>
            <w:r>
              <w:rPr>
                <w:rFonts w:hint="eastAsia"/>
                <w:color w:val="auto"/>
                <w:lang w:val="en-US" w:eastAsia="zh-CN"/>
              </w:rPr>
              <w:t>/</w:t>
            </w:r>
          </w:p>
        </w:tc>
        <w:tc>
          <w:tcPr>
            <w:tcW w:w="1959" w:type="dxa"/>
            <w:shd w:val="clear" w:color="auto" w:fill="auto"/>
            <w:noWrap w:val="0"/>
            <w:vAlign w:val="center"/>
          </w:tcPr>
          <w:p w14:paraId="1BBBD7B2">
            <w:pPr>
              <w:pStyle w:val="74"/>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0.1016</w:t>
            </w:r>
          </w:p>
        </w:tc>
        <w:tc>
          <w:tcPr>
            <w:tcW w:w="1122" w:type="dxa"/>
            <w:shd w:val="clear" w:color="auto" w:fill="auto"/>
            <w:noWrap w:val="0"/>
            <w:vAlign w:val="center"/>
          </w:tcPr>
          <w:p w14:paraId="094B0AEE">
            <w:pPr>
              <w:pStyle w:val="74"/>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+0.1016</w:t>
            </w:r>
          </w:p>
        </w:tc>
      </w:tr>
      <w:tr w14:paraId="2CC6E9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1AB9A61A">
            <w:pPr>
              <w:pStyle w:val="74"/>
              <w:bidi w:val="0"/>
              <w:rPr>
                <w:rFonts w:hint="eastAsia"/>
                <w:color w:val="auto"/>
                <w:lang w:val="en-US" w:eastAsia="zh-CN"/>
              </w:rPr>
            </w:pPr>
          </w:p>
        </w:tc>
        <w:tc>
          <w:tcPr>
            <w:tcW w:w="2145" w:type="dxa"/>
            <w:noWrap w:val="0"/>
            <w:vAlign w:val="center"/>
          </w:tcPr>
          <w:p w14:paraId="79486C0F">
            <w:pPr>
              <w:pStyle w:val="74"/>
              <w:bidi w:val="0"/>
              <w:rPr>
                <w:rFonts w:hint="default"/>
                <w:color w:val="auto"/>
                <w:highlight w:val="none"/>
                <w:lang w:val="en-US" w:eastAsia="zh-CN"/>
              </w:rPr>
            </w:pPr>
            <w:r>
              <w:rPr>
                <w:rFonts w:hint="eastAsia"/>
                <w:color w:val="auto"/>
                <w:highlight w:val="none"/>
                <w:lang w:val="en-US" w:eastAsia="zh-CN"/>
              </w:rPr>
              <w:t>苯乙烯（t/a）</w:t>
            </w:r>
          </w:p>
        </w:tc>
        <w:tc>
          <w:tcPr>
            <w:tcW w:w="1332" w:type="dxa"/>
            <w:noWrap w:val="0"/>
            <w:vAlign w:val="center"/>
          </w:tcPr>
          <w:p w14:paraId="63E31A01">
            <w:pPr>
              <w:pStyle w:val="74"/>
              <w:bidi w:val="0"/>
              <w:rPr>
                <w:rFonts w:hint="default"/>
                <w:color w:val="auto"/>
                <w:highlight w:val="none"/>
                <w:lang w:val="en-US" w:eastAsia="zh-CN"/>
              </w:rPr>
            </w:pPr>
            <w:r>
              <w:rPr>
                <w:rFonts w:hint="eastAsia"/>
                <w:color w:val="auto"/>
                <w:highlight w:val="none"/>
                <w:lang w:val="en-US" w:eastAsia="zh-CN"/>
              </w:rPr>
              <w:t>/</w:t>
            </w:r>
          </w:p>
        </w:tc>
        <w:tc>
          <w:tcPr>
            <w:tcW w:w="1276" w:type="dxa"/>
            <w:noWrap w:val="0"/>
            <w:vAlign w:val="center"/>
          </w:tcPr>
          <w:p w14:paraId="2EB82F14">
            <w:pPr>
              <w:pStyle w:val="74"/>
              <w:bidi w:val="0"/>
              <w:rPr>
                <w:rFonts w:hint="default"/>
                <w:color w:val="auto"/>
                <w:highlight w:val="none"/>
                <w:lang w:val="en-US" w:eastAsia="zh-CN"/>
              </w:rPr>
            </w:pPr>
            <w:r>
              <w:rPr>
                <w:rFonts w:hint="eastAsia"/>
                <w:color w:val="auto"/>
                <w:highlight w:val="none"/>
                <w:lang w:val="en-US" w:eastAsia="zh-CN"/>
              </w:rPr>
              <w:t>/</w:t>
            </w:r>
          </w:p>
        </w:tc>
        <w:tc>
          <w:tcPr>
            <w:tcW w:w="1701" w:type="dxa"/>
            <w:noWrap w:val="0"/>
            <w:vAlign w:val="center"/>
          </w:tcPr>
          <w:p w14:paraId="4AFC267D">
            <w:pPr>
              <w:pStyle w:val="74"/>
              <w:bidi w:val="0"/>
              <w:rPr>
                <w:rFonts w:hint="default"/>
                <w:color w:val="auto"/>
                <w:highlight w:val="none"/>
                <w:lang w:val="en-US" w:eastAsia="zh-CN"/>
              </w:rPr>
            </w:pPr>
            <w:r>
              <w:rPr>
                <w:rFonts w:hint="eastAsia"/>
                <w:color w:val="auto"/>
                <w:highlight w:val="none"/>
                <w:lang w:val="en-US" w:eastAsia="zh-CN"/>
              </w:rPr>
              <w:t>/</w:t>
            </w:r>
          </w:p>
        </w:tc>
        <w:tc>
          <w:tcPr>
            <w:tcW w:w="1559" w:type="dxa"/>
            <w:shd w:val="clear" w:color="auto" w:fill="auto"/>
            <w:noWrap w:val="0"/>
            <w:vAlign w:val="center"/>
          </w:tcPr>
          <w:p w14:paraId="76975EDB">
            <w:pPr>
              <w:pStyle w:val="74"/>
              <w:bidi w:val="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0.0021</w:t>
            </w:r>
          </w:p>
        </w:tc>
        <w:tc>
          <w:tcPr>
            <w:tcW w:w="1761" w:type="dxa"/>
            <w:noWrap w:val="0"/>
            <w:vAlign w:val="center"/>
          </w:tcPr>
          <w:p w14:paraId="2CD8E385">
            <w:pPr>
              <w:pStyle w:val="74"/>
              <w:bidi w:val="0"/>
              <w:rPr>
                <w:rFonts w:hint="default"/>
                <w:color w:val="auto"/>
                <w:highlight w:val="none"/>
                <w:lang w:val="en-US" w:eastAsia="zh-CN"/>
              </w:rPr>
            </w:pPr>
            <w:r>
              <w:rPr>
                <w:rFonts w:hint="eastAsia"/>
                <w:color w:val="auto"/>
                <w:highlight w:val="none"/>
                <w:lang w:val="en-US" w:eastAsia="zh-CN"/>
              </w:rPr>
              <w:t>/</w:t>
            </w:r>
          </w:p>
        </w:tc>
        <w:tc>
          <w:tcPr>
            <w:tcW w:w="1959" w:type="dxa"/>
            <w:shd w:val="clear" w:color="auto" w:fill="auto"/>
            <w:noWrap w:val="0"/>
            <w:vAlign w:val="center"/>
          </w:tcPr>
          <w:p w14:paraId="19990066">
            <w:pPr>
              <w:pStyle w:val="74"/>
              <w:bidi w:val="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0.0021</w:t>
            </w:r>
          </w:p>
        </w:tc>
        <w:tc>
          <w:tcPr>
            <w:tcW w:w="1122" w:type="dxa"/>
            <w:shd w:val="clear" w:color="auto" w:fill="auto"/>
            <w:noWrap w:val="0"/>
            <w:vAlign w:val="center"/>
          </w:tcPr>
          <w:p w14:paraId="0A5CFD84">
            <w:pPr>
              <w:pStyle w:val="74"/>
              <w:bidi w:val="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+0.0021</w:t>
            </w:r>
          </w:p>
        </w:tc>
      </w:tr>
      <w:tr w14:paraId="2082C0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7A52E978">
            <w:pPr>
              <w:pStyle w:val="74"/>
              <w:bidi w:val="0"/>
              <w:rPr>
                <w:rFonts w:hint="eastAsia"/>
                <w:color w:val="auto"/>
                <w:lang w:val="en-US" w:eastAsia="zh-CN"/>
              </w:rPr>
            </w:pPr>
          </w:p>
        </w:tc>
        <w:tc>
          <w:tcPr>
            <w:tcW w:w="2145" w:type="dxa"/>
            <w:noWrap w:val="0"/>
            <w:vAlign w:val="center"/>
          </w:tcPr>
          <w:p w14:paraId="173B37E6">
            <w:pPr>
              <w:pStyle w:val="74"/>
              <w:bidi w:val="0"/>
              <w:rPr>
                <w:rFonts w:hint="eastAsia"/>
                <w:color w:val="auto"/>
                <w:highlight w:val="none"/>
                <w:lang w:val="en-US" w:eastAsia="zh-CN"/>
              </w:rPr>
            </w:pPr>
            <w:r>
              <w:rPr>
                <w:rFonts w:hint="eastAsia"/>
                <w:color w:val="auto"/>
                <w:highlight w:val="none"/>
                <w:lang w:val="en-US" w:eastAsia="zh-CN"/>
              </w:rPr>
              <w:t>丙烯腈</w:t>
            </w:r>
          </w:p>
        </w:tc>
        <w:tc>
          <w:tcPr>
            <w:tcW w:w="1332" w:type="dxa"/>
            <w:noWrap w:val="0"/>
            <w:vAlign w:val="center"/>
          </w:tcPr>
          <w:p w14:paraId="28A1BDEA">
            <w:pPr>
              <w:pStyle w:val="74"/>
              <w:bidi w:val="0"/>
              <w:rPr>
                <w:rFonts w:hint="default"/>
                <w:color w:val="auto"/>
                <w:highlight w:val="none"/>
                <w:lang w:val="en-US" w:eastAsia="zh-CN"/>
              </w:rPr>
            </w:pPr>
            <w:r>
              <w:rPr>
                <w:rFonts w:hint="eastAsia"/>
                <w:color w:val="auto"/>
                <w:highlight w:val="none"/>
                <w:lang w:val="en-US" w:eastAsia="zh-CN"/>
              </w:rPr>
              <w:t>/</w:t>
            </w:r>
          </w:p>
        </w:tc>
        <w:tc>
          <w:tcPr>
            <w:tcW w:w="1276" w:type="dxa"/>
            <w:noWrap w:val="0"/>
            <w:vAlign w:val="center"/>
          </w:tcPr>
          <w:p w14:paraId="198B14B5">
            <w:pPr>
              <w:pStyle w:val="74"/>
              <w:bidi w:val="0"/>
              <w:rPr>
                <w:rFonts w:hint="default"/>
                <w:color w:val="auto"/>
                <w:highlight w:val="none"/>
                <w:lang w:val="en-US" w:eastAsia="zh-CN"/>
              </w:rPr>
            </w:pPr>
            <w:r>
              <w:rPr>
                <w:rFonts w:hint="eastAsia"/>
                <w:color w:val="auto"/>
                <w:highlight w:val="none"/>
                <w:lang w:val="en-US" w:eastAsia="zh-CN"/>
              </w:rPr>
              <w:t>/</w:t>
            </w:r>
          </w:p>
        </w:tc>
        <w:tc>
          <w:tcPr>
            <w:tcW w:w="1701" w:type="dxa"/>
            <w:noWrap w:val="0"/>
            <w:vAlign w:val="center"/>
          </w:tcPr>
          <w:p w14:paraId="67230F45">
            <w:pPr>
              <w:pStyle w:val="74"/>
              <w:bidi w:val="0"/>
              <w:rPr>
                <w:rFonts w:hint="default"/>
                <w:color w:val="auto"/>
                <w:highlight w:val="none"/>
                <w:lang w:val="en-US" w:eastAsia="zh-CN"/>
              </w:rPr>
            </w:pPr>
            <w:r>
              <w:rPr>
                <w:rFonts w:hint="eastAsia"/>
                <w:color w:val="auto"/>
                <w:highlight w:val="none"/>
                <w:lang w:val="en-US" w:eastAsia="zh-CN"/>
              </w:rPr>
              <w:t>/</w:t>
            </w:r>
          </w:p>
        </w:tc>
        <w:tc>
          <w:tcPr>
            <w:tcW w:w="1559" w:type="dxa"/>
            <w:shd w:val="clear" w:color="auto" w:fill="auto"/>
            <w:noWrap w:val="0"/>
            <w:vAlign w:val="center"/>
          </w:tcPr>
          <w:p w14:paraId="1C7F8800">
            <w:pPr>
              <w:pStyle w:val="74"/>
              <w:bidi w:val="0"/>
              <w:rPr>
                <w:rFonts w:hint="default"/>
                <w:color w:val="auto"/>
                <w:highlight w:val="none"/>
                <w:lang w:val="en-US" w:eastAsia="zh-CN"/>
              </w:rPr>
            </w:pPr>
            <w:r>
              <w:rPr>
                <w:rFonts w:hint="eastAsia"/>
                <w:color w:val="auto"/>
                <w:highlight w:val="none"/>
                <w:lang w:val="en-US" w:eastAsia="zh-CN"/>
              </w:rPr>
              <w:t>0.0021</w:t>
            </w:r>
          </w:p>
        </w:tc>
        <w:tc>
          <w:tcPr>
            <w:tcW w:w="1761" w:type="dxa"/>
            <w:noWrap w:val="0"/>
            <w:vAlign w:val="center"/>
          </w:tcPr>
          <w:p w14:paraId="4758137C">
            <w:pPr>
              <w:pStyle w:val="74"/>
              <w:bidi w:val="0"/>
              <w:rPr>
                <w:rFonts w:hint="default"/>
                <w:color w:val="auto"/>
                <w:highlight w:val="none"/>
                <w:lang w:val="en-US" w:eastAsia="zh-CN"/>
              </w:rPr>
            </w:pPr>
            <w:r>
              <w:rPr>
                <w:rFonts w:hint="eastAsia"/>
                <w:color w:val="auto"/>
                <w:highlight w:val="none"/>
                <w:lang w:val="en-US" w:eastAsia="zh-CN"/>
              </w:rPr>
              <w:t>/</w:t>
            </w:r>
          </w:p>
        </w:tc>
        <w:tc>
          <w:tcPr>
            <w:tcW w:w="1959" w:type="dxa"/>
            <w:shd w:val="clear" w:color="auto" w:fill="auto"/>
            <w:noWrap w:val="0"/>
            <w:vAlign w:val="center"/>
          </w:tcPr>
          <w:p w14:paraId="7017BA1B">
            <w:pPr>
              <w:pStyle w:val="74"/>
              <w:bidi w:val="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0.0021</w:t>
            </w:r>
          </w:p>
        </w:tc>
        <w:tc>
          <w:tcPr>
            <w:tcW w:w="1122" w:type="dxa"/>
            <w:shd w:val="clear" w:color="auto" w:fill="auto"/>
            <w:noWrap w:val="0"/>
            <w:vAlign w:val="center"/>
          </w:tcPr>
          <w:p w14:paraId="363B2602">
            <w:pPr>
              <w:pStyle w:val="74"/>
              <w:bidi w:val="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+0.0021</w:t>
            </w:r>
          </w:p>
        </w:tc>
      </w:tr>
      <w:tr w14:paraId="194FB0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restart"/>
            <w:noWrap w:val="0"/>
            <w:vAlign w:val="center"/>
          </w:tcPr>
          <w:p w14:paraId="7A817273">
            <w:pPr>
              <w:pStyle w:val="74"/>
              <w:bidi w:val="0"/>
              <w:rPr>
                <w:color w:val="auto"/>
              </w:rPr>
            </w:pPr>
            <w:r>
              <w:rPr>
                <w:color w:val="auto"/>
              </w:rPr>
              <w:t>废水</w:t>
            </w:r>
          </w:p>
        </w:tc>
        <w:tc>
          <w:tcPr>
            <w:tcW w:w="2145" w:type="dxa"/>
            <w:noWrap w:val="0"/>
            <w:vAlign w:val="center"/>
          </w:tcPr>
          <w:p w14:paraId="27F96A43">
            <w:pPr>
              <w:pStyle w:val="74"/>
              <w:bidi w:val="0"/>
              <w:rPr>
                <w:rFonts w:hint="eastAsia" w:eastAsia="宋体"/>
                <w:color w:val="auto"/>
                <w:lang w:eastAsia="zh-CN"/>
              </w:rPr>
            </w:pPr>
            <w:r>
              <w:rPr>
                <w:color w:val="auto"/>
              </w:rPr>
              <w:t>COD</w:t>
            </w:r>
            <w:r>
              <w:rPr>
                <w:rFonts w:hint="eastAsia"/>
                <w:color w:val="auto"/>
                <w:lang w:eastAsia="zh-CN"/>
              </w:rPr>
              <w:t>(</w:t>
            </w:r>
            <w:r>
              <w:rPr>
                <w:color w:val="auto"/>
              </w:rPr>
              <w:t>t/a</w:t>
            </w:r>
            <w:r>
              <w:rPr>
                <w:rFonts w:hint="eastAsia"/>
                <w:color w:val="auto"/>
                <w:lang w:eastAsia="zh-CN"/>
              </w:rPr>
              <w:t>)</w:t>
            </w:r>
          </w:p>
        </w:tc>
        <w:tc>
          <w:tcPr>
            <w:tcW w:w="1332" w:type="dxa"/>
            <w:noWrap w:val="0"/>
            <w:vAlign w:val="center"/>
          </w:tcPr>
          <w:p w14:paraId="103D1696">
            <w:pPr>
              <w:pStyle w:val="74"/>
              <w:bidi w:val="0"/>
              <w:rPr>
                <w:rFonts w:hint="default"/>
                <w:color w:val="auto"/>
                <w:lang w:val="en-US" w:eastAsia="zh-CN"/>
              </w:rPr>
            </w:pPr>
            <w:r>
              <w:rPr>
                <w:rFonts w:hint="eastAsia"/>
                <w:color w:val="auto"/>
                <w:lang w:val="en-US" w:eastAsia="zh-CN"/>
              </w:rPr>
              <w:t>/</w:t>
            </w:r>
          </w:p>
        </w:tc>
        <w:tc>
          <w:tcPr>
            <w:tcW w:w="1276" w:type="dxa"/>
            <w:noWrap w:val="0"/>
            <w:vAlign w:val="center"/>
          </w:tcPr>
          <w:p w14:paraId="18E22812">
            <w:pPr>
              <w:pStyle w:val="74"/>
              <w:bidi w:val="0"/>
              <w:rPr>
                <w:color w:val="auto"/>
              </w:rPr>
            </w:pPr>
            <w:r>
              <w:rPr>
                <w:rFonts w:hint="eastAsia"/>
                <w:color w:val="auto"/>
                <w:lang w:val="en-US" w:eastAsia="zh-CN"/>
              </w:rPr>
              <w:t>/</w:t>
            </w:r>
          </w:p>
        </w:tc>
        <w:tc>
          <w:tcPr>
            <w:tcW w:w="1701" w:type="dxa"/>
            <w:noWrap w:val="0"/>
            <w:vAlign w:val="center"/>
          </w:tcPr>
          <w:p w14:paraId="3CCB9697">
            <w:pPr>
              <w:pStyle w:val="74"/>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675C6A73">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0.072</w:t>
            </w:r>
          </w:p>
        </w:tc>
        <w:tc>
          <w:tcPr>
            <w:tcW w:w="1761" w:type="dxa"/>
            <w:noWrap w:val="0"/>
            <w:vAlign w:val="center"/>
          </w:tcPr>
          <w:p w14:paraId="1755F35B">
            <w:pPr>
              <w:pStyle w:val="74"/>
              <w:bidi w:val="0"/>
              <w:rPr>
                <w:rFonts w:hint="eastAsia"/>
                <w:color w:val="auto"/>
              </w:rPr>
            </w:pPr>
            <w:r>
              <w:rPr>
                <w:rFonts w:hint="eastAsia"/>
                <w:color w:val="auto"/>
                <w:lang w:val="en-US" w:eastAsia="zh-CN"/>
              </w:rPr>
              <w:t>/</w:t>
            </w:r>
          </w:p>
        </w:tc>
        <w:tc>
          <w:tcPr>
            <w:tcW w:w="1959" w:type="dxa"/>
            <w:shd w:val="clear" w:color="auto" w:fill="auto"/>
            <w:noWrap w:val="0"/>
            <w:vAlign w:val="center"/>
          </w:tcPr>
          <w:p w14:paraId="7FC1CCBA">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0.072</w:t>
            </w:r>
          </w:p>
        </w:tc>
        <w:tc>
          <w:tcPr>
            <w:tcW w:w="1122" w:type="dxa"/>
            <w:shd w:val="clear" w:color="auto" w:fill="auto"/>
            <w:noWrap w:val="0"/>
            <w:vAlign w:val="center"/>
          </w:tcPr>
          <w:p w14:paraId="16854B84">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+0.072</w:t>
            </w:r>
          </w:p>
        </w:tc>
      </w:tr>
      <w:tr w14:paraId="2A00B8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1F1E6C82">
            <w:pPr>
              <w:pStyle w:val="74"/>
              <w:bidi w:val="0"/>
              <w:rPr>
                <w:color w:val="auto"/>
              </w:rPr>
            </w:pPr>
          </w:p>
        </w:tc>
        <w:tc>
          <w:tcPr>
            <w:tcW w:w="2145" w:type="dxa"/>
            <w:noWrap w:val="0"/>
            <w:vAlign w:val="center"/>
          </w:tcPr>
          <w:p w14:paraId="7B205CF3">
            <w:pPr>
              <w:pStyle w:val="74"/>
              <w:bidi w:val="0"/>
              <w:rPr>
                <w:rFonts w:hint="eastAsia" w:eastAsia="宋体"/>
                <w:color w:val="auto"/>
                <w:lang w:eastAsia="zh-CN"/>
              </w:rPr>
            </w:pPr>
            <w:r>
              <w:rPr>
                <w:color w:val="auto"/>
              </w:rPr>
              <w:t>BOD</w:t>
            </w:r>
            <w:r>
              <w:rPr>
                <w:color w:val="auto"/>
                <w:vertAlign w:val="subscript"/>
              </w:rPr>
              <w:t>5</w:t>
            </w:r>
            <w:r>
              <w:rPr>
                <w:rFonts w:hint="eastAsia"/>
                <w:color w:val="auto"/>
                <w:vertAlign w:val="subscript"/>
                <w:lang w:eastAsia="zh-CN"/>
              </w:rPr>
              <w:t>(</w:t>
            </w:r>
            <w:r>
              <w:rPr>
                <w:color w:val="auto"/>
              </w:rPr>
              <w:t>t/a</w:t>
            </w:r>
            <w:r>
              <w:rPr>
                <w:rFonts w:hint="eastAsia"/>
                <w:color w:val="auto"/>
                <w:lang w:eastAsia="zh-CN"/>
              </w:rPr>
              <w:t>)</w:t>
            </w:r>
          </w:p>
        </w:tc>
        <w:tc>
          <w:tcPr>
            <w:tcW w:w="1332" w:type="dxa"/>
            <w:noWrap w:val="0"/>
            <w:vAlign w:val="center"/>
          </w:tcPr>
          <w:p w14:paraId="3E6C1900">
            <w:pPr>
              <w:pStyle w:val="74"/>
              <w:bidi w:val="0"/>
              <w:rPr>
                <w:rFonts w:hint="default"/>
                <w:color w:val="auto"/>
                <w:lang w:val="en-US" w:eastAsia="zh-CN"/>
              </w:rPr>
            </w:pPr>
            <w:r>
              <w:rPr>
                <w:rFonts w:hint="eastAsia"/>
                <w:color w:val="auto"/>
                <w:lang w:val="en-US" w:eastAsia="zh-CN"/>
              </w:rPr>
              <w:t>/</w:t>
            </w:r>
          </w:p>
        </w:tc>
        <w:tc>
          <w:tcPr>
            <w:tcW w:w="1276" w:type="dxa"/>
            <w:noWrap w:val="0"/>
            <w:vAlign w:val="center"/>
          </w:tcPr>
          <w:p w14:paraId="27C16663">
            <w:pPr>
              <w:pStyle w:val="74"/>
              <w:bidi w:val="0"/>
              <w:rPr>
                <w:color w:val="auto"/>
              </w:rPr>
            </w:pPr>
            <w:r>
              <w:rPr>
                <w:rFonts w:hint="eastAsia"/>
                <w:color w:val="auto"/>
                <w:lang w:val="en-US" w:eastAsia="zh-CN"/>
              </w:rPr>
              <w:t>/</w:t>
            </w:r>
          </w:p>
        </w:tc>
        <w:tc>
          <w:tcPr>
            <w:tcW w:w="1701" w:type="dxa"/>
            <w:noWrap w:val="0"/>
            <w:vAlign w:val="center"/>
          </w:tcPr>
          <w:p w14:paraId="6E8648B2">
            <w:pPr>
              <w:pStyle w:val="74"/>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1D198027">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0.0337</w:t>
            </w:r>
          </w:p>
        </w:tc>
        <w:tc>
          <w:tcPr>
            <w:tcW w:w="1761" w:type="dxa"/>
            <w:noWrap w:val="0"/>
            <w:vAlign w:val="center"/>
          </w:tcPr>
          <w:p w14:paraId="1B776C16">
            <w:pPr>
              <w:pStyle w:val="74"/>
              <w:bidi w:val="0"/>
              <w:rPr>
                <w:rFonts w:hint="eastAsia"/>
                <w:color w:val="auto"/>
              </w:rPr>
            </w:pPr>
            <w:r>
              <w:rPr>
                <w:rFonts w:hint="eastAsia"/>
                <w:color w:val="auto"/>
                <w:lang w:val="en-US" w:eastAsia="zh-CN"/>
              </w:rPr>
              <w:t>/</w:t>
            </w:r>
          </w:p>
        </w:tc>
        <w:tc>
          <w:tcPr>
            <w:tcW w:w="1959" w:type="dxa"/>
            <w:shd w:val="clear" w:color="auto" w:fill="auto"/>
            <w:noWrap w:val="0"/>
            <w:vAlign w:val="center"/>
          </w:tcPr>
          <w:p w14:paraId="19C0085A">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0.0337</w:t>
            </w:r>
          </w:p>
        </w:tc>
        <w:tc>
          <w:tcPr>
            <w:tcW w:w="1122" w:type="dxa"/>
            <w:shd w:val="clear" w:color="auto" w:fill="auto"/>
            <w:noWrap w:val="0"/>
            <w:vAlign w:val="center"/>
          </w:tcPr>
          <w:p w14:paraId="7F7FDD6A">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+0.0337</w:t>
            </w:r>
          </w:p>
        </w:tc>
      </w:tr>
      <w:tr w14:paraId="2C754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573C810A">
            <w:pPr>
              <w:pStyle w:val="74"/>
              <w:bidi w:val="0"/>
              <w:rPr>
                <w:color w:val="auto"/>
              </w:rPr>
            </w:pPr>
          </w:p>
        </w:tc>
        <w:tc>
          <w:tcPr>
            <w:tcW w:w="2145" w:type="dxa"/>
            <w:noWrap w:val="0"/>
            <w:vAlign w:val="center"/>
          </w:tcPr>
          <w:p w14:paraId="293B86E4">
            <w:pPr>
              <w:pStyle w:val="74"/>
              <w:bidi w:val="0"/>
              <w:rPr>
                <w:rFonts w:hint="eastAsia" w:eastAsia="宋体"/>
                <w:color w:val="auto"/>
                <w:lang w:eastAsia="zh-CN"/>
              </w:rPr>
            </w:pPr>
            <w:r>
              <w:rPr>
                <w:color w:val="auto"/>
              </w:rPr>
              <w:t>SS</w:t>
            </w:r>
            <w:r>
              <w:rPr>
                <w:rFonts w:hint="eastAsia"/>
                <w:color w:val="auto"/>
                <w:lang w:eastAsia="zh-CN"/>
              </w:rPr>
              <w:t>(</w:t>
            </w:r>
            <w:r>
              <w:rPr>
                <w:color w:val="auto"/>
              </w:rPr>
              <w:t>t/a</w:t>
            </w:r>
            <w:r>
              <w:rPr>
                <w:rFonts w:hint="eastAsia"/>
                <w:color w:val="auto"/>
                <w:lang w:eastAsia="zh-CN"/>
              </w:rPr>
              <w:t>)</w:t>
            </w:r>
          </w:p>
        </w:tc>
        <w:tc>
          <w:tcPr>
            <w:tcW w:w="1332" w:type="dxa"/>
            <w:noWrap w:val="0"/>
            <w:vAlign w:val="center"/>
          </w:tcPr>
          <w:p w14:paraId="117B2D7B">
            <w:pPr>
              <w:pStyle w:val="74"/>
              <w:bidi w:val="0"/>
              <w:rPr>
                <w:rFonts w:hint="default"/>
                <w:color w:val="auto"/>
                <w:lang w:val="en-US" w:eastAsia="zh-CN"/>
              </w:rPr>
            </w:pPr>
            <w:r>
              <w:rPr>
                <w:rFonts w:hint="eastAsia"/>
                <w:color w:val="auto"/>
                <w:lang w:val="en-US" w:eastAsia="zh-CN"/>
              </w:rPr>
              <w:t>/</w:t>
            </w:r>
          </w:p>
        </w:tc>
        <w:tc>
          <w:tcPr>
            <w:tcW w:w="1276" w:type="dxa"/>
            <w:noWrap w:val="0"/>
            <w:vAlign w:val="center"/>
          </w:tcPr>
          <w:p w14:paraId="4298D7B3">
            <w:pPr>
              <w:pStyle w:val="74"/>
              <w:bidi w:val="0"/>
              <w:rPr>
                <w:color w:val="auto"/>
              </w:rPr>
            </w:pPr>
            <w:r>
              <w:rPr>
                <w:rFonts w:hint="eastAsia"/>
                <w:color w:val="auto"/>
                <w:lang w:val="en-US" w:eastAsia="zh-CN"/>
              </w:rPr>
              <w:t>/</w:t>
            </w:r>
          </w:p>
        </w:tc>
        <w:tc>
          <w:tcPr>
            <w:tcW w:w="1701" w:type="dxa"/>
            <w:noWrap w:val="0"/>
            <w:vAlign w:val="center"/>
          </w:tcPr>
          <w:p w14:paraId="70A68D9D">
            <w:pPr>
              <w:pStyle w:val="74"/>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1CD46FD8">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0.0252</w:t>
            </w:r>
          </w:p>
        </w:tc>
        <w:tc>
          <w:tcPr>
            <w:tcW w:w="1761" w:type="dxa"/>
            <w:noWrap w:val="0"/>
            <w:vAlign w:val="center"/>
          </w:tcPr>
          <w:p w14:paraId="7F2A6589">
            <w:pPr>
              <w:pStyle w:val="74"/>
              <w:bidi w:val="0"/>
              <w:rPr>
                <w:rFonts w:hint="eastAsia"/>
                <w:color w:val="auto"/>
              </w:rPr>
            </w:pPr>
            <w:r>
              <w:rPr>
                <w:rFonts w:hint="eastAsia"/>
                <w:color w:val="auto"/>
                <w:lang w:val="en-US" w:eastAsia="zh-CN"/>
              </w:rPr>
              <w:t>/</w:t>
            </w:r>
          </w:p>
        </w:tc>
        <w:tc>
          <w:tcPr>
            <w:tcW w:w="1959" w:type="dxa"/>
            <w:shd w:val="clear" w:color="auto" w:fill="auto"/>
            <w:noWrap w:val="0"/>
            <w:vAlign w:val="center"/>
          </w:tcPr>
          <w:p w14:paraId="0E0AC575">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0.0252</w:t>
            </w:r>
          </w:p>
        </w:tc>
        <w:tc>
          <w:tcPr>
            <w:tcW w:w="1122" w:type="dxa"/>
            <w:shd w:val="clear" w:color="auto" w:fill="auto"/>
            <w:noWrap w:val="0"/>
            <w:vAlign w:val="center"/>
          </w:tcPr>
          <w:p w14:paraId="57B58689">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+0.0252</w:t>
            </w:r>
          </w:p>
        </w:tc>
      </w:tr>
      <w:tr w14:paraId="610697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29" w:type="dxa"/>
            <w:vMerge w:val="continue"/>
            <w:noWrap w:val="0"/>
            <w:vAlign w:val="center"/>
          </w:tcPr>
          <w:p w14:paraId="15E4FA04">
            <w:pPr>
              <w:pStyle w:val="74"/>
              <w:bidi w:val="0"/>
              <w:rPr>
                <w:color w:val="auto"/>
              </w:rPr>
            </w:pPr>
          </w:p>
        </w:tc>
        <w:tc>
          <w:tcPr>
            <w:tcW w:w="2145" w:type="dxa"/>
            <w:noWrap w:val="0"/>
            <w:vAlign w:val="center"/>
          </w:tcPr>
          <w:p w14:paraId="55889C40">
            <w:pPr>
              <w:pStyle w:val="74"/>
              <w:bidi w:val="0"/>
              <w:rPr>
                <w:rFonts w:hint="eastAsia" w:eastAsia="宋体"/>
                <w:color w:val="auto"/>
                <w:lang w:eastAsia="zh-CN"/>
              </w:rPr>
            </w:pPr>
            <w:r>
              <w:rPr>
                <w:color w:val="auto"/>
              </w:rPr>
              <w:t>NH</w:t>
            </w:r>
            <w:r>
              <w:rPr>
                <w:color w:val="auto"/>
                <w:vertAlign w:val="subscript"/>
              </w:rPr>
              <w:t>3</w:t>
            </w:r>
            <w:r>
              <w:rPr>
                <w:color w:val="auto"/>
              </w:rPr>
              <w:t>-N</w:t>
            </w:r>
            <w:r>
              <w:rPr>
                <w:rFonts w:hint="eastAsia"/>
                <w:color w:val="auto"/>
                <w:lang w:eastAsia="zh-CN"/>
              </w:rPr>
              <w:t>(</w:t>
            </w:r>
            <w:r>
              <w:rPr>
                <w:color w:val="auto"/>
              </w:rPr>
              <w:t>t/a</w:t>
            </w:r>
            <w:r>
              <w:rPr>
                <w:rFonts w:hint="eastAsia"/>
                <w:color w:val="auto"/>
                <w:lang w:eastAsia="zh-CN"/>
              </w:rPr>
              <w:t>)</w:t>
            </w:r>
          </w:p>
        </w:tc>
        <w:tc>
          <w:tcPr>
            <w:tcW w:w="1332" w:type="dxa"/>
            <w:noWrap w:val="0"/>
            <w:vAlign w:val="center"/>
          </w:tcPr>
          <w:p w14:paraId="4677B5D9">
            <w:pPr>
              <w:pStyle w:val="74"/>
              <w:bidi w:val="0"/>
              <w:rPr>
                <w:rFonts w:hint="default"/>
                <w:color w:val="auto"/>
                <w:lang w:val="en-US" w:eastAsia="zh-CN"/>
              </w:rPr>
            </w:pPr>
            <w:r>
              <w:rPr>
                <w:rFonts w:hint="eastAsia"/>
                <w:color w:val="auto"/>
                <w:lang w:val="en-US" w:eastAsia="zh-CN"/>
              </w:rPr>
              <w:t>/</w:t>
            </w:r>
          </w:p>
        </w:tc>
        <w:tc>
          <w:tcPr>
            <w:tcW w:w="1276" w:type="dxa"/>
            <w:noWrap w:val="0"/>
            <w:vAlign w:val="center"/>
          </w:tcPr>
          <w:p w14:paraId="0FF5A504">
            <w:pPr>
              <w:pStyle w:val="74"/>
              <w:bidi w:val="0"/>
              <w:rPr>
                <w:color w:val="auto"/>
              </w:rPr>
            </w:pPr>
            <w:r>
              <w:rPr>
                <w:rFonts w:hint="eastAsia"/>
                <w:color w:val="auto"/>
                <w:lang w:val="en-US" w:eastAsia="zh-CN"/>
              </w:rPr>
              <w:t>/</w:t>
            </w:r>
          </w:p>
        </w:tc>
        <w:tc>
          <w:tcPr>
            <w:tcW w:w="1701" w:type="dxa"/>
            <w:noWrap w:val="0"/>
            <w:vAlign w:val="center"/>
          </w:tcPr>
          <w:p w14:paraId="2693660C">
            <w:pPr>
              <w:pStyle w:val="74"/>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40E7A8CE">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0.0086</w:t>
            </w:r>
          </w:p>
        </w:tc>
        <w:tc>
          <w:tcPr>
            <w:tcW w:w="1761" w:type="dxa"/>
            <w:noWrap w:val="0"/>
            <w:vAlign w:val="center"/>
          </w:tcPr>
          <w:p w14:paraId="1415276B">
            <w:pPr>
              <w:pStyle w:val="74"/>
              <w:bidi w:val="0"/>
              <w:rPr>
                <w:rFonts w:hint="eastAsia"/>
                <w:color w:val="auto"/>
              </w:rPr>
            </w:pPr>
            <w:r>
              <w:rPr>
                <w:rFonts w:hint="eastAsia"/>
                <w:color w:val="auto"/>
                <w:lang w:val="en-US" w:eastAsia="zh-CN"/>
              </w:rPr>
              <w:t>/</w:t>
            </w:r>
          </w:p>
        </w:tc>
        <w:tc>
          <w:tcPr>
            <w:tcW w:w="1959" w:type="dxa"/>
            <w:shd w:val="clear" w:color="auto" w:fill="auto"/>
            <w:noWrap w:val="0"/>
            <w:vAlign w:val="center"/>
          </w:tcPr>
          <w:p w14:paraId="2C18480F">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0.0086</w:t>
            </w:r>
          </w:p>
        </w:tc>
        <w:tc>
          <w:tcPr>
            <w:tcW w:w="1122" w:type="dxa"/>
            <w:shd w:val="clear" w:color="auto" w:fill="auto"/>
            <w:noWrap w:val="0"/>
            <w:vAlign w:val="center"/>
          </w:tcPr>
          <w:p w14:paraId="7AB90188">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+0.0086</w:t>
            </w:r>
          </w:p>
        </w:tc>
      </w:tr>
      <w:tr w14:paraId="47BE7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restart"/>
            <w:noWrap w:val="0"/>
            <w:vAlign w:val="center"/>
          </w:tcPr>
          <w:p w14:paraId="6D3D45B1">
            <w:pPr>
              <w:pStyle w:val="74"/>
              <w:bidi w:val="0"/>
              <w:rPr>
                <w:color w:val="auto"/>
              </w:rPr>
            </w:pPr>
            <w:r>
              <w:rPr>
                <w:color w:val="auto"/>
              </w:rPr>
              <w:t>一般工业</w:t>
            </w:r>
          </w:p>
          <w:p w14:paraId="00513C34">
            <w:pPr>
              <w:pStyle w:val="74"/>
              <w:bidi w:val="0"/>
              <w:rPr>
                <w:color w:val="auto"/>
              </w:rPr>
            </w:pPr>
            <w:r>
              <w:rPr>
                <w:color w:val="auto"/>
              </w:rPr>
              <w:t>固体废物</w:t>
            </w:r>
          </w:p>
        </w:tc>
        <w:tc>
          <w:tcPr>
            <w:tcW w:w="2145" w:type="dxa"/>
            <w:noWrap w:val="0"/>
            <w:vAlign w:val="center"/>
          </w:tcPr>
          <w:p w14:paraId="5A3D5710">
            <w:pPr>
              <w:pStyle w:val="74"/>
              <w:bidi w:val="0"/>
              <w:rPr>
                <w:rFonts w:hint="default"/>
                <w:color w:val="auto"/>
                <w:lang w:val="en-US" w:eastAsia="zh-CN"/>
              </w:rPr>
            </w:pPr>
            <w:r>
              <w:rPr>
                <w:rFonts w:hint="eastAsia"/>
                <w:color w:val="auto"/>
                <w:lang w:val="en-US" w:eastAsia="zh-CN"/>
              </w:rPr>
              <w:t>塑料边角料及不合格产品（t/a）</w:t>
            </w:r>
          </w:p>
        </w:tc>
        <w:tc>
          <w:tcPr>
            <w:tcW w:w="1332" w:type="dxa"/>
            <w:noWrap w:val="0"/>
            <w:vAlign w:val="center"/>
          </w:tcPr>
          <w:p w14:paraId="69A1AFF1">
            <w:pPr>
              <w:pStyle w:val="74"/>
              <w:bidi w:val="0"/>
              <w:rPr>
                <w:rFonts w:hint="default"/>
                <w:color w:val="auto"/>
                <w:lang w:val="en-US" w:eastAsia="zh-CN"/>
              </w:rPr>
            </w:pPr>
            <w:r>
              <w:rPr>
                <w:rFonts w:hint="eastAsia"/>
                <w:color w:val="auto"/>
                <w:lang w:val="en-US" w:eastAsia="zh-CN"/>
              </w:rPr>
              <w:t>/</w:t>
            </w:r>
          </w:p>
        </w:tc>
        <w:tc>
          <w:tcPr>
            <w:tcW w:w="1276" w:type="dxa"/>
            <w:noWrap w:val="0"/>
            <w:vAlign w:val="center"/>
          </w:tcPr>
          <w:p w14:paraId="3EB838C8">
            <w:pPr>
              <w:pStyle w:val="74"/>
              <w:bidi w:val="0"/>
              <w:rPr>
                <w:rFonts w:hint="default"/>
                <w:color w:val="auto"/>
                <w:lang w:val="en-US" w:eastAsia="zh-CN"/>
              </w:rPr>
            </w:pPr>
            <w:r>
              <w:rPr>
                <w:rFonts w:hint="eastAsia"/>
                <w:color w:val="auto"/>
                <w:lang w:val="en-US" w:eastAsia="zh-CN"/>
              </w:rPr>
              <w:t>/</w:t>
            </w:r>
          </w:p>
        </w:tc>
        <w:tc>
          <w:tcPr>
            <w:tcW w:w="1701" w:type="dxa"/>
            <w:noWrap w:val="0"/>
            <w:vAlign w:val="center"/>
          </w:tcPr>
          <w:p w14:paraId="40A7D832">
            <w:pPr>
              <w:pStyle w:val="74"/>
              <w:bidi w:val="0"/>
              <w:rPr>
                <w:rFonts w:hint="default"/>
                <w:color w:val="auto"/>
                <w:lang w:val="en-US" w:eastAsia="zh-CN"/>
              </w:rPr>
            </w:pPr>
            <w:r>
              <w:rPr>
                <w:rFonts w:hint="eastAsia"/>
                <w:color w:val="auto"/>
                <w:lang w:val="en-US" w:eastAsia="zh-CN"/>
              </w:rPr>
              <w:t>/</w:t>
            </w:r>
          </w:p>
        </w:tc>
        <w:tc>
          <w:tcPr>
            <w:tcW w:w="1559" w:type="dxa"/>
            <w:shd w:val="clear" w:color="auto" w:fill="auto"/>
            <w:noWrap w:val="0"/>
            <w:vAlign w:val="center"/>
          </w:tcPr>
          <w:p w14:paraId="364F7116">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0.996</w:t>
            </w:r>
          </w:p>
        </w:tc>
        <w:tc>
          <w:tcPr>
            <w:tcW w:w="1761" w:type="dxa"/>
            <w:noWrap w:val="0"/>
            <w:vAlign w:val="center"/>
          </w:tcPr>
          <w:p w14:paraId="703DA217">
            <w:pPr>
              <w:pStyle w:val="74"/>
              <w:bidi w:val="0"/>
              <w:rPr>
                <w:rFonts w:hint="default"/>
                <w:color w:val="auto"/>
                <w:lang w:val="en-US" w:eastAsia="zh-CN"/>
              </w:rPr>
            </w:pPr>
            <w:r>
              <w:rPr>
                <w:rFonts w:hint="eastAsia"/>
                <w:color w:val="auto"/>
                <w:lang w:val="en-US" w:eastAsia="zh-CN"/>
              </w:rPr>
              <w:t>/</w:t>
            </w:r>
          </w:p>
        </w:tc>
        <w:tc>
          <w:tcPr>
            <w:tcW w:w="1959" w:type="dxa"/>
            <w:shd w:val="clear" w:color="auto" w:fill="auto"/>
            <w:noWrap w:val="0"/>
            <w:vAlign w:val="center"/>
          </w:tcPr>
          <w:p w14:paraId="434B3B98">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0.996</w:t>
            </w:r>
          </w:p>
        </w:tc>
        <w:tc>
          <w:tcPr>
            <w:tcW w:w="1122" w:type="dxa"/>
            <w:shd w:val="clear" w:color="auto" w:fill="auto"/>
            <w:noWrap w:val="0"/>
            <w:vAlign w:val="center"/>
          </w:tcPr>
          <w:p w14:paraId="528039E2">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+0.996</w:t>
            </w:r>
          </w:p>
        </w:tc>
      </w:tr>
      <w:tr w14:paraId="09E790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0501EB75">
            <w:pPr>
              <w:pStyle w:val="74"/>
              <w:bidi w:val="0"/>
              <w:rPr>
                <w:color w:val="auto"/>
              </w:rPr>
            </w:pPr>
          </w:p>
        </w:tc>
        <w:tc>
          <w:tcPr>
            <w:tcW w:w="2145" w:type="dxa"/>
            <w:noWrap w:val="0"/>
            <w:vAlign w:val="center"/>
          </w:tcPr>
          <w:p w14:paraId="6949F011">
            <w:pPr>
              <w:pStyle w:val="74"/>
              <w:bidi w:val="0"/>
              <w:rPr>
                <w:rFonts w:hint="default"/>
                <w:color w:val="auto"/>
                <w:lang w:val="en-US" w:eastAsia="zh-CN"/>
              </w:rPr>
            </w:pPr>
            <w:r>
              <w:rPr>
                <w:rFonts w:hint="eastAsia"/>
                <w:color w:val="auto"/>
                <w:lang w:val="en-US" w:eastAsia="zh-CN"/>
              </w:rPr>
              <w:t>废包装材料（t/a）</w:t>
            </w:r>
          </w:p>
        </w:tc>
        <w:tc>
          <w:tcPr>
            <w:tcW w:w="1332" w:type="dxa"/>
            <w:noWrap w:val="0"/>
            <w:vAlign w:val="center"/>
          </w:tcPr>
          <w:p w14:paraId="5E9E928E">
            <w:pPr>
              <w:pStyle w:val="74"/>
              <w:bidi w:val="0"/>
              <w:rPr>
                <w:rFonts w:hint="default"/>
                <w:color w:val="auto"/>
                <w:lang w:val="en-US" w:eastAsia="zh-CN"/>
              </w:rPr>
            </w:pPr>
            <w:r>
              <w:rPr>
                <w:rFonts w:hint="eastAsia"/>
                <w:color w:val="auto"/>
                <w:lang w:val="en-US" w:eastAsia="zh-CN"/>
              </w:rPr>
              <w:t>/</w:t>
            </w:r>
          </w:p>
        </w:tc>
        <w:tc>
          <w:tcPr>
            <w:tcW w:w="1276" w:type="dxa"/>
            <w:noWrap w:val="0"/>
            <w:vAlign w:val="center"/>
          </w:tcPr>
          <w:p w14:paraId="7FF793F7">
            <w:pPr>
              <w:pStyle w:val="74"/>
              <w:bidi w:val="0"/>
              <w:rPr>
                <w:rFonts w:hint="default"/>
                <w:color w:val="auto"/>
                <w:lang w:val="en-US" w:eastAsia="zh-CN"/>
              </w:rPr>
            </w:pPr>
            <w:r>
              <w:rPr>
                <w:rFonts w:hint="eastAsia"/>
                <w:color w:val="auto"/>
                <w:lang w:val="en-US" w:eastAsia="zh-CN"/>
              </w:rPr>
              <w:t>/</w:t>
            </w:r>
          </w:p>
        </w:tc>
        <w:tc>
          <w:tcPr>
            <w:tcW w:w="1701" w:type="dxa"/>
            <w:noWrap w:val="0"/>
            <w:vAlign w:val="center"/>
          </w:tcPr>
          <w:p w14:paraId="12F7B53F">
            <w:pPr>
              <w:pStyle w:val="74"/>
              <w:bidi w:val="0"/>
              <w:rPr>
                <w:rFonts w:hint="default"/>
                <w:color w:val="auto"/>
                <w:lang w:val="en-US" w:eastAsia="zh-CN"/>
              </w:rPr>
            </w:pPr>
            <w:r>
              <w:rPr>
                <w:rFonts w:hint="eastAsia"/>
                <w:color w:val="auto"/>
                <w:lang w:val="en-US" w:eastAsia="zh-CN"/>
              </w:rPr>
              <w:t>/</w:t>
            </w:r>
          </w:p>
        </w:tc>
        <w:tc>
          <w:tcPr>
            <w:tcW w:w="1559" w:type="dxa"/>
            <w:shd w:val="clear" w:color="auto" w:fill="auto"/>
            <w:noWrap w:val="0"/>
            <w:vAlign w:val="center"/>
          </w:tcPr>
          <w:p w14:paraId="6E6AB16C">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0.24</w:t>
            </w:r>
          </w:p>
        </w:tc>
        <w:tc>
          <w:tcPr>
            <w:tcW w:w="1761" w:type="dxa"/>
            <w:noWrap w:val="0"/>
            <w:vAlign w:val="center"/>
          </w:tcPr>
          <w:p w14:paraId="780BAAB9">
            <w:pPr>
              <w:pStyle w:val="74"/>
              <w:bidi w:val="0"/>
              <w:rPr>
                <w:rFonts w:hint="default"/>
                <w:color w:val="auto"/>
                <w:lang w:val="en-US" w:eastAsia="zh-CN"/>
              </w:rPr>
            </w:pPr>
            <w:r>
              <w:rPr>
                <w:rFonts w:hint="eastAsia"/>
                <w:color w:val="auto"/>
                <w:lang w:val="en-US" w:eastAsia="zh-CN"/>
              </w:rPr>
              <w:t>/</w:t>
            </w:r>
          </w:p>
        </w:tc>
        <w:tc>
          <w:tcPr>
            <w:tcW w:w="1959" w:type="dxa"/>
            <w:shd w:val="clear" w:color="auto" w:fill="auto"/>
            <w:noWrap w:val="0"/>
            <w:vAlign w:val="center"/>
          </w:tcPr>
          <w:p w14:paraId="56C767D3">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0.24</w:t>
            </w:r>
          </w:p>
        </w:tc>
        <w:tc>
          <w:tcPr>
            <w:tcW w:w="1122" w:type="dxa"/>
            <w:shd w:val="clear" w:color="auto" w:fill="auto"/>
            <w:noWrap w:val="0"/>
            <w:vAlign w:val="center"/>
          </w:tcPr>
          <w:p w14:paraId="2F9E8675">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+0.24</w:t>
            </w:r>
          </w:p>
        </w:tc>
      </w:tr>
      <w:tr w14:paraId="137B0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restart"/>
            <w:noWrap w:val="0"/>
            <w:vAlign w:val="center"/>
          </w:tcPr>
          <w:p w14:paraId="56D19B50">
            <w:pPr>
              <w:pStyle w:val="74"/>
              <w:bidi w:val="0"/>
              <w:rPr>
                <w:color w:val="auto"/>
              </w:rPr>
            </w:pPr>
            <w:r>
              <w:rPr>
                <w:color w:val="auto"/>
              </w:rPr>
              <w:t>危险废物</w:t>
            </w:r>
          </w:p>
        </w:tc>
        <w:tc>
          <w:tcPr>
            <w:tcW w:w="2145" w:type="dxa"/>
            <w:noWrap w:val="0"/>
            <w:vAlign w:val="center"/>
          </w:tcPr>
          <w:p w14:paraId="3C43A3C1">
            <w:pPr>
              <w:pStyle w:val="74"/>
              <w:bidi w:val="0"/>
              <w:rPr>
                <w:color w:val="auto"/>
                <w:lang w:val="en-US" w:eastAsia="zh-CN"/>
              </w:rPr>
            </w:pPr>
            <w:r>
              <w:rPr>
                <w:rFonts w:hint="eastAsia"/>
                <w:color w:val="auto"/>
                <w:lang w:val="en-US" w:eastAsia="zh-CN"/>
              </w:rPr>
              <w:t>废活性炭（t/a）</w:t>
            </w:r>
          </w:p>
        </w:tc>
        <w:tc>
          <w:tcPr>
            <w:tcW w:w="1332" w:type="dxa"/>
            <w:noWrap w:val="0"/>
            <w:vAlign w:val="center"/>
          </w:tcPr>
          <w:p w14:paraId="21699A1E">
            <w:pPr>
              <w:pStyle w:val="74"/>
              <w:bidi w:val="0"/>
              <w:rPr>
                <w:rFonts w:hint="eastAsia"/>
                <w:color w:val="auto"/>
                <w:lang w:eastAsia="zh-CN"/>
              </w:rPr>
            </w:pPr>
            <w:r>
              <w:rPr>
                <w:rFonts w:hint="eastAsia"/>
                <w:color w:val="auto"/>
                <w:lang w:val="en-US" w:eastAsia="zh-CN"/>
              </w:rPr>
              <w:t>/</w:t>
            </w:r>
          </w:p>
        </w:tc>
        <w:tc>
          <w:tcPr>
            <w:tcW w:w="1276" w:type="dxa"/>
            <w:noWrap w:val="0"/>
            <w:vAlign w:val="center"/>
          </w:tcPr>
          <w:p w14:paraId="5DBD1C34">
            <w:pPr>
              <w:pStyle w:val="74"/>
              <w:bidi w:val="0"/>
              <w:rPr>
                <w:color w:val="auto"/>
              </w:rPr>
            </w:pPr>
            <w:r>
              <w:rPr>
                <w:rFonts w:hint="eastAsia"/>
                <w:color w:val="auto"/>
                <w:lang w:val="en-US" w:eastAsia="zh-CN"/>
              </w:rPr>
              <w:t>/</w:t>
            </w:r>
          </w:p>
        </w:tc>
        <w:tc>
          <w:tcPr>
            <w:tcW w:w="1701" w:type="dxa"/>
            <w:noWrap w:val="0"/>
            <w:vAlign w:val="center"/>
          </w:tcPr>
          <w:p w14:paraId="18418B77">
            <w:pPr>
              <w:pStyle w:val="74"/>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320D2E5A">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2.7967</w:t>
            </w:r>
          </w:p>
        </w:tc>
        <w:tc>
          <w:tcPr>
            <w:tcW w:w="1761" w:type="dxa"/>
            <w:noWrap w:val="0"/>
            <w:vAlign w:val="center"/>
          </w:tcPr>
          <w:p w14:paraId="03EBF6B1">
            <w:pPr>
              <w:pStyle w:val="74"/>
              <w:bidi w:val="0"/>
              <w:rPr>
                <w:rFonts w:hint="eastAsia"/>
                <w:color w:val="auto"/>
              </w:rPr>
            </w:pPr>
            <w:r>
              <w:rPr>
                <w:rFonts w:hint="eastAsia"/>
                <w:color w:val="auto"/>
                <w:lang w:val="en-US" w:eastAsia="zh-CN"/>
              </w:rPr>
              <w:t>/</w:t>
            </w:r>
          </w:p>
        </w:tc>
        <w:tc>
          <w:tcPr>
            <w:tcW w:w="1959" w:type="dxa"/>
            <w:shd w:val="clear" w:color="auto" w:fill="auto"/>
            <w:noWrap w:val="0"/>
            <w:vAlign w:val="center"/>
          </w:tcPr>
          <w:p w14:paraId="1FB4AC5C">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2.7967</w:t>
            </w:r>
          </w:p>
        </w:tc>
        <w:tc>
          <w:tcPr>
            <w:tcW w:w="1122" w:type="dxa"/>
            <w:shd w:val="clear" w:color="auto" w:fill="auto"/>
            <w:noWrap w:val="0"/>
            <w:vAlign w:val="center"/>
          </w:tcPr>
          <w:p w14:paraId="1BF46572">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+2.7967</w:t>
            </w:r>
          </w:p>
        </w:tc>
      </w:tr>
      <w:tr w14:paraId="6C070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3264ED14">
            <w:pPr>
              <w:pStyle w:val="74"/>
              <w:bidi w:val="0"/>
              <w:rPr>
                <w:color w:val="auto"/>
              </w:rPr>
            </w:pPr>
          </w:p>
        </w:tc>
        <w:tc>
          <w:tcPr>
            <w:tcW w:w="2145" w:type="dxa"/>
            <w:noWrap w:val="0"/>
            <w:vAlign w:val="center"/>
          </w:tcPr>
          <w:p w14:paraId="286B3594">
            <w:pPr>
              <w:pStyle w:val="51"/>
              <w:bidi w:val="0"/>
              <w:rPr>
                <w:rFonts w:hint="eastAsia"/>
                <w:color w:val="auto"/>
                <w:lang w:val="en-US" w:eastAsia="zh-CN"/>
              </w:rPr>
            </w:pPr>
            <w:r>
              <w:rPr>
                <w:rFonts w:hint="eastAsia"/>
                <w:color w:val="auto"/>
                <w:lang w:val="en-US" w:eastAsia="zh-CN"/>
              </w:rPr>
              <w:t>废机油（t/a）</w:t>
            </w:r>
          </w:p>
        </w:tc>
        <w:tc>
          <w:tcPr>
            <w:tcW w:w="1332" w:type="dxa"/>
            <w:noWrap w:val="0"/>
            <w:vAlign w:val="center"/>
          </w:tcPr>
          <w:p w14:paraId="5DC3A9BC">
            <w:pPr>
              <w:pStyle w:val="74"/>
              <w:bidi w:val="0"/>
              <w:rPr>
                <w:rFonts w:hint="eastAsia"/>
                <w:color w:val="auto"/>
                <w:lang w:val="en-US" w:eastAsia="zh-CN"/>
              </w:rPr>
            </w:pPr>
            <w:r>
              <w:rPr>
                <w:rFonts w:hint="eastAsia"/>
                <w:color w:val="auto"/>
                <w:lang w:val="en-US" w:eastAsia="zh-CN"/>
              </w:rPr>
              <w:t>/</w:t>
            </w:r>
          </w:p>
        </w:tc>
        <w:tc>
          <w:tcPr>
            <w:tcW w:w="1276" w:type="dxa"/>
            <w:noWrap w:val="0"/>
            <w:vAlign w:val="center"/>
          </w:tcPr>
          <w:p w14:paraId="53E4E992">
            <w:pPr>
              <w:pStyle w:val="74"/>
              <w:bidi w:val="0"/>
              <w:rPr>
                <w:rFonts w:hint="eastAsia"/>
                <w:color w:val="auto"/>
                <w:lang w:val="en-US" w:eastAsia="zh-CN"/>
              </w:rPr>
            </w:pPr>
            <w:r>
              <w:rPr>
                <w:rFonts w:hint="eastAsia"/>
                <w:color w:val="auto"/>
                <w:lang w:val="en-US" w:eastAsia="zh-CN"/>
              </w:rPr>
              <w:t>/</w:t>
            </w:r>
          </w:p>
        </w:tc>
        <w:tc>
          <w:tcPr>
            <w:tcW w:w="1701" w:type="dxa"/>
            <w:noWrap w:val="0"/>
            <w:vAlign w:val="center"/>
          </w:tcPr>
          <w:p w14:paraId="38D4B53F">
            <w:pPr>
              <w:pStyle w:val="74"/>
              <w:bidi w:val="0"/>
              <w:rPr>
                <w:rFonts w:hint="eastAsia"/>
                <w:color w:val="auto"/>
                <w:lang w:val="en-US" w:eastAsia="zh-CN"/>
              </w:rPr>
            </w:pPr>
            <w:r>
              <w:rPr>
                <w:rFonts w:hint="eastAsia"/>
                <w:color w:val="auto"/>
                <w:lang w:val="en-US" w:eastAsia="zh-CN"/>
              </w:rPr>
              <w:t>/</w:t>
            </w:r>
          </w:p>
        </w:tc>
        <w:tc>
          <w:tcPr>
            <w:tcW w:w="1559" w:type="dxa"/>
            <w:shd w:val="clear" w:color="auto" w:fill="auto"/>
            <w:noWrap w:val="0"/>
            <w:vAlign w:val="center"/>
          </w:tcPr>
          <w:p w14:paraId="0CECA03D">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0.12</w:t>
            </w:r>
          </w:p>
        </w:tc>
        <w:tc>
          <w:tcPr>
            <w:tcW w:w="1761" w:type="dxa"/>
            <w:noWrap w:val="0"/>
            <w:vAlign w:val="center"/>
          </w:tcPr>
          <w:p w14:paraId="7CCA27C0">
            <w:pPr>
              <w:pStyle w:val="74"/>
              <w:bidi w:val="0"/>
              <w:rPr>
                <w:rFonts w:hint="eastAsia"/>
                <w:color w:val="auto"/>
              </w:rPr>
            </w:pPr>
            <w:r>
              <w:rPr>
                <w:rFonts w:hint="eastAsia"/>
                <w:color w:val="auto"/>
                <w:lang w:val="en-US" w:eastAsia="zh-CN"/>
              </w:rPr>
              <w:t>/</w:t>
            </w:r>
          </w:p>
        </w:tc>
        <w:tc>
          <w:tcPr>
            <w:tcW w:w="1959" w:type="dxa"/>
            <w:shd w:val="clear" w:color="auto" w:fill="auto"/>
            <w:noWrap w:val="0"/>
            <w:vAlign w:val="center"/>
          </w:tcPr>
          <w:p w14:paraId="4FBB7BAC">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0.12</w:t>
            </w:r>
          </w:p>
        </w:tc>
        <w:tc>
          <w:tcPr>
            <w:tcW w:w="1122" w:type="dxa"/>
            <w:shd w:val="clear" w:color="auto" w:fill="auto"/>
            <w:noWrap w:val="0"/>
            <w:vAlign w:val="center"/>
          </w:tcPr>
          <w:p w14:paraId="545C474C">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+0.12</w:t>
            </w:r>
          </w:p>
        </w:tc>
      </w:tr>
      <w:tr w14:paraId="4630F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noWrap w:val="0"/>
            <w:vAlign w:val="center"/>
          </w:tcPr>
          <w:p w14:paraId="195CF4D9">
            <w:pPr>
              <w:pStyle w:val="74"/>
              <w:bidi w:val="0"/>
              <w:rPr>
                <w:rFonts w:hint="eastAsia"/>
                <w:color w:val="auto"/>
                <w:lang w:val="en-US" w:eastAsia="zh-CN"/>
              </w:rPr>
            </w:pPr>
            <w:r>
              <w:rPr>
                <w:rFonts w:hint="eastAsia"/>
                <w:color w:val="auto"/>
                <w:lang w:val="en-US" w:eastAsia="zh-CN"/>
              </w:rPr>
              <w:t>生活垃圾</w:t>
            </w:r>
          </w:p>
        </w:tc>
        <w:tc>
          <w:tcPr>
            <w:tcW w:w="2145" w:type="dxa"/>
            <w:noWrap w:val="0"/>
            <w:vAlign w:val="center"/>
          </w:tcPr>
          <w:p w14:paraId="3903F746">
            <w:pPr>
              <w:pStyle w:val="74"/>
              <w:bidi w:val="0"/>
              <w:rPr>
                <w:rFonts w:hint="eastAsia"/>
                <w:color w:val="auto"/>
                <w:lang w:val="en-US" w:eastAsia="zh-CN"/>
              </w:rPr>
            </w:pPr>
            <w:r>
              <w:rPr>
                <w:rFonts w:hint="eastAsia"/>
                <w:color w:val="auto"/>
                <w:lang w:val="en-US" w:eastAsia="zh-CN"/>
              </w:rPr>
              <w:t>生活垃圾</w:t>
            </w:r>
          </w:p>
        </w:tc>
        <w:tc>
          <w:tcPr>
            <w:tcW w:w="1332" w:type="dxa"/>
            <w:noWrap w:val="0"/>
            <w:vAlign w:val="center"/>
          </w:tcPr>
          <w:p w14:paraId="1357F0A4">
            <w:pPr>
              <w:pStyle w:val="74"/>
              <w:bidi w:val="0"/>
              <w:rPr>
                <w:rFonts w:hint="default"/>
                <w:color w:val="auto"/>
                <w:lang w:val="en-US" w:eastAsia="zh-CN"/>
              </w:rPr>
            </w:pPr>
            <w:r>
              <w:rPr>
                <w:rFonts w:hint="eastAsia"/>
                <w:color w:val="auto"/>
                <w:lang w:val="en-US" w:eastAsia="zh-CN"/>
              </w:rPr>
              <w:t>/</w:t>
            </w:r>
          </w:p>
        </w:tc>
        <w:tc>
          <w:tcPr>
            <w:tcW w:w="1276" w:type="dxa"/>
            <w:noWrap w:val="0"/>
            <w:vAlign w:val="center"/>
          </w:tcPr>
          <w:p w14:paraId="67886D03">
            <w:pPr>
              <w:pStyle w:val="74"/>
              <w:bidi w:val="0"/>
              <w:rPr>
                <w:rFonts w:hint="eastAsia"/>
                <w:color w:val="auto"/>
              </w:rPr>
            </w:pPr>
            <w:r>
              <w:rPr>
                <w:rFonts w:hint="eastAsia"/>
                <w:color w:val="auto"/>
                <w:lang w:val="en-US" w:eastAsia="zh-CN"/>
              </w:rPr>
              <w:t>/</w:t>
            </w:r>
          </w:p>
        </w:tc>
        <w:tc>
          <w:tcPr>
            <w:tcW w:w="1701" w:type="dxa"/>
            <w:noWrap w:val="0"/>
            <w:vAlign w:val="center"/>
          </w:tcPr>
          <w:p w14:paraId="23B6FC1E">
            <w:pPr>
              <w:pStyle w:val="74"/>
              <w:bidi w:val="0"/>
              <w:rPr>
                <w:rFonts w:hint="eastAsia"/>
                <w:color w:val="auto"/>
                <w:lang w:val="en-US" w:eastAsia="zh-CN"/>
              </w:rPr>
            </w:pPr>
            <w:r>
              <w:rPr>
                <w:rFonts w:hint="eastAsia"/>
                <w:color w:val="auto"/>
                <w:lang w:val="en-US" w:eastAsia="zh-CN"/>
              </w:rPr>
              <w:t>/</w:t>
            </w:r>
          </w:p>
        </w:tc>
        <w:tc>
          <w:tcPr>
            <w:tcW w:w="1559" w:type="dxa"/>
            <w:shd w:val="clear" w:color="auto" w:fill="auto"/>
            <w:noWrap w:val="0"/>
            <w:vAlign w:val="center"/>
          </w:tcPr>
          <w:p w14:paraId="51C36B31">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4.5</w:t>
            </w:r>
          </w:p>
        </w:tc>
        <w:tc>
          <w:tcPr>
            <w:tcW w:w="1761" w:type="dxa"/>
            <w:noWrap w:val="0"/>
            <w:vAlign w:val="center"/>
          </w:tcPr>
          <w:p w14:paraId="70AF2CD9">
            <w:pPr>
              <w:pStyle w:val="74"/>
              <w:bidi w:val="0"/>
              <w:rPr>
                <w:rFonts w:hint="eastAsia"/>
                <w:color w:val="auto"/>
              </w:rPr>
            </w:pPr>
            <w:r>
              <w:rPr>
                <w:rFonts w:hint="eastAsia"/>
                <w:color w:val="auto"/>
                <w:lang w:val="en-US" w:eastAsia="zh-CN"/>
              </w:rPr>
              <w:t>/</w:t>
            </w:r>
          </w:p>
        </w:tc>
        <w:tc>
          <w:tcPr>
            <w:tcW w:w="1959" w:type="dxa"/>
            <w:shd w:val="clear" w:color="auto" w:fill="auto"/>
            <w:noWrap w:val="0"/>
            <w:vAlign w:val="center"/>
          </w:tcPr>
          <w:p w14:paraId="58983D78">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4.5</w:t>
            </w:r>
          </w:p>
        </w:tc>
        <w:tc>
          <w:tcPr>
            <w:tcW w:w="1122" w:type="dxa"/>
            <w:shd w:val="clear" w:color="auto" w:fill="auto"/>
            <w:noWrap w:val="0"/>
            <w:vAlign w:val="center"/>
          </w:tcPr>
          <w:p w14:paraId="6D086A20">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+4.5</w:t>
            </w:r>
          </w:p>
        </w:tc>
      </w:tr>
    </w:tbl>
    <w:p w14:paraId="4C8E9F66">
      <w:pPr>
        <w:pStyle w:val="14"/>
        <w:bidi w:val="0"/>
        <w:rPr>
          <w:color w:val="auto"/>
        </w:rPr>
        <w:sectPr>
          <w:footerReference r:id="rId7" w:type="default"/>
          <w:pgSz w:w="16838" w:h="11906" w:orient="landscape"/>
          <w:pgMar w:top="1417" w:right="1417" w:bottom="1417"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color w:val="auto"/>
        </w:rPr>
        <w:t>注：</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r>
        <w:rPr>
          <w:color w:val="auto"/>
        </w:rPr>
        <w:t>=</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w:t>
      </w: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r>
        <w:rPr>
          <w:color w:val="auto"/>
        </w:rPr>
        <w:t>+</w:t>
      </w: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r>
        <w:rPr>
          <w:color w:val="auto"/>
        </w:rPr>
        <w:t>-</w:t>
      </w: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r>
        <w:rPr>
          <w:color w:val="auto"/>
        </w:rPr>
        <w:t>；</w:t>
      </w:r>
      <w:r>
        <w:rPr>
          <w:color w:val="auto"/>
        </w:rPr>
        <w:fldChar w:fldCharType="begin"/>
      </w:r>
      <w:r>
        <w:rPr>
          <w:color w:val="auto"/>
        </w:rPr>
        <w:instrText xml:space="preserve"> = 7 \* GB3 \* MERGEFORMAT </w:instrText>
      </w:r>
      <w:r>
        <w:rPr>
          <w:color w:val="auto"/>
        </w:rPr>
        <w:fldChar w:fldCharType="separate"/>
      </w:r>
      <w:r>
        <w:rPr>
          <w:color w:val="auto"/>
        </w:rPr>
        <w:t>⑦</w:t>
      </w:r>
      <w:r>
        <w:rPr>
          <w:color w:val="auto"/>
        </w:rPr>
        <w:fldChar w:fldCharType="end"/>
      </w:r>
      <w:r>
        <w:rPr>
          <w:color w:val="auto"/>
        </w:rPr>
        <w:t>=</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r>
        <w:rPr>
          <w:color w:val="auto"/>
        </w:rPr>
        <w:t>-</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p>
    <w:p w14:paraId="0071815E">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eastAsia" w:ascii="黑体" w:hAnsi="黑体" w:eastAsia="黑体" w:cs="黑体"/>
          <w:b/>
          <w:bCs/>
          <w:sz w:val="28"/>
          <w:szCs w:val="28"/>
          <w:lang w:val="en-US" w:eastAsia="zh-CN"/>
        </w:rPr>
      </w:pPr>
      <w:bookmarkStart w:id="162" w:name="_Toc21567"/>
      <w:r>
        <w:rPr>
          <w:rFonts w:hint="eastAsia" w:ascii="黑体" w:hAnsi="黑体" w:eastAsia="黑体" w:cs="黑体"/>
          <w:b/>
          <w:bCs/>
          <w:sz w:val="28"/>
          <w:szCs w:val="28"/>
          <w:lang w:val="en-US" w:eastAsia="zh-CN"/>
        </w:rPr>
        <w:t>附件十：关于环评文件公开文本删除的涉及国家秘密、商业秘密等内容的删除依据和理由说明</w:t>
      </w:r>
      <w:bookmarkEnd w:id="162"/>
      <w:bookmarkStart w:id="163" w:name="_Toc4088"/>
      <w:bookmarkStart w:id="164" w:name="_Toc28204"/>
    </w:p>
    <w:p w14:paraId="5BE4BE7B">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eastAsia" w:ascii="黑体" w:hAnsi="黑体" w:eastAsia="黑体" w:cs="黑体"/>
          <w:b/>
          <w:bCs/>
          <w:color w:val="auto"/>
          <w:sz w:val="36"/>
          <w:szCs w:val="36"/>
          <w:highlight w:val="none"/>
          <w:lang w:eastAsia="zh-CN"/>
        </w:rPr>
      </w:pPr>
      <w:r>
        <w:drawing>
          <wp:inline distT="0" distB="0" distL="114300" distR="114300">
            <wp:extent cx="5788025" cy="7669530"/>
            <wp:effectExtent l="0" t="0" r="3175"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6"/>
                    <a:stretch>
                      <a:fillRect/>
                    </a:stretch>
                  </pic:blipFill>
                  <pic:spPr>
                    <a:xfrm>
                      <a:off x="0" y="0"/>
                      <a:ext cx="5788025" cy="7669530"/>
                    </a:xfrm>
                    <a:prstGeom prst="rect">
                      <a:avLst/>
                    </a:prstGeom>
                    <a:noFill/>
                    <a:ln>
                      <a:noFill/>
                    </a:ln>
                  </pic:spPr>
                </pic:pic>
              </a:graphicData>
            </a:graphic>
          </wp:inline>
        </w:drawing>
      </w:r>
    </w:p>
    <w:p w14:paraId="6E061587">
      <w:pPr>
        <w:keepNext/>
        <w:keepLines w:val="0"/>
        <w:pageBreakBefore w:val="0"/>
        <w:widowControl w:val="0"/>
        <w:kinsoku/>
        <w:wordWrap/>
        <w:overflowPunct w:val="0"/>
        <w:topLinePunct w:val="0"/>
        <w:autoSpaceDE/>
        <w:autoSpaceDN/>
        <w:bidi w:val="0"/>
        <w:adjustRightInd/>
        <w:snapToGrid w:val="0"/>
        <w:spacing w:line="260" w:lineRule="auto"/>
        <w:ind w:left="431" w:hanging="431"/>
        <w:jc w:val="center"/>
        <w:textAlignment w:val="auto"/>
        <w:outlineLvl w:val="9"/>
        <w:rPr>
          <w:rFonts w:hint="eastAsia" w:ascii="黑体" w:hAnsi="黑体" w:eastAsia="黑体" w:cs="黑体"/>
          <w:b/>
          <w:bCs/>
          <w:color w:val="auto"/>
          <w:sz w:val="36"/>
          <w:szCs w:val="36"/>
          <w:highlight w:val="none"/>
          <w:lang w:eastAsia="zh-CN"/>
        </w:rPr>
      </w:pPr>
      <w:r>
        <w:drawing>
          <wp:inline distT="0" distB="0" distL="114300" distR="114300">
            <wp:extent cx="5815330" cy="8549640"/>
            <wp:effectExtent l="0" t="0" r="13970" b="381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57"/>
                    <a:stretch>
                      <a:fillRect/>
                    </a:stretch>
                  </pic:blipFill>
                  <pic:spPr>
                    <a:xfrm>
                      <a:off x="0" y="0"/>
                      <a:ext cx="5815330" cy="8549640"/>
                    </a:xfrm>
                    <a:prstGeom prst="rect">
                      <a:avLst/>
                    </a:prstGeom>
                    <a:noFill/>
                    <a:ln>
                      <a:noFill/>
                    </a:ln>
                  </pic:spPr>
                </pic:pic>
              </a:graphicData>
            </a:graphic>
          </wp:inline>
        </w:drawing>
      </w:r>
    </w:p>
    <w:bookmarkEnd w:id="163"/>
    <w:bookmarkEnd w:id="164"/>
    <w:p w14:paraId="300506A9">
      <w:pPr>
        <w:rPr>
          <w:rFonts w:hint="eastAsia"/>
          <w:lang w:val="en-US" w:eastAsia="zh-CN"/>
        </w:rPr>
        <w:sectPr>
          <w:footerReference r:id="rId8" w:type="default"/>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p w14:paraId="347D0A9F">
      <w:pPr>
        <w:rPr>
          <w:rFonts w:hint="eastAsia" w:ascii="黑体" w:hAnsi="黑体" w:eastAsia="黑体" w:cs="黑体"/>
          <w:b/>
          <w:bCs/>
          <w:sz w:val="28"/>
          <w:szCs w:val="28"/>
          <w:lang w:val="en-US" w:eastAsia="zh-CN"/>
        </w:rPr>
      </w:pPr>
    </w:p>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B8173">
    <w:pPr>
      <w:pStyle w:val="15"/>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ECCF33">
                          <w:pPr>
                            <w:pStyle w:val="15"/>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2ECCF33">
                    <w:pPr>
                      <w:pStyle w:val="15"/>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C53A0">
    <w:pPr>
      <w:pStyle w:val="15"/>
      <w:ind w:right="360"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B9494">
                          <w:pPr>
                            <w:pStyle w:val="15"/>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2BB9494">
                    <w:pPr>
                      <w:pStyle w:val="15"/>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6835D">
    <w:pPr>
      <w:pStyle w:val="15"/>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0A8D6D">
                          <w:pPr>
                            <w:pStyle w:val="15"/>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770A8D6D">
                    <w:pPr>
                      <w:pStyle w:val="15"/>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05C37">
    <w:pPr>
      <w:pStyle w:val="15"/>
      <w:ind w:right="360" w:firstLine="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05A65E">
                          <w:pPr>
                            <w:pStyle w:val="15"/>
                          </w:pPr>
                          <w:r>
                            <w:fldChar w:fldCharType="begin"/>
                          </w:r>
                          <w:r>
                            <w:instrText xml:space="preserve"> PAGE  \* MERGEFORMAT </w:instrText>
                          </w:r>
                          <w:r>
                            <w:fldChar w:fldCharType="separate"/>
                          </w:r>
                          <w:r>
                            <w:t>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005A65E">
                    <w:pPr>
                      <w:pStyle w:val="15"/>
                    </w:pPr>
                    <w:r>
                      <w:fldChar w:fldCharType="begin"/>
                    </w:r>
                    <w:r>
                      <w:instrText xml:space="preserve"> PAGE  \* MERGEFORMAT </w:instrText>
                    </w:r>
                    <w:r>
                      <w:fldChar w:fldCharType="separate"/>
                    </w:r>
                    <w:r>
                      <w:t>IV</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F633E">
    <w:pPr>
      <w:pStyle w:val="15"/>
      <w:ind w:right="360" w:firstLine="36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001463">
                          <w:pPr>
                            <w:pStyle w:val="15"/>
                          </w:pPr>
                          <w:r>
                            <w:fldChar w:fldCharType="begin"/>
                          </w:r>
                          <w:r>
                            <w:instrText xml:space="preserve"> PAGE  \* MERGEFORMAT </w:instrText>
                          </w:r>
                          <w:r>
                            <w:fldChar w:fldCharType="separate"/>
                          </w:r>
                          <w:r>
                            <w:t>LXXV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1D001463">
                    <w:pPr>
                      <w:pStyle w:val="15"/>
                    </w:pPr>
                    <w:r>
                      <w:fldChar w:fldCharType="begin"/>
                    </w:r>
                    <w:r>
                      <w:instrText xml:space="preserve"> PAGE  \* MERGEFORMAT </w:instrText>
                    </w:r>
                    <w:r>
                      <w:fldChar w:fldCharType="separate"/>
                    </w:r>
                    <w:r>
                      <w:t>LXXV</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7376F">
    <w:pPr>
      <w:pStyle w:val="15"/>
      <w:ind w:right="360" w:firstLine="360"/>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D0DA2">
                          <w:pPr>
                            <w:pStyle w:val="15"/>
                          </w:pPr>
                          <w:r>
                            <w:fldChar w:fldCharType="begin"/>
                          </w:r>
                          <w:r>
                            <w:instrText xml:space="preserve"> PAGE  \* MERGEFORMAT </w:instrText>
                          </w:r>
                          <w:r>
                            <w:fldChar w:fldCharType="separate"/>
                          </w:r>
                          <w:r>
                            <w:t>LXXVI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31ED0DA2">
                    <w:pPr>
                      <w:pStyle w:val="15"/>
                    </w:pPr>
                    <w:r>
                      <w:fldChar w:fldCharType="begin"/>
                    </w:r>
                    <w:r>
                      <w:instrText xml:space="preserve"> PAGE  \* MERGEFORMAT </w:instrText>
                    </w:r>
                    <w:r>
                      <w:fldChar w:fldCharType="separate"/>
                    </w:r>
                    <w:r>
                      <w:t>LXXVI</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46ACC"/>
    <w:multiLevelType w:val="singleLevel"/>
    <w:tmpl w:val="89B46ACC"/>
    <w:lvl w:ilvl="0" w:tentative="0">
      <w:start w:val="2"/>
      <w:numFmt w:val="chineseCounting"/>
      <w:suff w:val="nothing"/>
      <w:lvlText w:val="%1、"/>
      <w:lvlJc w:val="left"/>
      <w:rPr>
        <w:rFonts w:hint="eastAsia"/>
      </w:rPr>
    </w:lvl>
  </w:abstractNum>
  <w:abstractNum w:abstractNumId="1">
    <w:nsid w:val="002B350F"/>
    <w:multiLevelType w:val="singleLevel"/>
    <w:tmpl w:val="002B350F"/>
    <w:lvl w:ilvl="0" w:tentative="0">
      <w:start w:val="1"/>
      <w:numFmt w:val="decimal"/>
      <w:suff w:val="nothing"/>
      <w:lvlText w:val="%1、"/>
      <w:lvlJc w:val="left"/>
    </w:lvl>
  </w:abstractNum>
  <w:abstractNum w:abstractNumId="2">
    <w:nsid w:val="5A7818EA"/>
    <w:multiLevelType w:val="multilevel"/>
    <w:tmpl w:val="5A7818EA"/>
    <w:lvl w:ilvl="0" w:tentative="0">
      <w:start w:val="1"/>
      <w:numFmt w:val="decimal"/>
      <w:lvlText w:val="%1."/>
      <w:lvlJc w:val="left"/>
      <w:pPr>
        <w:tabs>
          <w:tab w:val="left" w:pos="1567"/>
        </w:tabs>
        <w:ind w:left="1567"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5"/>
      <w:lvlText w:val="%1.%2.%3.%4"/>
      <w:lvlJc w:val="left"/>
      <w:pPr>
        <w:tabs>
          <w:tab w:val="left" w:pos="1574"/>
        </w:tabs>
        <w:ind w:left="157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6833FA05"/>
    <w:multiLevelType w:val="singleLevel"/>
    <w:tmpl w:val="6833FA05"/>
    <w:lvl w:ilvl="0" w:tentative="0">
      <w:start w:val="1"/>
      <w:numFmt w:val="decimal"/>
      <w:suff w:val="nothing"/>
      <w:lvlText w:val="%1、"/>
      <w:lvlJc w:val="left"/>
    </w:lvl>
  </w:abstractNum>
  <w:abstractNum w:abstractNumId="4">
    <w:nsid w:val="76E68910"/>
    <w:multiLevelType w:val="singleLevel"/>
    <w:tmpl w:val="76E68910"/>
    <w:lvl w:ilvl="0" w:tentative="0">
      <w:start w:val="1"/>
      <w:numFmt w:val="decimal"/>
      <w:suff w:val="nothing"/>
      <w:lvlText w:val="（%1）"/>
      <w:lvlJc w:val="left"/>
    </w:lvl>
  </w:abstractNum>
  <w:abstractNum w:abstractNumId="5">
    <w:nsid w:val="7E752F05"/>
    <w:multiLevelType w:val="singleLevel"/>
    <w:tmpl w:val="7E752F05"/>
    <w:lvl w:ilvl="0" w:tentative="0">
      <w:start w:val="1"/>
      <w:numFmt w:val="decimal"/>
      <w:suff w:val="nothing"/>
      <w:lvlText w:val="%1、"/>
      <w:lvlJc w:val="left"/>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10"/>
  <w:drawingGridVerticalSpacing w:val="162"/>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E39B3"/>
    <w:rsid w:val="00B65805"/>
    <w:rsid w:val="012855CE"/>
    <w:rsid w:val="01312D03"/>
    <w:rsid w:val="016C7A79"/>
    <w:rsid w:val="03501EED"/>
    <w:rsid w:val="035A6E90"/>
    <w:rsid w:val="03B373C8"/>
    <w:rsid w:val="03F434D0"/>
    <w:rsid w:val="05467935"/>
    <w:rsid w:val="0599625C"/>
    <w:rsid w:val="05A74E52"/>
    <w:rsid w:val="05B16FE4"/>
    <w:rsid w:val="06D60D20"/>
    <w:rsid w:val="06FE0CEC"/>
    <w:rsid w:val="074F7AC9"/>
    <w:rsid w:val="08506999"/>
    <w:rsid w:val="09704E33"/>
    <w:rsid w:val="09BB5BCC"/>
    <w:rsid w:val="0B431F62"/>
    <w:rsid w:val="0C14470F"/>
    <w:rsid w:val="0CD658CB"/>
    <w:rsid w:val="0DC962E6"/>
    <w:rsid w:val="0E94387A"/>
    <w:rsid w:val="0F005480"/>
    <w:rsid w:val="0F27519E"/>
    <w:rsid w:val="0F947289"/>
    <w:rsid w:val="10686559"/>
    <w:rsid w:val="10FE0470"/>
    <w:rsid w:val="114762E6"/>
    <w:rsid w:val="119E6CF5"/>
    <w:rsid w:val="12320CA3"/>
    <w:rsid w:val="12396910"/>
    <w:rsid w:val="123C2076"/>
    <w:rsid w:val="125B4B29"/>
    <w:rsid w:val="12E2773F"/>
    <w:rsid w:val="12F21BA5"/>
    <w:rsid w:val="130A6291"/>
    <w:rsid w:val="13DB3C17"/>
    <w:rsid w:val="142976A3"/>
    <w:rsid w:val="143B75BD"/>
    <w:rsid w:val="14ED0523"/>
    <w:rsid w:val="15447000"/>
    <w:rsid w:val="15E440F6"/>
    <w:rsid w:val="184077D8"/>
    <w:rsid w:val="19392E3F"/>
    <w:rsid w:val="195065E6"/>
    <w:rsid w:val="19AF5431"/>
    <w:rsid w:val="1A9611D4"/>
    <w:rsid w:val="1AEF1640"/>
    <w:rsid w:val="1B0678E6"/>
    <w:rsid w:val="1B20658C"/>
    <w:rsid w:val="1C136A38"/>
    <w:rsid w:val="1C723D3B"/>
    <w:rsid w:val="1CC34BB0"/>
    <w:rsid w:val="1D7644E2"/>
    <w:rsid w:val="1ED50A3D"/>
    <w:rsid w:val="1F6C1AC3"/>
    <w:rsid w:val="21652233"/>
    <w:rsid w:val="21E872AF"/>
    <w:rsid w:val="224A458F"/>
    <w:rsid w:val="22796B9E"/>
    <w:rsid w:val="22F97F47"/>
    <w:rsid w:val="24000D54"/>
    <w:rsid w:val="24423C0B"/>
    <w:rsid w:val="246E3BEE"/>
    <w:rsid w:val="24B148C0"/>
    <w:rsid w:val="268D24CB"/>
    <w:rsid w:val="26FF1810"/>
    <w:rsid w:val="26FF2560"/>
    <w:rsid w:val="27E762EC"/>
    <w:rsid w:val="27F645D9"/>
    <w:rsid w:val="28897B1C"/>
    <w:rsid w:val="28A12B3E"/>
    <w:rsid w:val="29035282"/>
    <w:rsid w:val="2A1803B1"/>
    <w:rsid w:val="2A701750"/>
    <w:rsid w:val="2C0F4FCD"/>
    <w:rsid w:val="2D81692A"/>
    <w:rsid w:val="2D984ECD"/>
    <w:rsid w:val="2E183793"/>
    <w:rsid w:val="2E250044"/>
    <w:rsid w:val="2E717347"/>
    <w:rsid w:val="2ECE4F81"/>
    <w:rsid w:val="2F511D30"/>
    <w:rsid w:val="2F686C4D"/>
    <w:rsid w:val="305D5210"/>
    <w:rsid w:val="321F5BEE"/>
    <w:rsid w:val="32405F41"/>
    <w:rsid w:val="332E2F85"/>
    <w:rsid w:val="34DF5D43"/>
    <w:rsid w:val="350F349A"/>
    <w:rsid w:val="353636EA"/>
    <w:rsid w:val="35CA5CBB"/>
    <w:rsid w:val="362C2FB9"/>
    <w:rsid w:val="36632AEA"/>
    <w:rsid w:val="368B560A"/>
    <w:rsid w:val="36F46607"/>
    <w:rsid w:val="3716170E"/>
    <w:rsid w:val="37BC5AD7"/>
    <w:rsid w:val="37CF2348"/>
    <w:rsid w:val="38CA5FD2"/>
    <w:rsid w:val="38DC3EDC"/>
    <w:rsid w:val="39721E98"/>
    <w:rsid w:val="3A0D43C8"/>
    <w:rsid w:val="3A7B3269"/>
    <w:rsid w:val="3B5F50F7"/>
    <w:rsid w:val="3BDE2BA6"/>
    <w:rsid w:val="3C09460C"/>
    <w:rsid w:val="3C8E01DC"/>
    <w:rsid w:val="3CCE564F"/>
    <w:rsid w:val="3CE45C48"/>
    <w:rsid w:val="3CF86493"/>
    <w:rsid w:val="3D962E9A"/>
    <w:rsid w:val="3F0F1503"/>
    <w:rsid w:val="3F127E08"/>
    <w:rsid w:val="3FB633FB"/>
    <w:rsid w:val="3FB9596C"/>
    <w:rsid w:val="40FD5B5C"/>
    <w:rsid w:val="4186530E"/>
    <w:rsid w:val="41E756B8"/>
    <w:rsid w:val="426024C3"/>
    <w:rsid w:val="42644CFC"/>
    <w:rsid w:val="42712D90"/>
    <w:rsid w:val="428E37C9"/>
    <w:rsid w:val="43250271"/>
    <w:rsid w:val="438A7C97"/>
    <w:rsid w:val="43D43925"/>
    <w:rsid w:val="441F174E"/>
    <w:rsid w:val="44647233"/>
    <w:rsid w:val="449657A6"/>
    <w:rsid w:val="46084AF2"/>
    <w:rsid w:val="48B545A9"/>
    <w:rsid w:val="48C14817"/>
    <w:rsid w:val="49460182"/>
    <w:rsid w:val="4A430135"/>
    <w:rsid w:val="4B517646"/>
    <w:rsid w:val="4CBC43F6"/>
    <w:rsid w:val="4DAD76E3"/>
    <w:rsid w:val="4E453CD9"/>
    <w:rsid w:val="4EA73979"/>
    <w:rsid w:val="4F457D08"/>
    <w:rsid w:val="4F7C26F1"/>
    <w:rsid w:val="4F7C6D36"/>
    <w:rsid w:val="4F8E5B53"/>
    <w:rsid w:val="50F41DB2"/>
    <w:rsid w:val="51052079"/>
    <w:rsid w:val="51152D85"/>
    <w:rsid w:val="5288019F"/>
    <w:rsid w:val="52AD5CF4"/>
    <w:rsid w:val="53ED7E15"/>
    <w:rsid w:val="54092EF7"/>
    <w:rsid w:val="561C01EA"/>
    <w:rsid w:val="562464C8"/>
    <w:rsid w:val="56856B80"/>
    <w:rsid w:val="56D219CC"/>
    <w:rsid w:val="59854F6F"/>
    <w:rsid w:val="598F6523"/>
    <w:rsid w:val="59A12058"/>
    <w:rsid w:val="5A6A34FF"/>
    <w:rsid w:val="5AD2718F"/>
    <w:rsid w:val="5BE049C1"/>
    <w:rsid w:val="5C3B007A"/>
    <w:rsid w:val="5C3B6762"/>
    <w:rsid w:val="5C574E82"/>
    <w:rsid w:val="5CD252D1"/>
    <w:rsid w:val="5CF76AE6"/>
    <w:rsid w:val="5D1475BA"/>
    <w:rsid w:val="5E352B67"/>
    <w:rsid w:val="5F94195C"/>
    <w:rsid w:val="600D264D"/>
    <w:rsid w:val="604C4F0B"/>
    <w:rsid w:val="60B06C30"/>
    <w:rsid w:val="60BB31B3"/>
    <w:rsid w:val="6134186F"/>
    <w:rsid w:val="61C342E5"/>
    <w:rsid w:val="61EC6729"/>
    <w:rsid w:val="620E2129"/>
    <w:rsid w:val="628C1E57"/>
    <w:rsid w:val="62F2581B"/>
    <w:rsid w:val="643313A9"/>
    <w:rsid w:val="65764C68"/>
    <w:rsid w:val="65A90B99"/>
    <w:rsid w:val="66801F8E"/>
    <w:rsid w:val="678F3DBF"/>
    <w:rsid w:val="67DF3732"/>
    <w:rsid w:val="688356D2"/>
    <w:rsid w:val="689E3902"/>
    <w:rsid w:val="69537901"/>
    <w:rsid w:val="695A2772"/>
    <w:rsid w:val="69602F7D"/>
    <w:rsid w:val="69BB75A3"/>
    <w:rsid w:val="6AE30E7D"/>
    <w:rsid w:val="6BF57752"/>
    <w:rsid w:val="6C3F3B3F"/>
    <w:rsid w:val="6CB45F62"/>
    <w:rsid w:val="6D6B0293"/>
    <w:rsid w:val="6DA07A76"/>
    <w:rsid w:val="6E2F5A53"/>
    <w:rsid w:val="6E3D0876"/>
    <w:rsid w:val="6E91728B"/>
    <w:rsid w:val="6EB17135"/>
    <w:rsid w:val="6EE37A6B"/>
    <w:rsid w:val="6FB57106"/>
    <w:rsid w:val="6FB87AD8"/>
    <w:rsid w:val="70335223"/>
    <w:rsid w:val="70935EC8"/>
    <w:rsid w:val="71281524"/>
    <w:rsid w:val="72137A0F"/>
    <w:rsid w:val="72146479"/>
    <w:rsid w:val="722A2C74"/>
    <w:rsid w:val="72A845A9"/>
    <w:rsid w:val="73730B78"/>
    <w:rsid w:val="73F67ACD"/>
    <w:rsid w:val="74161AF0"/>
    <w:rsid w:val="76640175"/>
    <w:rsid w:val="77C840CC"/>
    <w:rsid w:val="785E0CFE"/>
    <w:rsid w:val="788E3F5A"/>
    <w:rsid w:val="799E34B2"/>
    <w:rsid w:val="79B56793"/>
    <w:rsid w:val="7A4A482E"/>
    <w:rsid w:val="7AC202DC"/>
    <w:rsid w:val="7B1D47C7"/>
    <w:rsid w:val="7BED0F85"/>
    <w:rsid w:val="7C802ED2"/>
    <w:rsid w:val="7D466F15"/>
    <w:rsid w:val="7DC861E9"/>
    <w:rsid w:val="7DE22616"/>
    <w:rsid w:val="7E9E1D43"/>
    <w:rsid w:val="7ED37F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spacing w:before="260" w:after="260" w:line="416" w:lineRule="auto"/>
      <w:outlineLvl w:val="1"/>
    </w:pPr>
    <w:rPr>
      <w:rFonts w:ascii="Calibri Light" w:hAnsi="Calibri Light" w:eastAsia="宋体" w:cs="Times New Roman"/>
      <w:b/>
      <w:bCs/>
      <w:sz w:val="32"/>
      <w:szCs w:val="32"/>
    </w:rPr>
  </w:style>
  <w:style w:type="paragraph" w:styleId="4">
    <w:name w:val="heading 3"/>
    <w:basedOn w:val="1"/>
    <w:next w:val="1"/>
    <w:qFormat/>
    <w:uiPriority w:val="0"/>
    <w:pPr>
      <w:keepNext/>
      <w:keepLines/>
      <w:spacing w:before="260" w:beforeLines="0" w:after="260" w:afterLines="0" w:line="416" w:lineRule="auto"/>
      <w:outlineLvl w:val="2"/>
    </w:pPr>
    <w:rPr>
      <w:b/>
      <w:bCs/>
      <w:sz w:val="32"/>
      <w:szCs w:val="32"/>
    </w:rPr>
  </w:style>
  <w:style w:type="paragraph" w:styleId="5">
    <w:name w:val="heading 4"/>
    <w:basedOn w:val="1"/>
    <w:next w:val="1"/>
    <w:unhideWhenUsed/>
    <w:qFormat/>
    <w:uiPriority w:val="0"/>
    <w:pPr>
      <w:keepNext/>
      <w:keepLines/>
      <w:numPr>
        <w:ilvl w:val="3"/>
        <w:numId w:val="1"/>
      </w:numPr>
      <w:spacing w:line="360" w:lineRule="auto"/>
      <w:ind w:left="1574" w:hanging="864"/>
      <w:outlineLvl w:val="3"/>
    </w:pPr>
    <w:rPr>
      <w:rFonts w:ascii="Arial" w:hAnsi="Arial" w:eastAsia="宋体" w:cs="Times New Roman"/>
      <w:sz w:val="24"/>
      <w:szCs w:val="20"/>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6">
    <w:name w:val="table of authorities"/>
    <w:basedOn w:val="1"/>
    <w:next w:val="1"/>
    <w:semiHidden/>
    <w:qFormat/>
    <w:uiPriority w:val="0"/>
    <w:pPr>
      <w:ind w:left="420" w:leftChars="200"/>
    </w:pPr>
  </w:style>
  <w:style w:type="paragraph" w:styleId="7">
    <w:name w:val="Note Heading"/>
    <w:basedOn w:val="1"/>
    <w:next w:val="1"/>
    <w:qFormat/>
    <w:uiPriority w:val="0"/>
    <w:pPr>
      <w:jc w:val="left"/>
    </w:pPr>
  </w:style>
  <w:style w:type="paragraph" w:styleId="8">
    <w:name w:val="Normal Indent"/>
    <w:basedOn w:val="1"/>
    <w:next w:val="1"/>
    <w:qFormat/>
    <w:uiPriority w:val="0"/>
    <w:pPr>
      <w:ind w:firstLine="420"/>
    </w:pPr>
  </w:style>
  <w:style w:type="paragraph" w:styleId="9">
    <w:name w:val="Salutation"/>
    <w:next w:val="1"/>
    <w:unhideWhenUsed/>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0">
    <w:name w:val="Body Text"/>
    <w:basedOn w:val="1"/>
    <w:next w:val="9"/>
    <w:qFormat/>
    <w:uiPriority w:val="0"/>
    <w:pPr>
      <w:widowControl/>
      <w:snapToGrid w:val="0"/>
      <w:spacing w:before="60" w:after="160" w:line="259" w:lineRule="auto"/>
      <w:ind w:right="113"/>
    </w:pPr>
    <w:rPr>
      <w:kern w:val="0"/>
      <w:sz w:val="18"/>
      <w:szCs w:val="20"/>
    </w:rPr>
  </w:style>
  <w:style w:type="paragraph" w:styleId="11">
    <w:name w:val="Body Text Indent"/>
    <w:basedOn w:val="1"/>
    <w:next w:val="12"/>
    <w:link w:val="65"/>
    <w:qFormat/>
    <w:uiPriority w:val="0"/>
    <w:pPr>
      <w:spacing w:after="120"/>
      <w:ind w:left="420" w:leftChars="200"/>
    </w:pPr>
    <w:rPr>
      <w:kern w:val="0"/>
      <w:sz w:val="24"/>
      <w:szCs w:val="20"/>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3"/>
    <w:basedOn w:val="1"/>
    <w:next w:val="1"/>
    <w:qFormat/>
    <w:uiPriority w:val="0"/>
    <w:pPr>
      <w:ind w:left="840" w:leftChars="400"/>
    </w:pPr>
  </w:style>
  <w:style w:type="paragraph" w:styleId="14">
    <w:name w:val="Plain Text"/>
    <w:basedOn w:val="1"/>
    <w:next w:val="10"/>
    <w:qFormat/>
    <w:uiPriority w:val="0"/>
    <w:rPr>
      <w:rFonts w:ascii="宋体" w:hAnsi="Courier New" w:cs="Courier New"/>
      <w:szCs w:val="21"/>
    </w:rPr>
  </w:style>
  <w:style w:type="paragraph" w:styleId="15">
    <w:name w:val="footer"/>
    <w:basedOn w:val="1"/>
    <w:qFormat/>
    <w:uiPriority w:val="99"/>
    <w:pPr>
      <w:tabs>
        <w:tab w:val="center" w:pos="4153"/>
        <w:tab w:val="right" w:pos="8306"/>
      </w:tabs>
      <w:snapToGrid w:val="0"/>
      <w:jc w:val="left"/>
    </w:pPr>
    <w:rPr>
      <w:kern w:val="0"/>
      <w:sz w:val="18"/>
      <w:szCs w:val="20"/>
    </w:rPr>
  </w:style>
  <w:style w:type="paragraph" w:styleId="16">
    <w:name w:val="toc 1"/>
    <w:basedOn w:val="1"/>
    <w:next w:val="1"/>
    <w:qFormat/>
    <w:uiPriority w:val="0"/>
  </w:style>
  <w:style w:type="paragraph" w:styleId="17">
    <w:name w:val="List"/>
    <w:basedOn w:val="1"/>
    <w:qFormat/>
    <w:uiPriority w:val="0"/>
    <w:pPr>
      <w:ind w:left="200" w:hanging="200" w:hangingChars="200"/>
    </w:pPr>
  </w:style>
  <w:style w:type="paragraph" w:styleId="18">
    <w:name w:val="toc 2"/>
    <w:basedOn w:val="1"/>
    <w:next w:val="1"/>
    <w:qFormat/>
    <w:uiPriority w:val="0"/>
    <w:pPr>
      <w:ind w:left="420" w:leftChars="200"/>
    </w:pPr>
  </w:style>
  <w:style w:type="paragraph" w:styleId="19">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0">
    <w:name w:val="Body Text First Indent"/>
    <w:basedOn w:val="10"/>
    <w:next w:val="1"/>
    <w:qFormat/>
    <w:uiPriority w:val="0"/>
    <w:pPr>
      <w:spacing w:line="480" w:lineRule="auto"/>
      <w:ind w:firstLine="630" w:firstLineChars="225"/>
    </w:pPr>
    <w:rPr>
      <w:rFonts w:ascii="宋体" w:hAnsi="宋体"/>
      <w:sz w:val="28"/>
      <w:szCs w:val="28"/>
      <w:u w:val="single"/>
      <w:lang w:val="en-US" w:eastAsia="zh-CN" w:bidi="ar-SA"/>
    </w:rPr>
  </w:style>
  <w:style w:type="paragraph" w:styleId="21">
    <w:name w:val="Body Text First Indent 2"/>
    <w:basedOn w:val="11"/>
    <w:next w:val="20"/>
    <w:qFormat/>
    <w:uiPriority w:val="0"/>
    <w:pPr>
      <w:spacing w:after="120"/>
      <w:ind w:left="420" w:leftChars="200" w:firstLine="210" w:firstLineChars="200"/>
    </w:pPr>
    <w:rPr>
      <w:sz w:val="21"/>
    </w:rPr>
  </w:style>
  <w:style w:type="table" w:styleId="23">
    <w:name w:val="Table Grid"/>
    <w:basedOn w:val="2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Hyperlink"/>
    <w:basedOn w:val="24"/>
    <w:qFormat/>
    <w:uiPriority w:val="0"/>
    <w:rPr>
      <w:color w:val="0000FF"/>
      <w:u w:val="single"/>
    </w:rPr>
  </w:style>
  <w:style w:type="paragraph" w:customStyle="1" w:styleId="27">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28">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29">
    <w:name w:val="章1正文样式"/>
    <w:basedOn w:val="1"/>
    <w:qFormat/>
    <w:uiPriority w:val="0"/>
    <w:pPr>
      <w:adjustRightInd w:val="0"/>
      <w:snapToGrid w:val="0"/>
      <w:spacing w:line="360" w:lineRule="auto"/>
      <w:ind w:firstLine="720" w:firstLineChars="200"/>
    </w:pPr>
    <w:rPr>
      <w:rFonts w:hint="eastAsia" w:ascii="Times New Roman" w:hAnsi="Times New Roman" w:eastAsia="宋体" w:cs="Times New Roman"/>
      <w:szCs w:val="21"/>
    </w:rPr>
  </w:style>
  <w:style w:type="paragraph" w:customStyle="1" w:styleId="30">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31">
    <w:name w:val="Table Text"/>
    <w:basedOn w:val="1"/>
    <w:semiHidden/>
    <w:qFormat/>
    <w:uiPriority w:val="0"/>
    <w:rPr>
      <w:rFonts w:ascii="宋体" w:hAnsi="宋体" w:eastAsia="宋体" w:cs="宋体"/>
      <w:sz w:val="24"/>
      <w:szCs w:val="24"/>
      <w:lang w:val="en-US" w:eastAsia="en-US" w:bidi="ar-SA"/>
    </w:rPr>
  </w:style>
  <w:style w:type="paragraph" w:customStyle="1" w:styleId="32">
    <w:name w:val="表内容"/>
    <w:qFormat/>
    <w:uiPriority w:val="0"/>
    <w:pPr>
      <w:adjustRightInd w:val="0"/>
      <w:jc w:val="center"/>
    </w:pPr>
    <w:rPr>
      <w:rFonts w:ascii="Times New Roman" w:hAnsi="Times New Roman" w:eastAsia="宋体" w:cs="Times New Roman"/>
      <w:sz w:val="21"/>
      <w:szCs w:val="22"/>
      <w:lang w:val="en-US" w:eastAsia="zh-CN" w:bidi="ar-SA"/>
    </w:rPr>
  </w:style>
  <w:style w:type="paragraph" w:customStyle="1" w:styleId="33">
    <w:name w:val="H图表内容"/>
    <w:basedOn w:val="1"/>
    <w:qFormat/>
    <w:uiPriority w:val="0"/>
    <w:rPr>
      <w:szCs w:val="20"/>
    </w:rPr>
  </w:style>
  <w:style w:type="paragraph" w:customStyle="1" w:styleId="34">
    <w:name w:val="正文（）"/>
    <w:basedOn w:val="1"/>
    <w:qFormat/>
    <w:uiPriority w:val="0"/>
    <w:pPr>
      <w:adjustRightInd w:val="0"/>
      <w:snapToGrid w:val="0"/>
      <w:spacing w:line="360" w:lineRule="auto"/>
      <w:ind w:firstLine="200" w:firstLineChars="200"/>
    </w:pPr>
    <w:rPr>
      <w:color w:val="5B9BD5"/>
      <w:sz w:val="24"/>
      <w:szCs w:val="20"/>
    </w:rPr>
  </w:style>
  <w:style w:type="paragraph" w:customStyle="1" w:styleId="35">
    <w:name w:val="6表格"/>
    <w:basedOn w:val="1"/>
    <w:qFormat/>
    <w:uiPriority w:val="0"/>
    <w:pPr>
      <w:jc w:val="center"/>
    </w:pPr>
  </w:style>
  <w:style w:type="paragraph" w:customStyle="1" w:styleId="36">
    <w:name w:val="表格内容（）"/>
    <w:basedOn w:val="1"/>
    <w:qFormat/>
    <w:uiPriority w:val="0"/>
    <w:pPr>
      <w:widowControl w:val="0"/>
      <w:spacing w:line="240" w:lineRule="auto"/>
      <w:ind w:firstLine="0" w:firstLineChars="0"/>
      <w:jc w:val="center"/>
    </w:pPr>
    <w:rPr>
      <w:color w:val="00B0F0"/>
      <w:sz w:val="21"/>
      <w:szCs w:val="21"/>
    </w:rPr>
  </w:style>
  <w:style w:type="paragraph" w:customStyle="1" w:styleId="37">
    <w:name w:val="表格固定文字"/>
    <w:basedOn w:val="1"/>
    <w:qFormat/>
    <w:uiPriority w:val="0"/>
    <w:pPr>
      <w:ind w:firstLine="0"/>
    </w:pPr>
    <w:rPr>
      <w:rFonts w:eastAsia="宋体"/>
      <w:sz w:val="21"/>
      <w:szCs w:val="24"/>
    </w:rPr>
  </w:style>
  <w:style w:type="paragraph" w:customStyle="1" w:styleId="38">
    <w:name w:val="个人  标题2"/>
    <w:basedOn w:val="1"/>
    <w:qFormat/>
    <w:uiPriority w:val="0"/>
    <w:pPr>
      <w:ind w:firstLine="0" w:firstLineChars="0"/>
      <w:outlineLvl w:val="1"/>
    </w:pPr>
    <w:rPr>
      <w:b/>
      <w:sz w:val="30"/>
    </w:rPr>
  </w:style>
  <w:style w:type="paragraph" w:customStyle="1" w:styleId="3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
    <w:name w:val="表格表头"/>
    <w:basedOn w:val="41"/>
    <w:qFormat/>
    <w:uiPriority w:val="0"/>
    <w:pPr>
      <w:spacing w:before="50" w:beforeLines="50" w:line="240" w:lineRule="auto"/>
      <w:ind w:firstLine="0"/>
      <w:jc w:val="center"/>
    </w:pPr>
    <w:rPr>
      <w:rFonts w:eastAsia="黑体"/>
    </w:rPr>
  </w:style>
  <w:style w:type="paragraph" w:customStyle="1" w:styleId="41">
    <w:name w:val="zhang正文"/>
    <w:basedOn w:val="11"/>
    <w:next w:val="1"/>
    <w:link w:val="64"/>
    <w:qFormat/>
    <w:uiPriority w:val="0"/>
    <w:pPr>
      <w:widowControl w:val="0"/>
      <w:autoSpaceDE w:val="0"/>
      <w:autoSpaceDN w:val="0"/>
      <w:adjustRightInd w:val="0"/>
      <w:snapToGrid w:val="0"/>
      <w:spacing w:after="0" w:afterLines="0" w:line="500" w:lineRule="exact"/>
      <w:ind w:left="0" w:leftChars="0" w:firstLine="539"/>
      <w:jc w:val="both"/>
      <w:textAlignment w:val="baseline"/>
    </w:pPr>
    <w:rPr>
      <w:rFonts w:eastAsia="楷体_GB2312"/>
      <w:sz w:val="28"/>
    </w:rPr>
  </w:style>
  <w:style w:type="paragraph" w:customStyle="1" w:styleId="42">
    <w:name w:val="表正文"/>
    <w:basedOn w:val="1"/>
    <w:qFormat/>
    <w:uiPriority w:val="0"/>
    <w:pPr>
      <w:spacing w:line="360" w:lineRule="auto"/>
      <w:ind w:firstLine="200" w:firstLineChars="200"/>
    </w:pPr>
    <w:rPr>
      <w:sz w:val="24"/>
    </w:rPr>
  </w:style>
  <w:style w:type="paragraph" w:customStyle="1" w:styleId="43">
    <w:name w:val="个人标题3"/>
    <w:basedOn w:val="1"/>
    <w:qFormat/>
    <w:uiPriority w:val="0"/>
    <w:pPr>
      <w:ind w:firstLine="0" w:firstLineChars="0"/>
      <w:outlineLvl w:val="2"/>
    </w:pPr>
    <w:rPr>
      <w:b/>
      <w:sz w:val="28"/>
    </w:rPr>
  </w:style>
  <w:style w:type="paragraph" w:customStyle="1" w:styleId="44">
    <w:name w:val="正文内容"/>
    <w:basedOn w:val="1"/>
    <w:qFormat/>
    <w:uiPriority w:val="0"/>
    <w:pPr>
      <w:adjustRightInd w:val="0"/>
      <w:spacing w:line="360" w:lineRule="auto"/>
      <w:ind w:firstLine="480" w:firstLineChars="200"/>
    </w:pPr>
    <w:rPr>
      <w:rFonts w:ascii="宋体" w:hAnsi="宋体" w:cs="宋体"/>
      <w:sz w:val="24"/>
    </w:rPr>
  </w:style>
  <w:style w:type="paragraph" w:customStyle="1" w:styleId="45">
    <w:name w:val="三级aaa"/>
    <w:basedOn w:val="4"/>
    <w:next w:val="1"/>
    <w:qFormat/>
    <w:uiPriority w:val="0"/>
    <w:pPr>
      <w:keepNext w:val="0"/>
      <w:keepLines w:val="0"/>
      <w:widowControl w:val="0"/>
      <w:adjustRightInd w:val="0"/>
      <w:snapToGrid w:val="0"/>
      <w:spacing w:before="0" w:after="0" w:line="360" w:lineRule="auto"/>
    </w:pPr>
    <w:rPr>
      <w:sz w:val="28"/>
    </w:rPr>
  </w:style>
  <w:style w:type="paragraph" w:customStyle="1" w:styleId="46">
    <w:name w:val="正文hhhhhh"/>
    <w:basedOn w:val="1"/>
    <w:next w:val="5"/>
    <w:qFormat/>
    <w:uiPriority w:val="0"/>
    <w:pPr>
      <w:widowControl w:val="0"/>
      <w:adjustRightInd w:val="0"/>
      <w:snapToGrid w:val="0"/>
      <w:spacing w:line="360" w:lineRule="auto"/>
      <w:ind w:firstLine="200" w:firstLineChars="200"/>
    </w:pPr>
    <w:rPr>
      <w:sz w:val="24"/>
    </w:rPr>
  </w:style>
  <w:style w:type="paragraph" w:customStyle="1" w:styleId="47">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48">
    <w:name w:val="常用"/>
    <w:basedOn w:val="1"/>
    <w:qFormat/>
    <w:uiPriority w:val="0"/>
    <w:pPr>
      <w:widowControl/>
      <w:spacing w:line="360" w:lineRule="auto"/>
      <w:ind w:firstLine="200" w:firstLineChars="200"/>
      <w:jc w:val="left"/>
    </w:pPr>
    <w:rPr>
      <w:rFonts w:ascii="宋体" w:hAnsi="宋体" w:eastAsia="宋体" w:cs="Courier New"/>
      <w:kern w:val="0"/>
      <w:szCs w:val="28"/>
    </w:rPr>
  </w:style>
  <w:style w:type="paragraph" w:customStyle="1" w:styleId="49">
    <w:name w:val="闽创报告正文"/>
    <w:basedOn w:val="1"/>
    <w:qFormat/>
    <w:uiPriority w:val="0"/>
    <w:pPr>
      <w:tabs>
        <w:tab w:val="left" w:pos="0"/>
      </w:tabs>
      <w:spacing w:line="360" w:lineRule="auto"/>
      <w:ind w:firstLine="200" w:firstLineChars="200"/>
    </w:pPr>
    <w:rPr>
      <w:color w:val="000000"/>
      <w:sz w:val="24"/>
      <w:szCs w:val="20"/>
    </w:rPr>
  </w:style>
  <w:style w:type="paragraph" w:customStyle="1" w:styleId="50">
    <w:name w:val="表格名称1"/>
    <w:basedOn w:val="1"/>
    <w:qFormat/>
    <w:uiPriority w:val="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pPr>
    <w:rPr>
      <w:rFonts w:ascii="Times New Roman" w:hAnsi="Times New Roman" w:eastAsia="宋体" w:cs="Times New Roman"/>
      <w:b/>
      <w:sz w:val="21"/>
      <w:lang w:bidi="ar"/>
    </w:rPr>
  </w:style>
  <w:style w:type="paragraph" w:customStyle="1" w:styleId="51">
    <w:name w:val="彪哥文本"/>
    <w:basedOn w:val="1"/>
    <w:next w:val="1"/>
    <w:qFormat/>
    <w:uiPriority w:val="0"/>
    <w:pPr>
      <w:adjustRightInd w:val="0"/>
      <w:snapToGrid w:val="0"/>
      <w:spacing w:before="10" w:beforeLines="10" w:after="10" w:afterLines="10" w:line="240" w:lineRule="auto"/>
      <w:jc w:val="center"/>
    </w:pPr>
    <w:rPr>
      <w:rFonts w:ascii="Times New Roman" w:hAnsi="Times New Roman" w:eastAsia="宋体"/>
      <w:kern w:val="0"/>
      <w:szCs w:val="20"/>
    </w:rPr>
  </w:style>
  <w:style w:type="paragraph" w:customStyle="1" w:styleId="52">
    <w:name w:val="22标题2"/>
    <w:basedOn w:val="53"/>
    <w:qFormat/>
    <w:uiPriority w:val="0"/>
    <w:pPr>
      <w:adjustRightInd w:val="0"/>
      <w:snapToGrid w:val="0"/>
    </w:pPr>
    <w:rPr>
      <w:color w:val="0000FF"/>
    </w:rPr>
  </w:style>
  <w:style w:type="paragraph" w:customStyle="1" w:styleId="53">
    <w:name w:val="标题2"/>
    <w:basedOn w:val="6"/>
    <w:qFormat/>
    <w:uiPriority w:val="0"/>
    <w:pPr>
      <w:spacing w:line="360" w:lineRule="auto"/>
      <w:outlineLvl w:val="1"/>
    </w:pPr>
    <w:rPr>
      <w:rFonts w:ascii="Times New Roman" w:hAnsi="Times New Roman" w:eastAsia="黑体" w:cs="Times New Roman"/>
      <w:sz w:val="30"/>
      <w:szCs w:val="30"/>
    </w:rPr>
  </w:style>
  <w:style w:type="paragraph" w:customStyle="1" w:styleId="54">
    <w:name w:val="样式 首行缩进:  2 字符1"/>
    <w:basedOn w:val="1"/>
    <w:qFormat/>
    <w:uiPriority w:val="0"/>
    <w:pPr>
      <w:adjustRightInd w:val="0"/>
      <w:snapToGrid w:val="0"/>
      <w:spacing w:line="360" w:lineRule="auto"/>
      <w:ind w:firstLine="480" w:firstLineChars="200"/>
    </w:pPr>
    <w:rPr>
      <w:rFonts w:hint="eastAsia" w:ascii="宋体" w:hAnsi="宋体" w:eastAsia="宋体" w:cs="宋体"/>
      <w:sz w:val="24"/>
      <w:szCs w:val="32"/>
    </w:rPr>
  </w:style>
  <w:style w:type="table" w:customStyle="1" w:styleId="55">
    <w:name w:val="样式6"/>
    <w:basedOn w:val="22"/>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56">
    <w:name w:val="样式 样式 正文01 + 黑色 首行缩进:  2 字符 段前: 0 磅 行距: 1.5 倍行距 + 首行缩进:  2 字符"/>
    <w:basedOn w:val="57"/>
    <w:qFormat/>
    <w:uiPriority w:val="0"/>
    <w:pPr>
      <w:spacing w:line="440" w:lineRule="exact"/>
      <w:ind w:firstLine="200"/>
    </w:pPr>
    <w:rPr>
      <w:rFonts w:eastAsia="宋体"/>
      <w:bCs/>
    </w:rPr>
  </w:style>
  <w:style w:type="paragraph" w:customStyle="1" w:styleId="57">
    <w:name w:val="样式 正文（首行缩进两字） + (中文) 仿宋_GB2312 小四 行距: 1.5 倍行距"/>
    <w:basedOn w:val="8"/>
    <w:qFormat/>
    <w:uiPriority w:val="0"/>
    <w:pPr>
      <w:adjustRightInd/>
      <w:spacing w:line="360" w:lineRule="auto"/>
      <w:ind w:firstLine="480" w:firstLineChars="200"/>
      <w:textAlignment w:val="auto"/>
    </w:pPr>
    <w:rPr>
      <w:rFonts w:eastAsia="仿宋_GB2312"/>
      <w:kern w:val="2"/>
      <w:sz w:val="24"/>
    </w:rPr>
  </w:style>
  <w:style w:type="paragraph" w:customStyle="1" w:styleId="58">
    <w:name w:val="表格标题（）"/>
    <w:basedOn w:val="1"/>
    <w:qFormat/>
    <w:uiPriority w:val="0"/>
    <w:pPr>
      <w:widowControl w:val="0"/>
      <w:spacing w:line="240" w:lineRule="auto"/>
      <w:ind w:firstLine="0" w:firstLineChars="0"/>
      <w:jc w:val="center"/>
    </w:pPr>
    <w:rPr>
      <w:rFonts w:eastAsia="黑体"/>
      <w:color w:val="000000"/>
      <w:lang w:val="zh-CN" w:bidi="he-IL"/>
    </w:rPr>
  </w:style>
  <w:style w:type="paragraph" w:customStyle="1" w:styleId="59">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60">
    <w:name w:val="表格标题"/>
    <w:basedOn w:val="1"/>
    <w:qFormat/>
    <w:uiPriority w:val="0"/>
    <w:pPr>
      <w:tabs>
        <w:tab w:val="left" w:pos="4507"/>
      </w:tabs>
      <w:wordWrap/>
      <w:overflowPunct/>
      <w:topLinePunct w:val="0"/>
      <w:adjustRightInd/>
      <w:spacing w:beforeLines="50" w:line="240" w:lineRule="auto"/>
      <w:jc w:val="center"/>
    </w:pPr>
    <w:rPr>
      <w:rFonts w:ascii="等线" w:hAnsi="等线" w:eastAsia="黑体" w:cs="等线"/>
      <w:spacing w:val="4"/>
      <w:kern w:val="2"/>
      <w:sz w:val="24"/>
      <w:szCs w:val="24"/>
    </w:rPr>
  </w:style>
  <w:style w:type="paragraph" w:customStyle="1" w:styleId="61">
    <w:name w:val="表格内容"/>
    <w:basedOn w:val="17"/>
    <w:next w:val="1"/>
    <w:qFormat/>
    <w:uiPriority w:val="0"/>
    <w:pPr>
      <w:autoSpaceDE w:val="0"/>
      <w:autoSpaceDN w:val="0"/>
      <w:ind w:firstLine="0"/>
      <w:jc w:val="center"/>
    </w:pPr>
    <w:rPr>
      <w:kern w:val="0"/>
      <w:sz w:val="24"/>
      <w:lang w:bidi="he-IL"/>
    </w:rPr>
  </w:style>
  <w:style w:type="paragraph" w:customStyle="1" w:styleId="62">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character" w:customStyle="1" w:styleId="63">
    <w:name w:val="样式 zhang正文 + 宋体 小四 Char"/>
    <w:basedOn w:val="64"/>
    <w:link w:val="66"/>
    <w:qFormat/>
    <w:uiPriority w:val="0"/>
    <w:rPr>
      <w:rFonts w:ascii="宋体" w:hAnsi="宋体" w:eastAsia="宋体"/>
      <w:sz w:val="24"/>
    </w:rPr>
  </w:style>
  <w:style w:type="character" w:customStyle="1" w:styleId="64">
    <w:name w:val="zhang正文 Char1"/>
    <w:basedOn w:val="65"/>
    <w:link w:val="41"/>
    <w:qFormat/>
    <w:uiPriority w:val="0"/>
    <w:rPr>
      <w:rFonts w:eastAsia="楷体_GB2312"/>
      <w:sz w:val="28"/>
    </w:rPr>
  </w:style>
  <w:style w:type="character" w:customStyle="1" w:styleId="65">
    <w:name w:val="正文文本缩进 Char1"/>
    <w:basedOn w:val="24"/>
    <w:link w:val="11"/>
    <w:qFormat/>
    <w:uiPriority w:val="0"/>
    <w:rPr>
      <w:kern w:val="0"/>
      <w:sz w:val="24"/>
      <w:szCs w:val="20"/>
    </w:rPr>
  </w:style>
  <w:style w:type="paragraph" w:customStyle="1" w:styleId="66">
    <w:name w:val="样式 zhang正文 + 宋体 小四"/>
    <w:basedOn w:val="41"/>
    <w:link w:val="63"/>
    <w:qFormat/>
    <w:uiPriority w:val="0"/>
    <w:rPr>
      <w:rFonts w:ascii="宋体" w:hAnsi="宋体" w:eastAsia="宋体"/>
      <w:sz w:val="24"/>
    </w:rPr>
  </w:style>
  <w:style w:type="paragraph" w:customStyle="1" w:styleId="67">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68">
    <w:name w:val="屠彪标题"/>
    <w:basedOn w:val="1"/>
    <w:qFormat/>
    <w:uiPriority w:val="0"/>
    <w:pPr>
      <w:adjustRightInd w:val="0"/>
      <w:snapToGrid w:val="0"/>
      <w:spacing w:before="10" w:beforeLines="10" w:after="10" w:afterLines="10"/>
      <w:jc w:val="center"/>
    </w:pPr>
    <w:rPr>
      <w:rFonts w:ascii="Times New Roman" w:hAnsi="Times New Roman" w:eastAsia="宋体"/>
      <w:b/>
      <w:kern w:val="0"/>
      <w:sz w:val="24"/>
      <w:szCs w:val="20"/>
    </w:rPr>
  </w:style>
  <w:style w:type="paragraph" w:customStyle="1" w:styleId="69">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cs="Times New Roman"/>
      <w:bCs/>
      <w:color w:val="000000"/>
      <w:kern w:val="44"/>
      <w:szCs w:val="30"/>
    </w:rPr>
  </w:style>
  <w:style w:type="table" w:customStyle="1" w:styleId="70">
    <w:name w:val="表格样式1"/>
    <w:basedOn w:val="22"/>
    <w:qFormat/>
    <w:uiPriority w:val="0"/>
    <w:pPr>
      <w:jc w:val="center"/>
    </w:pPr>
    <w:rPr>
      <w:sz w:val="21"/>
    </w:rPr>
    <w:tblPr>
      <w:tblBorders>
        <w:top w:val="single" w:color="auto" w:sz="12" w:space="0"/>
        <w:bottom w:val="single" w:color="auto" w:sz="12" w:space="0"/>
        <w:insideH w:val="single" w:color="auto" w:sz="6" w:space="0"/>
        <w:insideV w:val="single" w:color="auto" w:sz="6" w:space="0"/>
      </w:tblBorders>
      <w:tblCellMar>
        <w:left w:w="57" w:type="dxa"/>
        <w:right w:w="57" w:type="dxa"/>
      </w:tblCellMar>
    </w:tblPr>
    <w:tcPr>
      <w:vAlign w:val="center"/>
    </w:tcPr>
  </w:style>
  <w:style w:type="paragraph" w:customStyle="1" w:styleId="71">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72">
    <w:name w:val="标题111"/>
    <w:basedOn w:val="19"/>
    <w:qFormat/>
    <w:uiPriority w:val="0"/>
    <w:pPr>
      <w:adjustRightInd w:val="0"/>
      <w:snapToGrid w:val="0"/>
      <w:spacing w:before="0" w:beforeAutospacing="0" w:after="0" w:afterAutospacing="0" w:line="360" w:lineRule="auto"/>
      <w:jc w:val="center"/>
      <w:outlineLvl w:val="0"/>
    </w:pPr>
    <w:rPr>
      <w:rFonts w:ascii="Times New Roman" w:hAnsi="Times New Roman" w:eastAsia="黑体"/>
      <w:snapToGrid w:val="0"/>
      <w:sz w:val="32"/>
      <w:szCs w:val="30"/>
    </w:rPr>
  </w:style>
  <w:style w:type="paragraph" w:customStyle="1" w:styleId="73">
    <w:name w:val="正文(首行缩进)"/>
    <w:basedOn w:val="1"/>
    <w:qFormat/>
    <w:uiPriority w:val="0"/>
    <w:pPr>
      <w:adjustRightInd w:val="0"/>
      <w:snapToGrid w:val="0"/>
      <w:spacing w:line="360" w:lineRule="auto"/>
      <w:ind w:firstLine="200" w:firstLineChars="200"/>
    </w:pPr>
    <w:rPr>
      <w:snapToGrid w:val="0"/>
      <w:szCs w:val="24"/>
    </w:rPr>
  </w:style>
  <w:style w:type="paragraph" w:customStyle="1" w:styleId="74">
    <w:name w:val="表格文本"/>
    <w:basedOn w:val="1"/>
    <w:autoRedefine/>
    <w:qFormat/>
    <w:uiPriority w:val="0"/>
    <w:pPr>
      <w:autoSpaceDE w:val="0"/>
      <w:autoSpaceDN w:val="0"/>
      <w:spacing w:line="320" w:lineRule="exact"/>
      <w:jc w:val="center"/>
      <w:textAlignment w:val="baseline"/>
    </w:pPr>
    <w:rPr>
      <w:rFonts w:ascii="Times New Roman" w:hAnsi="Times New Roman" w:eastAsia="宋体"/>
      <w:kern w:val="0"/>
      <w:sz w:val="21"/>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0" Type="http://schemas.openxmlformats.org/officeDocument/2006/relationships/fontTable" Target="fontTable.xml"/><Relationship Id="rId6" Type="http://schemas.openxmlformats.org/officeDocument/2006/relationships/footer" Target="footer4.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jpeg"/><Relationship Id="rId50" Type="http://schemas.openxmlformats.org/officeDocument/2006/relationships/image" Target="file:///C:\Users\Admin\AppData\Local\Temp\ksohtml12936\wps12.png" TargetMode="External"/><Relationship Id="rId5" Type="http://schemas.openxmlformats.org/officeDocument/2006/relationships/footer" Target="footer3.xml"/><Relationship Id="rId49" Type="http://schemas.openxmlformats.org/officeDocument/2006/relationships/image" Target="media/image29.png"/><Relationship Id="rId48" Type="http://schemas.openxmlformats.org/officeDocument/2006/relationships/image" Target="file:///C:\Users\Admin\AppData\Local\Temp\ksohtml12936\wps11.png" TargetMode="External"/><Relationship Id="rId47" Type="http://schemas.openxmlformats.org/officeDocument/2006/relationships/image" Target="media/image28.png"/><Relationship Id="rId46" Type="http://schemas.openxmlformats.org/officeDocument/2006/relationships/image" Target="file:///C:\Users\Admin\AppData\Local\Temp\ksohtml12936\wps10.png" TargetMode="External"/><Relationship Id="rId45" Type="http://schemas.openxmlformats.org/officeDocument/2006/relationships/image" Target="media/image27.png"/><Relationship Id="rId44" Type="http://schemas.openxmlformats.org/officeDocument/2006/relationships/image" Target="file:///C:\Users\Admin\AppData\Local\Temp\ksohtml12936\wps9.png" TargetMode="External"/><Relationship Id="rId43" Type="http://schemas.openxmlformats.org/officeDocument/2006/relationships/image" Target="media/image26.png"/><Relationship Id="rId42" Type="http://schemas.openxmlformats.org/officeDocument/2006/relationships/image" Target="file:///C:\Users\Admin\AppData\Local\Temp\ksohtml12936\wps8.png" TargetMode="External"/><Relationship Id="rId41" Type="http://schemas.openxmlformats.org/officeDocument/2006/relationships/image" Target="media/image25.png"/><Relationship Id="rId40" Type="http://schemas.openxmlformats.org/officeDocument/2006/relationships/image" Target="file:///C:\Users\Admin\AppData\Local\Temp\ksohtml12936\wps7.png" TargetMode="External"/><Relationship Id="rId4" Type="http://schemas.openxmlformats.org/officeDocument/2006/relationships/footer" Target="footer2.xml"/><Relationship Id="rId39" Type="http://schemas.openxmlformats.org/officeDocument/2006/relationships/image" Target="media/image24.png"/><Relationship Id="rId38" Type="http://schemas.openxmlformats.org/officeDocument/2006/relationships/image" Target="file:///C:\Users\Admin\AppData\Local\Temp\ksohtml12936\wps6.png" TargetMode="External"/><Relationship Id="rId37" Type="http://schemas.openxmlformats.org/officeDocument/2006/relationships/image" Target="media/image23.png"/><Relationship Id="rId36" Type="http://schemas.openxmlformats.org/officeDocument/2006/relationships/image" Target="file:///C:\Users\Admin\AppData\Local\Temp\ksohtml12936\wps5.png" TargetMode="External"/><Relationship Id="rId35" Type="http://schemas.openxmlformats.org/officeDocument/2006/relationships/image" Target="media/image22.png"/><Relationship Id="rId34" Type="http://schemas.openxmlformats.org/officeDocument/2006/relationships/image" Target="file:///C:\Users\Admin\AppData\Local\Temp\ksohtml12936\wps4.png" TargetMode="External"/><Relationship Id="rId33" Type="http://schemas.openxmlformats.org/officeDocument/2006/relationships/image" Target="media/image21.png"/><Relationship Id="rId32" Type="http://schemas.openxmlformats.org/officeDocument/2006/relationships/image" Target="file:///C:\Users\Admin\AppData\Local\Temp\ksohtml12936\wps3.png" TargetMode="External"/><Relationship Id="rId31" Type="http://schemas.openxmlformats.org/officeDocument/2006/relationships/image" Target="media/image20.png"/><Relationship Id="rId30" Type="http://schemas.openxmlformats.org/officeDocument/2006/relationships/image" Target="file:///C:\Users\Admin\AppData\Local\Temp\ksohtml12936\wps2.png" TargetMode="External"/><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emf"/><Relationship Id="rId26" Type="http://schemas.openxmlformats.org/officeDocument/2006/relationships/oleObject" Target="embeddings/oleObject1.bin"/><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"/>
    </extobj>
    <extobj name="F360BE8B-6686-4F3D-AEAF-501FE73E4058-2">
      <extobjdata type="F360BE8B-6686-4F3D-AEAF-501FE73E4058" data="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"/>
    </extobj>
    <extobj name="F360BE8B-6686-4F3D-AEAF-501FE73E4058-3">
      <extobjdata type="F360BE8B-6686-4F3D-AEAF-501FE73E4058" data="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48220</Words>
  <Characters>55231</Characters>
  <Lines>0</Lines>
  <Paragraphs>0</Paragraphs>
  <TotalTime>5</TotalTime>
  <ScaleCrop>false</ScaleCrop>
  <LinksUpToDate>false</LinksUpToDate>
  <CharactersWithSpaces>57206</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2025-09-23T14:57:00Z</dcterms:created>
  <dc:creator>波波</dc:creator>
  <cp:lastModifiedBy>admin</cp:lastModifiedBy>
  <cp:lastPrinted>2025-10-27T01:38:00Z</cp:lastPrinted>
  <dcterms:modified xsi:type="dcterms:W3CDTF">2025-10-28T02:43:20Z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KSOTemplateDocerSaveRecord">
    <vt:lpwstr>eyJoZGlkIjoiZGQ5YmI0MTA5YzgzMmVmOGM2MWM4Nzg2MmQ3Yjc2ZjAiLCJ1c2VySWQiOiIxMDU0MTI4NzM3In0=</vt:lpwstr>
  </property>
  <property fmtid="{D5CDD505-2E9C-101B-9397-08002B2CF9AE}" pid="4" name="ICV">
    <vt:lpwstr>3973C695FC644A4BAAEF0F4885A0A1C5_13</vt:lpwstr>
  </property>
</Properties>
</file>